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D0952" w:rsidRPr="00DC58A3" w:rsidRDefault="00235C47" w:rsidP="00DC58A3">
      <w:pPr>
        <w:jc w:val="left"/>
        <w:rPr>
          <w:rFonts w:ascii="Comic Sans MS" w:hAnsi="Comic Sans MS"/>
          <w:b/>
          <w:color w:val="FF0000"/>
          <w:sz w:val="28"/>
          <w:szCs w:val="28"/>
          <w:lang w:val="en-US"/>
        </w:rPr>
      </w:pP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64B4E98D" wp14:editId="0B70B9D7">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01C29" w:rsidRPr="00015B3F" w:rsidRDefault="00401C29">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401C29" w:rsidRPr="00015B3F" w:rsidRDefault="00401C29"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01C29" w:rsidRPr="00015B3F" w:rsidRDefault="00401C29">
                                  <w:pPr>
                                    <w:pStyle w:val="NoSpacing"/>
                                    <w:spacing w:line="360" w:lineRule="auto"/>
                                    <w:rPr>
                                      <w:color w:val="FFFFFF" w:themeColor="background1"/>
                                      <w:sz w:val="28"/>
                                      <w:szCs w:val="28"/>
                                    </w:rPr>
                                  </w:pPr>
                                </w:p>
                                <w:p w:rsidR="00401C29" w:rsidRPr="00015B3F" w:rsidRDefault="00401C29">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401C29" w:rsidRPr="00D00941" w:rsidRDefault="00401C29">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B4E98D"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01C29" w:rsidRPr="00015B3F" w:rsidRDefault="00401C29">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401C29" w:rsidRPr="00015B3F" w:rsidRDefault="00401C29"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01C29" w:rsidRPr="00015B3F" w:rsidRDefault="00401C29">
                            <w:pPr>
                              <w:pStyle w:val="NoSpacing"/>
                              <w:spacing w:line="360" w:lineRule="auto"/>
                              <w:rPr>
                                <w:color w:val="FFFFFF" w:themeColor="background1"/>
                                <w:sz w:val="28"/>
                                <w:szCs w:val="28"/>
                              </w:rPr>
                            </w:pPr>
                          </w:p>
                          <w:p w:rsidR="00401C29" w:rsidRPr="00015B3F" w:rsidRDefault="00401C29">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401C29" w:rsidRPr="00D00941" w:rsidRDefault="00401C29">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E034A5"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35323831" w:history="1">
            <w:r w:rsidR="00E034A5" w:rsidRPr="001252B9">
              <w:rPr>
                <w:rStyle w:val="Hyperlink"/>
                <w:rFonts w:cs="Times New Roman"/>
                <w:noProof/>
              </w:rPr>
              <w:t>КОНКУРСИ, СТИПЕНДИИ, СТАЖОВЕ</w:t>
            </w:r>
            <w:r w:rsidR="00E034A5">
              <w:rPr>
                <w:noProof/>
                <w:webHidden/>
              </w:rPr>
              <w:tab/>
            </w:r>
            <w:r w:rsidR="00E034A5">
              <w:rPr>
                <w:noProof/>
                <w:webHidden/>
              </w:rPr>
              <w:fldChar w:fldCharType="begin"/>
            </w:r>
            <w:r w:rsidR="00E034A5">
              <w:rPr>
                <w:noProof/>
                <w:webHidden/>
              </w:rPr>
              <w:instrText xml:space="preserve"> PAGEREF _Toc535323831 \h </w:instrText>
            </w:r>
            <w:r w:rsidR="00E034A5">
              <w:rPr>
                <w:noProof/>
                <w:webHidden/>
              </w:rPr>
            </w:r>
            <w:r w:rsidR="00E034A5">
              <w:rPr>
                <w:noProof/>
                <w:webHidden/>
              </w:rPr>
              <w:fldChar w:fldCharType="separate"/>
            </w:r>
            <w:r w:rsidR="00E034A5">
              <w:rPr>
                <w:noProof/>
                <w:webHidden/>
              </w:rPr>
              <w:t>4</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32"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Ritchie-Jennings Memorial Scholarship Program</w:t>
            </w:r>
            <w:r w:rsidR="00E034A5">
              <w:rPr>
                <w:noProof/>
                <w:webHidden/>
              </w:rPr>
              <w:tab/>
            </w:r>
            <w:r w:rsidR="00E034A5">
              <w:rPr>
                <w:noProof/>
                <w:webHidden/>
              </w:rPr>
              <w:fldChar w:fldCharType="begin"/>
            </w:r>
            <w:r w:rsidR="00E034A5">
              <w:rPr>
                <w:noProof/>
                <w:webHidden/>
              </w:rPr>
              <w:instrText xml:space="preserve"> PAGEREF _Toc535323832 \h </w:instrText>
            </w:r>
            <w:r w:rsidR="00E034A5">
              <w:rPr>
                <w:noProof/>
                <w:webHidden/>
              </w:rPr>
            </w:r>
            <w:r w:rsidR="00E034A5">
              <w:rPr>
                <w:noProof/>
                <w:webHidden/>
              </w:rPr>
              <w:fldChar w:fldCharType="separate"/>
            </w:r>
            <w:r w:rsidR="00E034A5">
              <w:rPr>
                <w:noProof/>
                <w:webHidden/>
              </w:rPr>
              <w:t>4</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33"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Корейски Стипендии за магистърска и докторска степен през 2019 г.</w:t>
            </w:r>
            <w:r w:rsidR="00E034A5">
              <w:rPr>
                <w:noProof/>
                <w:webHidden/>
              </w:rPr>
              <w:tab/>
            </w:r>
            <w:r w:rsidR="00E034A5">
              <w:rPr>
                <w:noProof/>
                <w:webHidden/>
              </w:rPr>
              <w:fldChar w:fldCharType="begin"/>
            </w:r>
            <w:r w:rsidR="00E034A5">
              <w:rPr>
                <w:noProof/>
                <w:webHidden/>
              </w:rPr>
              <w:instrText xml:space="preserve"> PAGEREF _Toc535323833 \h </w:instrText>
            </w:r>
            <w:r w:rsidR="00E034A5">
              <w:rPr>
                <w:noProof/>
                <w:webHidden/>
              </w:rPr>
            </w:r>
            <w:r w:rsidR="00E034A5">
              <w:rPr>
                <w:noProof/>
                <w:webHidden/>
              </w:rPr>
              <w:fldChar w:fldCharType="separate"/>
            </w:r>
            <w:r w:rsidR="00E034A5">
              <w:rPr>
                <w:noProof/>
                <w:webHidden/>
              </w:rPr>
              <w:t>5</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34"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Стаж в Allianz Bank България</w:t>
            </w:r>
            <w:r w:rsidR="00E034A5">
              <w:rPr>
                <w:noProof/>
                <w:webHidden/>
              </w:rPr>
              <w:tab/>
            </w:r>
            <w:r w:rsidR="00E034A5">
              <w:rPr>
                <w:noProof/>
                <w:webHidden/>
              </w:rPr>
              <w:fldChar w:fldCharType="begin"/>
            </w:r>
            <w:r w:rsidR="00E034A5">
              <w:rPr>
                <w:noProof/>
                <w:webHidden/>
              </w:rPr>
              <w:instrText xml:space="preserve"> PAGEREF _Toc535323834 \h </w:instrText>
            </w:r>
            <w:r w:rsidR="00E034A5">
              <w:rPr>
                <w:noProof/>
                <w:webHidden/>
              </w:rPr>
            </w:r>
            <w:r w:rsidR="00E034A5">
              <w:rPr>
                <w:noProof/>
                <w:webHidden/>
              </w:rPr>
              <w:fldChar w:fldCharType="separate"/>
            </w:r>
            <w:r w:rsidR="00E034A5">
              <w:rPr>
                <w:noProof/>
                <w:webHidden/>
              </w:rPr>
              <w:t>5</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35" w:history="1">
            <w:r w:rsidR="00E034A5" w:rsidRPr="001252B9">
              <w:rPr>
                <w:rStyle w:val="Hyperlink"/>
                <w:rFonts w:ascii="Wingdings" w:hAnsi="Wingdings"/>
                <w:noProof/>
                <w:lang w:val="ru-RU"/>
              </w:rPr>
              <w:t></w:t>
            </w:r>
            <w:r w:rsidR="00E034A5">
              <w:rPr>
                <w:rFonts w:asciiTheme="minorHAnsi" w:eastAsiaTheme="minorEastAsia" w:hAnsiTheme="minorHAnsi"/>
                <w:noProof/>
                <w:lang w:eastAsia="bg-BG"/>
              </w:rPr>
              <w:tab/>
            </w:r>
            <w:r w:rsidR="00E034A5" w:rsidRPr="001252B9">
              <w:rPr>
                <w:rStyle w:val="Hyperlink"/>
                <w:noProof/>
              </w:rPr>
              <w:t>Платен стаж в Световната търговска организация</w:t>
            </w:r>
            <w:r w:rsidR="00E034A5">
              <w:rPr>
                <w:noProof/>
                <w:webHidden/>
              </w:rPr>
              <w:tab/>
            </w:r>
            <w:r w:rsidR="00E034A5">
              <w:rPr>
                <w:noProof/>
                <w:webHidden/>
              </w:rPr>
              <w:fldChar w:fldCharType="begin"/>
            </w:r>
            <w:r w:rsidR="00E034A5">
              <w:rPr>
                <w:noProof/>
                <w:webHidden/>
              </w:rPr>
              <w:instrText xml:space="preserve"> PAGEREF _Toc535323835 \h </w:instrText>
            </w:r>
            <w:r w:rsidR="00E034A5">
              <w:rPr>
                <w:noProof/>
                <w:webHidden/>
              </w:rPr>
            </w:r>
            <w:r w:rsidR="00E034A5">
              <w:rPr>
                <w:noProof/>
                <w:webHidden/>
              </w:rPr>
              <w:fldChar w:fldCharType="separate"/>
            </w:r>
            <w:r w:rsidR="00E034A5">
              <w:rPr>
                <w:noProof/>
                <w:webHidden/>
              </w:rPr>
              <w:t>5</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36"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Стажантска програма на УниКредит Булбанк</w:t>
            </w:r>
            <w:r w:rsidR="00E034A5">
              <w:rPr>
                <w:noProof/>
                <w:webHidden/>
              </w:rPr>
              <w:tab/>
            </w:r>
            <w:r w:rsidR="00E034A5">
              <w:rPr>
                <w:noProof/>
                <w:webHidden/>
              </w:rPr>
              <w:fldChar w:fldCharType="begin"/>
            </w:r>
            <w:r w:rsidR="00E034A5">
              <w:rPr>
                <w:noProof/>
                <w:webHidden/>
              </w:rPr>
              <w:instrText xml:space="preserve"> PAGEREF _Toc535323836 \h </w:instrText>
            </w:r>
            <w:r w:rsidR="00E034A5">
              <w:rPr>
                <w:noProof/>
                <w:webHidden/>
              </w:rPr>
            </w:r>
            <w:r w:rsidR="00E034A5">
              <w:rPr>
                <w:noProof/>
                <w:webHidden/>
              </w:rPr>
              <w:fldChar w:fldCharType="separate"/>
            </w:r>
            <w:r w:rsidR="00E034A5">
              <w:rPr>
                <w:noProof/>
                <w:webHidden/>
              </w:rPr>
              <w:t>6</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37"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Стаж в Организацията по прехрана и земеделие (FAO) към ООН</w:t>
            </w:r>
            <w:r w:rsidR="00E034A5">
              <w:rPr>
                <w:noProof/>
                <w:webHidden/>
              </w:rPr>
              <w:tab/>
            </w:r>
            <w:r w:rsidR="00E034A5">
              <w:rPr>
                <w:noProof/>
                <w:webHidden/>
              </w:rPr>
              <w:fldChar w:fldCharType="begin"/>
            </w:r>
            <w:r w:rsidR="00E034A5">
              <w:rPr>
                <w:noProof/>
                <w:webHidden/>
              </w:rPr>
              <w:instrText xml:space="preserve"> PAGEREF _Toc535323837 \h </w:instrText>
            </w:r>
            <w:r w:rsidR="00E034A5">
              <w:rPr>
                <w:noProof/>
                <w:webHidden/>
              </w:rPr>
            </w:r>
            <w:r w:rsidR="00E034A5">
              <w:rPr>
                <w:noProof/>
                <w:webHidden/>
              </w:rPr>
              <w:fldChar w:fldCharType="separate"/>
            </w:r>
            <w:r w:rsidR="00E034A5">
              <w:rPr>
                <w:noProof/>
                <w:webHidden/>
              </w:rPr>
              <w:t>6</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38"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Стажове в Международната академия на нюрнбергските принципи</w:t>
            </w:r>
            <w:r w:rsidR="00E034A5">
              <w:rPr>
                <w:noProof/>
                <w:webHidden/>
              </w:rPr>
              <w:tab/>
            </w:r>
            <w:r w:rsidR="00E034A5">
              <w:rPr>
                <w:noProof/>
                <w:webHidden/>
              </w:rPr>
              <w:fldChar w:fldCharType="begin"/>
            </w:r>
            <w:r w:rsidR="00E034A5">
              <w:rPr>
                <w:noProof/>
                <w:webHidden/>
              </w:rPr>
              <w:instrText xml:space="preserve"> PAGEREF _Toc535323838 \h </w:instrText>
            </w:r>
            <w:r w:rsidR="00E034A5">
              <w:rPr>
                <w:noProof/>
                <w:webHidden/>
              </w:rPr>
            </w:r>
            <w:r w:rsidR="00E034A5">
              <w:rPr>
                <w:noProof/>
                <w:webHidden/>
              </w:rPr>
              <w:fldChar w:fldCharType="separate"/>
            </w:r>
            <w:r w:rsidR="00E034A5">
              <w:rPr>
                <w:noProof/>
                <w:webHidden/>
              </w:rPr>
              <w:t>6</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39"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"Телерик академия" обявява прием</w:t>
            </w:r>
            <w:r w:rsidR="00E034A5">
              <w:rPr>
                <w:noProof/>
                <w:webHidden/>
              </w:rPr>
              <w:tab/>
            </w:r>
            <w:r w:rsidR="00E034A5">
              <w:rPr>
                <w:noProof/>
                <w:webHidden/>
              </w:rPr>
              <w:fldChar w:fldCharType="begin"/>
            </w:r>
            <w:r w:rsidR="00E034A5">
              <w:rPr>
                <w:noProof/>
                <w:webHidden/>
              </w:rPr>
              <w:instrText xml:space="preserve"> PAGEREF _Toc535323839 \h </w:instrText>
            </w:r>
            <w:r w:rsidR="00E034A5">
              <w:rPr>
                <w:noProof/>
                <w:webHidden/>
              </w:rPr>
            </w:r>
            <w:r w:rsidR="00E034A5">
              <w:rPr>
                <w:noProof/>
                <w:webHidden/>
              </w:rPr>
              <w:fldChar w:fldCharType="separate"/>
            </w:r>
            <w:r w:rsidR="00E034A5">
              <w:rPr>
                <w:noProof/>
                <w:webHidden/>
              </w:rPr>
              <w:t>7</w:t>
            </w:r>
            <w:r w:rsidR="00E034A5">
              <w:rPr>
                <w:noProof/>
                <w:webHidden/>
              </w:rPr>
              <w:fldChar w:fldCharType="end"/>
            </w:r>
          </w:hyperlink>
        </w:p>
        <w:p w:rsidR="00E034A5" w:rsidRDefault="00235C47">
          <w:pPr>
            <w:pStyle w:val="TOC1"/>
            <w:tabs>
              <w:tab w:val="right" w:leader="dot" w:pos="9062"/>
            </w:tabs>
            <w:rPr>
              <w:rFonts w:asciiTheme="minorHAnsi" w:eastAsiaTheme="minorEastAsia" w:hAnsiTheme="minorHAnsi"/>
              <w:noProof/>
              <w:lang w:eastAsia="bg-BG"/>
            </w:rPr>
          </w:pPr>
          <w:hyperlink w:anchor="_Toc535323840" w:history="1">
            <w:r w:rsidR="00E034A5" w:rsidRPr="001252B9">
              <w:rPr>
                <w:rStyle w:val="Hyperlink"/>
                <w:noProof/>
              </w:rPr>
              <w:t>ПРОГРАМИ</w:t>
            </w:r>
            <w:r w:rsidR="00E034A5">
              <w:rPr>
                <w:noProof/>
                <w:webHidden/>
              </w:rPr>
              <w:tab/>
            </w:r>
            <w:r w:rsidR="00E034A5">
              <w:rPr>
                <w:noProof/>
                <w:webHidden/>
              </w:rPr>
              <w:fldChar w:fldCharType="begin"/>
            </w:r>
            <w:r w:rsidR="00E034A5">
              <w:rPr>
                <w:noProof/>
                <w:webHidden/>
              </w:rPr>
              <w:instrText xml:space="preserve"> PAGEREF _Toc535323840 \h </w:instrText>
            </w:r>
            <w:r w:rsidR="00E034A5">
              <w:rPr>
                <w:noProof/>
                <w:webHidden/>
              </w:rPr>
            </w:r>
            <w:r w:rsidR="00E034A5">
              <w:rPr>
                <w:noProof/>
                <w:webHidden/>
              </w:rPr>
              <w:fldChar w:fldCharType="separate"/>
            </w:r>
            <w:r w:rsidR="00E034A5">
              <w:rPr>
                <w:noProof/>
                <w:webHidden/>
              </w:rPr>
              <w:t>8</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1"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Конкурс за проекти по програми за двустранно сътрудничество България – Австрия</w:t>
            </w:r>
            <w:r w:rsidR="00E034A5">
              <w:rPr>
                <w:noProof/>
                <w:webHidden/>
              </w:rPr>
              <w:tab/>
            </w:r>
            <w:r w:rsidR="00E034A5">
              <w:rPr>
                <w:noProof/>
                <w:webHidden/>
              </w:rPr>
              <w:fldChar w:fldCharType="begin"/>
            </w:r>
            <w:r w:rsidR="00E034A5">
              <w:rPr>
                <w:noProof/>
                <w:webHidden/>
              </w:rPr>
              <w:instrText xml:space="preserve"> PAGEREF _Toc535323841 \h </w:instrText>
            </w:r>
            <w:r w:rsidR="00E034A5">
              <w:rPr>
                <w:noProof/>
                <w:webHidden/>
              </w:rPr>
            </w:r>
            <w:r w:rsidR="00E034A5">
              <w:rPr>
                <w:noProof/>
                <w:webHidden/>
              </w:rPr>
              <w:fldChar w:fldCharType="separate"/>
            </w:r>
            <w:r w:rsidR="00E034A5">
              <w:rPr>
                <w:noProof/>
                <w:webHidden/>
              </w:rPr>
              <w:t>8</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2" w:history="1">
            <w:r w:rsidR="00E034A5" w:rsidRPr="001252B9">
              <w:rPr>
                <w:rStyle w:val="Hyperlink"/>
                <w:rFonts w:ascii="Wingdings" w:eastAsia="Times New Roman" w:hAnsi="Wingdings"/>
                <w:noProof/>
                <w:lang w:eastAsia="bg-BG"/>
              </w:rPr>
              <w:t></w:t>
            </w:r>
            <w:r w:rsidR="00E034A5">
              <w:rPr>
                <w:rFonts w:asciiTheme="minorHAnsi" w:eastAsiaTheme="minorEastAsia" w:hAnsiTheme="minorHAnsi"/>
                <w:noProof/>
                <w:lang w:eastAsia="bg-BG"/>
              </w:rPr>
              <w:tab/>
            </w:r>
            <w:r w:rsidR="00E034A5" w:rsidRPr="001252B9">
              <w:rPr>
                <w:rStyle w:val="Hyperlink"/>
                <w:rFonts w:eastAsia="Times New Roman"/>
                <w:noProof/>
                <w:lang w:eastAsia="bg-BG"/>
              </w:rPr>
              <w:t>Конкурс за проекти по програми за двустранно сътрудничество България – Русия</w:t>
            </w:r>
            <w:r w:rsidR="00E034A5">
              <w:rPr>
                <w:noProof/>
                <w:webHidden/>
              </w:rPr>
              <w:tab/>
            </w:r>
            <w:r w:rsidR="00E034A5">
              <w:rPr>
                <w:noProof/>
                <w:webHidden/>
              </w:rPr>
              <w:fldChar w:fldCharType="begin"/>
            </w:r>
            <w:r w:rsidR="00E034A5">
              <w:rPr>
                <w:noProof/>
                <w:webHidden/>
              </w:rPr>
              <w:instrText xml:space="preserve"> PAGEREF _Toc535323842 \h </w:instrText>
            </w:r>
            <w:r w:rsidR="00E034A5">
              <w:rPr>
                <w:noProof/>
                <w:webHidden/>
              </w:rPr>
            </w:r>
            <w:r w:rsidR="00E034A5">
              <w:rPr>
                <w:noProof/>
                <w:webHidden/>
              </w:rPr>
              <w:fldChar w:fldCharType="separate"/>
            </w:r>
            <w:r w:rsidR="00E034A5">
              <w:rPr>
                <w:noProof/>
                <w:webHidden/>
              </w:rPr>
              <w:t>11</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3"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Конкурс за набиране на проектни предложения на Френския институт в България</w:t>
            </w:r>
            <w:r w:rsidR="00E034A5">
              <w:rPr>
                <w:noProof/>
                <w:webHidden/>
              </w:rPr>
              <w:tab/>
            </w:r>
            <w:r w:rsidR="00E034A5">
              <w:rPr>
                <w:noProof/>
                <w:webHidden/>
              </w:rPr>
              <w:fldChar w:fldCharType="begin"/>
            </w:r>
            <w:r w:rsidR="00E034A5">
              <w:rPr>
                <w:noProof/>
                <w:webHidden/>
              </w:rPr>
              <w:instrText xml:space="preserve"> PAGEREF _Toc535323843 \h </w:instrText>
            </w:r>
            <w:r w:rsidR="00E034A5">
              <w:rPr>
                <w:noProof/>
                <w:webHidden/>
              </w:rPr>
            </w:r>
            <w:r w:rsidR="00E034A5">
              <w:rPr>
                <w:noProof/>
                <w:webHidden/>
              </w:rPr>
              <w:fldChar w:fldCharType="separate"/>
            </w:r>
            <w:r w:rsidR="00E034A5">
              <w:rPr>
                <w:noProof/>
                <w:webHidden/>
              </w:rPr>
              <w:t>15</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4"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Покана за участие в конкурс по Програма QUANTERA</w:t>
            </w:r>
            <w:r w:rsidR="00E034A5">
              <w:rPr>
                <w:noProof/>
                <w:webHidden/>
              </w:rPr>
              <w:tab/>
            </w:r>
            <w:r w:rsidR="00E034A5">
              <w:rPr>
                <w:noProof/>
                <w:webHidden/>
              </w:rPr>
              <w:fldChar w:fldCharType="begin"/>
            </w:r>
            <w:r w:rsidR="00E034A5">
              <w:rPr>
                <w:noProof/>
                <w:webHidden/>
              </w:rPr>
              <w:instrText xml:space="preserve"> PAGEREF _Toc535323844 \h </w:instrText>
            </w:r>
            <w:r w:rsidR="00E034A5">
              <w:rPr>
                <w:noProof/>
                <w:webHidden/>
              </w:rPr>
            </w:r>
            <w:r w:rsidR="00E034A5">
              <w:rPr>
                <w:noProof/>
                <w:webHidden/>
              </w:rPr>
              <w:fldChar w:fldCharType="separate"/>
            </w:r>
            <w:r w:rsidR="00E034A5">
              <w:rPr>
                <w:noProof/>
                <w:webHidden/>
              </w:rPr>
              <w:t>15</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5" w:history="1">
            <w:r w:rsidR="00E034A5" w:rsidRPr="001252B9">
              <w:rPr>
                <w:rStyle w:val="Hyperlink"/>
                <w:rFonts w:ascii="Wingdings" w:hAnsi="Wingdings"/>
                <w:noProof/>
                <w:lang w:val="ru-RU"/>
              </w:rPr>
              <w:t></w:t>
            </w:r>
            <w:r w:rsidR="00E034A5">
              <w:rPr>
                <w:rFonts w:asciiTheme="minorHAnsi" w:eastAsiaTheme="minorEastAsia" w:hAnsiTheme="minorHAnsi"/>
                <w:noProof/>
                <w:lang w:eastAsia="bg-BG"/>
              </w:rPr>
              <w:tab/>
            </w:r>
            <w:r w:rsidR="00E034A5" w:rsidRPr="001252B9">
              <w:rPr>
                <w:rStyle w:val="Hyperlink"/>
                <w:noProof/>
                <w:lang w:val="ru-RU"/>
              </w:rPr>
              <w:t xml:space="preserve">Покана за участие в конкурс по Програма </w:t>
            </w:r>
            <w:r w:rsidR="00E034A5" w:rsidRPr="001252B9">
              <w:rPr>
                <w:rStyle w:val="Hyperlink"/>
                <w:noProof/>
                <w:lang w:val="en-US"/>
              </w:rPr>
              <w:t>EuroNanoMed</w:t>
            </w:r>
            <w:r w:rsidR="00E034A5" w:rsidRPr="001252B9">
              <w:rPr>
                <w:rStyle w:val="Hyperlink"/>
                <w:noProof/>
                <w:lang w:val="ru-RU"/>
              </w:rPr>
              <w:t xml:space="preserve"> ІІІ</w:t>
            </w:r>
            <w:r w:rsidR="00E034A5">
              <w:rPr>
                <w:noProof/>
                <w:webHidden/>
              </w:rPr>
              <w:tab/>
            </w:r>
            <w:r w:rsidR="00E034A5">
              <w:rPr>
                <w:noProof/>
                <w:webHidden/>
              </w:rPr>
              <w:fldChar w:fldCharType="begin"/>
            </w:r>
            <w:r w:rsidR="00E034A5">
              <w:rPr>
                <w:noProof/>
                <w:webHidden/>
              </w:rPr>
              <w:instrText xml:space="preserve"> PAGEREF _Toc535323845 \h </w:instrText>
            </w:r>
            <w:r w:rsidR="00E034A5">
              <w:rPr>
                <w:noProof/>
                <w:webHidden/>
              </w:rPr>
            </w:r>
            <w:r w:rsidR="00E034A5">
              <w:rPr>
                <w:noProof/>
                <w:webHidden/>
              </w:rPr>
              <w:fldChar w:fldCharType="separate"/>
            </w:r>
            <w:r w:rsidR="00E034A5">
              <w:rPr>
                <w:noProof/>
                <w:webHidden/>
              </w:rPr>
              <w:t>17</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6" w:history="1">
            <w:r w:rsidR="00E034A5" w:rsidRPr="001252B9">
              <w:rPr>
                <w:rStyle w:val="Hyperlink"/>
                <w:rFonts w:ascii="Wingdings" w:hAnsi="Wingdings"/>
                <w:noProof/>
                <w:lang w:val="ru-RU"/>
              </w:rPr>
              <w:t></w:t>
            </w:r>
            <w:r w:rsidR="00E034A5">
              <w:rPr>
                <w:rFonts w:asciiTheme="minorHAnsi" w:eastAsiaTheme="minorEastAsia" w:hAnsiTheme="minorHAnsi"/>
                <w:noProof/>
                <w:lang w:eastAsia="bg-BG"/>
              </w:rPr>
              <w:tab/>
            </w:r>
            <w:r w:rsidR="00E034A5" w:rsidRPr="001252B9">
              <w:rPr>
                <w:rStyle w:val="Hyperlink"/>
                <w:noProof/>
                <w:lang w:val="ru-RU"/>
              </w:rPr>
              <w:t>Покана за подаване на предложения по Програма „Еразъм+ 2019“</w:t>
            </w:r>
            <w:r w:rsidR="00E034A5">
              <w:rPr>
                <w:noProof/>
                <w:webHidden/>
              </w:rPr>
              <w:tab/>
            </w:r>
            <w:r w:rsidR="00E034A5">
              <w:rPr>
                <w:noProof/>
                <w:webHidden/>
              </w:rPr>
              <w:fldChar w:fldCharType="begin"/>
            </w:r>
            <w:r w:rsidR="00E034A5">
              <w:rPr>
                <w:noProof/>
                <w:webHidden/>
              </w:rPr>
              <w:instrText xml:space="preserve"> PAGEREF _Toc535323846 \h </w:instrText>
            </w:r>
            <w:r w:rsidR="00E034A5">
              <w:rPr>
                <w:noProof/>
                <w:webHidden/>
              </w:rPr>
            </w:r>
            <w:r w:rsidR="00E034A5">
              <w:rPr>
                <w:noProof/>
                <w:webHidden/>
              </w:rPr>
              <w:fldChar w:fldCharType="separate"/>
            </w:r>
            <w:r w:rsidR="00E034A5">
              <w:rPr>
                <w:noProof/>
                <w:webHidden/>
              </w:rPr>
              <w:t>19</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7"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Четвърта тръжна процедура на Европейската космическа агенция</w:t>
            </w:r>
            <w:r w:rsidR="00E034A5">
              <w:rPr>
                <w:noProof/>
                <w:webHidden/>
              </w:rPr>
              <w:tab/>
            </w:r>
            <w:r w:rsidR="00E034A5">
              <w:rPr>
                <w:noProof/>
                <w:webHidden/>
              </w:rPr>
              <w:fldChar w:fldCharType="begin"/>
            </w:r>
            <w:r w:rsidR="00E034A5">
              <w:rPr>
                <w:noProof/>
                <w:webHidden/>
              </w:rPr>
              <w:instrText xml:space="preserve"> PAGEREF _Toc535323847 \h </w:instrText>
            </w:r>
            <w:r w:rsidR="00E034A5">
              <w:rPr>
                <w:noProof/>
                <w:webHidden/>
              </w:rPr>
            </w:r>
            <w:r w:rsidR="00E034A5">
              <w:rPr>
                <w:noProof/>
                <w:webHidden/>
              </w:rPr>
              <w:fldChar w:fldCharType="separate"/>
            </w:r>
            <w:r w:rsidR="00E034A5">
              <w:rPr>
                <w:noProof/>
                <w:webHidden/>
              </w:rPr>
              <w:t>20</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8" w:history="1">
            <w:r w:rsidR="00E034A5" w:rsidRPr="001252B9">
              <w:rPr>
                <w:rStyle w:val="Hyperlink"/>
                <w:rFonts w:ascii="Wingdings" w:eastAsia="Times New Roman" w:hAnsi="Wingdings"/>
                <w:noProof/>
                <w:lang w:eastAsia="bg-BG"/>
              </w:rPr>
              <w:t></w:t>
            </w:r>
            <w:r w:rsidR="00E034A5">
              <w:rPr>
                <w:rFonts w:asciiTheme="minorHAnsi" w:eastAsiaTheme="minorEastAsia" w:hAnsiTheme="minorHAnsi"/>
                <w:noProof/>
                <w:lang w:eastAsia="bg-BG"/>
              </w:rPr>
              <w:tab/>
            </w:r>
            <w:r w:rsidR="00E034A5" w:rsidRPr="001252B9">
              <w:rPr>
                <w:rStyle w:val="Hyperlink"/>
                <w:rFonts w:eastAsia="Times New Roman"/>
                <w:noProof/>
                <w:lang w:eastAsia="bg-BG"/>
              </w:rPr>
              <w:t>Подкрепа на международни научни форуми, провеждани в Република България</w:t>
            </w:r>
            <w:r w:rsidR="00E034A5">
              <w:rPr>
                <w:noProof/>
                <w:webHidden/>
              </w:rPr>
              <w:tab/>
            </w:r>
            <w:r w:rsidR="00E034A5">
              <w:rPr>
                <w:noProof/>
                <w:webHidden/>
              </w:rPr>
              <w:fldChar w:fldCharType="begin"/>
            </w:r>
            <w:r w:rsidR="00E034A5">
              <w:rPr>
                <w:noProof/>
                <w:webHidden/>
              </w:rPr>
              <w:instrText xml:space="preserve"> PAGEREF _Toc535323848 \h </w:instrText>
            </w:r>
            <w:r w:rsidR="00E034A5">
              <w:rPr>
                <w:noProof/>
                <w:webHidden/>
              </w:rPr>
            </w:r>
            <w:r w:rsidR="00E034A5">
              <w:rPr>
                <w:noProof/>
                <w:webHidden/>
              </w:rPr>
              <w:fldChar w:fldCharType="separate"/>
            </w:r>
            <w:r w:rsidR="00E034A5">
              <w:rPr>
                <w:noProof/>
                <w:webHidden/>
              </w:rPr>
              <w:t>21</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49" w:history="1">
            <w:r w:rsidR="00E034A5" w:rsidRPr="001252B9">
              <w:rPr>
                <w:rStyle w:val="Hyperlink"/>
                <w:rFonts w:ascii="Wingdings" w:eastAsia="Times New Roman" w:hAnsi="Wingdings"/>
                <w:noProof/>
                <w:lang w:val="en-US" w:eastAsia="bg-BG"/>
              </w:rPr>
              <w:t></w:t>
            </w:r>
            <w:r w:rsidR="00E034A5">
              <w:rPr>
                <w:rFonts w:asciiTheme="minorHAnsi" w:eastAsiaTheme="minorEastAsia" w:hAnsiTheme="minorHAnsi"/>
                <w:noProof/>
                <w:lang w:eastAsia="bg-BG"/>
              </w:rPr>
              <w:tab/>
            </w:r>
            <w:r w:rsidR="00E034A5" w:rsidRPr="001252B9">
              <w:rPr>
                <w:rStyle w:val="Hyperlink"/>
                <w:rFonts w:eastAsia="Times New Roman"/>
                <w:noProof/>
                <w:lang w:val="en-US" w:eastAsia="bg-BG"/>
              </w:rPr>
              <w:t>Call for COST Action proposals</w:t>
            </w:r>
            <w:r w:rsidR="00E034A5">
              <w:rPr>
                <w:noProof/>
                <w:webHidden/>
              </w:rPr>
              <w:tab/>
            </w:r>
            <w:r w:rsidR="00E034A5">
              <w:rPr>
                <w:noProof/>
                <w:webHidden/>
              </w:rPr>
              <w:fldChar w:fldCharType="begin"/>
            </w:r>
            <w:r w:rsidR="00E034A5">
              <w:rPr>
                <w:noProof/>
                <w:webHidden/>
              </w:rPr>
              <w:instrText xml:space="preserve"> PAGEREF _Toc535323849 \h </w:instrText>
            </w:r>
            <w:r w:rsidR="00E034A5">
              <w:rPr>
                <w:noProof/>
                <w:webHidden/>
              </w:rPr>
            </w:r>
            <w:r w:rsidR="00E034A5">
              <w:rPr>
                <w:noProof/>
                <w:webHidden/>
              </w:rPr>
              <w:fldChar w:fldCharType="separate"/>
            </w:r>
            <w:r w:rsidR="00E034A5">
              <w:rPr>
                <w:noProof/>
                <w:webHidden/>
              </w:rPr>
              <w:t>22</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50" w:history="1">
            <w:r w:rsidR="00E034A5" w:rsidRPr="001252B9">
              <w:rPr>
                <w:rStyle w:val="Hyperlink"/>
                <w:rFonts w:ascii="Wingdings" w:eastAsia="Times New Roman" w:hAnsi="Wingdings"/>
                <w:noProof/>
                <w:lang w:eastAsia="bg-BG"/>
              </w:rPr>
              <w:t></w:t>
            </w:r>
            <w:r w:rsidR="00E034A5">
              <w:rPr>
                <w:rFonts w:asciiTheme="minorHAnsi" w:eastAsiaTheme="minorEastAsia" w:hAnsiTheme="minorHAnsi"/>
                <w:noProof/>
                <w:lang w:eastAsia="bg-BG"/>
              </w:rPr>
              <w:tab/>
            </w:r>
            <w:r w:rsidR="00E034A5" w:rsidRPr="001252B9">
              <w:rPr>
                <w:rStyle w:val="Hyperlink"/>
                <w:rFonts w:eastAsia="Times New Roman"/>
                <w:noProof/>
                <w:lang w:eastAsia="bg-BG"/>
              </w:rPr>
              <w:t>Национално съфинансиране за участие на български колективи в утвърдени проекти по COST</w:t>
            </w:r>
            <w:r w:rsidR="00E034A5">
              <w:rPr>
                <w:noProof/>
                <w:webHidden/>
              </w:rPr>
              <w:tab/>
            </w:r>
            <w:r w:rsidR="00E034A5">
              <w:rPr>
                <w:noProof/>
                <w:webHidden/>
              </w:rPr>
              <w:fldChar w:fldCharType="begin"/>
            </w:r>
            <w:r w:rsidR="00E034A5">
              <w:rPr>
                <w:noProof/>
                <w:webHidden/>
              </w:rPr>
              <w:instrText xml:space="preserve"> PAGEREF _Toc535323850 \h </w:instrText>
            </w:r>
            <w:r w:rsidR="00E034A5">
              <w:rPr>
                <w:noProof/>
                <w:webHidden/>
              </w:rPr>
            </w:r>
            <w:r w:rsidR="00E034A5">
              <w:rPr>
                <w:noProof/>
                <w:webHidden/>
              </w:rPr>
              <w:fldChar w:fldCharType="separate"/>
            </w:r>
            <w:r w:rsidR="00E034A5">
              <w:rPr>
                <w:noProof/>
                <w:webHidden/>
              </w:rPr>
              <w:t>23</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51"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Конкурс за научни изследвания на Кралската академия на Белгия</w:t>
            </w:r>
            <w:r w:rsidR="00E034A5">
              <w:rPr>
                <w:noProof/>
                <w:webHidden/>
              </w:rPr>
              <w:tab/>
            </w:r>
            <w:r w:rsidR="00E034A5">
              <w:rPr>
                <w:noProof/>
                <w:webHidden/>
              </w:rPr>
              <w:fldChar w:fldCharType="begin"/>
            </w:r>
            <w:r w:rsidR="00E034A5">
              <w:rPr>
                <w:noProof/>
                <w:webHidden/>
              </w:rPr>
              <w:instrText xml:space="preserve"> PAGEREF _Toc535323851 \h </w:instrText>
            </w:r>
            <w:r w:rsidR="00E034A5">
              <w:rPr>
                <w:noProof/>
                <w:webHidden/>
              </w:rPr>
            </w:r>
            <w:r w:rsidR="00E034A5">
              <w:rPr>
                <w:noProof/>
                <w:webHidden/>
              </w:rPr>
              <w:fldChar w:fldCharType="separate"/>
            </w:r>
            <w:r w:rsidR="00E034A5">
              <w:rPr>
                <w:noProof/>
                <w:webHidden/>
              </w:rPr>
              <w:t>24</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52"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Програма: „Америка за България”</w:t>
            </w:r>
            <w:r w:rsidR="00E034A5">
              <w:rPr>
                <w:noProof/>
                <w:webHidden/>
              </w:rPr>
              <w:tab/>
            </w:r>
            <w:r w:rsidR="00E034A5">
              <w:rPr>
                <w:noProof/>
                <w:webHidden/>
              </w:rPr>
              <w:fldChar w:fldCharType="begin"/>
            </w:r>
            <w:r w:rsidR="00E034A5">
              <w:rPr>
                <w:noProof/>
                <w:webHidden/>
              </w:rPr>
              <w:instrText xml:space="preserve"> PAGEREF _Toc535323852 \h </w:instrText>
            </w:r>
            <w:r w:rsidR="00E034A5">
              <w:rPr>
                <w:noProof/>
                <w:webHidden/>
              </w:rPr>
            </w:r>
            <w:r w:rsidR="00E034A5">
              <w:rPr>
                <w:noProof/>
                <w:webHidden/>
              </w:rPr>
              <w:fldChar w:fldCharType="separate"/>
            </w:r>
            <w:r w:rsidR="00E034A5">
              <w:rPr>
                <w:noProof/>
                <w:webHidden/>
              </w:rPr>
              <w:t>24</w:t>
            </w:r>
            <w:r w:rsidR="00E034A5">
              <w:rPr>
                <w:noProof/>
                <w:webHidden/>
              </w:rPr>
              <w:fldChar w:fldCharType="end"/>
            </w:r>
          </w:hyperlink>
        </w:p>
        <w:p w:rsidR="00E034A5" w:rsidRDefault="00235C47">
          <w:pPr>
            <w:pStyle w:val="TOC1"/>
            <w:tabs>
              <w:tab w:val="right" w:leader="dot" w:pos="9062"/>
            </w:tabs>
            <w:rPr>
              <w:rFonts w:asciiTheme="minorHAnsi" w:eastAsiaTheme="minorEastAsia" w:hAnsiTheme="minorHAnsi"/>
              <w:noProof/>
              <w:lang w:eastAsia="bg-BG"/>
            </w:rPr>
          </w:pPr>
          <w:hyperlink w:anchor="_Toc535323853" w:history="1">
            <w:r w:rsidR="00E034A5" w:rsidRPr="001252B9">
              <w:rPr>
                <w:rStyle w:val="Hyperlink"/>
                <w:noProof/>
              </w:rPr>
              <w:t>СЪБИТИЯ</w:t>
            </w:r>
            <w:r w:rsidR="00E034A5">
              <w:rPr>
                <w:noProof/>
                <w:webHidden/>
              </w:rPr>
              <w:tab/>
            </w:r>
            <w:r w:rsidR="00E034A5">
              <w:rPr>
                <w:noProof/>
                <w:webHidden/>
              </w:rPr>
              <w:fldChar w:fldCharType="begin"/>
            </w:r>
            <w:r w:rsidR="00E034A5">
              <w:rPr>
                <w:noProof/>
                <w:webHidden/>
              </w:rPr>
              <w:instrText xml:space="preserve"> PAGEREF _Toc535323853 \h </w:instrText>
            </w:r>
            <w:r w:rsidR="00E034A5">
              <w:rPr>
                <w:noProof/>
                <w:webHidden/>
              </w:rPr>
            </w:r>
            <w:r w:rsidR="00E034A5">
              <w:rPr>
                <w:noProof/>
                <w:webHidden/>
              </w:rPr>
              <w:fldChar w:fldCharType="separate"/>
            </w:r>
            <w:r w:rsidR="00E034A5">
              <w:rPr>
                <w:noProof/>
                <w:webHidden/>
              </w:rPr>
              <w:t>26</w:t>
            </w:r>
            <w:r w:rsidR="00E034A5">
              <w:rPr>
                <w:noProof/>
                <w:webHidden/>
              </w:rPr>
              <w:fldChar w:fldCharType="end"/>
            </w:r>
          </w:hyperlink>
        </w:p>
        <w:p w:rsidR="00E034A5" w:rsidRDefault="00235C47">
          <w:pPr>
            <w:pStyle w:val="TOC1"/>
            <w:tabs>
              <w:tab w:val="right" w:leader="dot" w:pos="9062"/>
            </w:tabs>
            <w:rPr>
              <w:rFonts w:asciiTheme="minorHAnsi" w:eastAsiaTheme="minorEastAsia" w:hAnsiTheme="minorHAnsi"/>
              <w:noProof/>
              <w:lang w:eastAsia="bg-BG"/>
            </w:rPr>
          </w:pPr>
          <w:hyperlink w:anchor="_Toc535323854" w:history="1">
            <w:r w:rsidR="00E034A5" w:rsidRPr="001252B9">
              <w:rPr>
                <w:rStyle w:val="Hyperlink"/>
                <w:noProof/>
              </w:rPr>
              <w:t>ПУБЛИКАЦИИ</w:t>
            </w:r>
            <w:r w:rsidR="00E034A5">
              <w:rPr>
                <w:noProof/>
                <w:webHidden/>
              </w:rPr>
              <w:tab/>
            </w:r>
            <w:r w:rsidR="00E034A5">
              <w:rPr>
                <w:noProof/>
                <w:webHidden/>
              </w:rPr>
              <w:fldChar w:fldCharType="begin"/>
            </w:r>
            <w:r w:rsidR="00E034A5">
              <w:rPr>
                <w:noProof/>
                <w:webHidden/>
              </w:rPr>
              <w:instrText xml:space="preserve"> PAGEREF _Toc535323854 \h </w:instrText>
            </w:r>
            <w:r w:rsidR="00E034A5">
              <w:rPr>
                <w:noProof/>
                <w:webHidden/>
              </w:rPr>
            </w:r>
            <w:r w:rsidR="00E034A5">
              <w:rPr>
                <w:noProof/>
                <w:webHidden/>
              </w:rPr>
              <w:fldChar w:fldCharType="separate"/>
            </w:r>
            <w:r w:rsidR="00E034A5">
              <w:rPr>
                <w:noProof/>
                <w:webHidden/>
              </w:rPr>
              <w:t>31</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55" w:history="1">
            <w:r w:rsidR="00E034A5" w:rsidRPr="001252B9">
              <w:rPr>
                <w:rStyle w:val="Hyperlink"/>
                <w:rFonts w:ascii="Wingdings" w:hAnsi="Wingdings"/>
                <w:noProof/>
                <w:lang w:val="en-US"/>
              </w:rPr>
              <w:t></w:t>
            </w:r>
            <w:r w:rsidR="00E034A5">
              <w:rPr>
                <w:rFonts w:asciiTheme="minorHAnsi" w:eastAsiaTheme="minorEastAsia" w:hAnsiTheme="minorHAnsi"/>
                <w:noProof/>
                <w:lang w:eastAsia="bg-BG"/>
              </w:rPr>
              <w:tab/>
            </w:r>
            <w:r w:rsidR="00E034A5" w:rsidRPr="001252B9">
              <w:rPr>
                <w:rStyle w:val="Hyperlink"/>
                <w:noProof/>
                <w:lang w:val="en-US"/>
              </w:rPr>
              <w:t>RESEARCH EU</w:t>
            </w:r>
            <w:r w:rsidR="00E034A5">
              <w:rPr>
                <w:noProof/>
                <w:webHidden/>
              </w:rPr>
              <w:tab/>
            </w:r>
            <w:r w:rsidR="00E034A5">
              <w:rPr>
                <w:noProof/>
                <w:webHidden/>
              </w:rPr>
              <w:fldChar w:fldCharType="begin"/>
            </w:r>
            <w:r w:rsidR="00E034A5">
              <w:rPr>
                <w:noProof/>
                <w:webHidden/>
              </w:rPr>
              <w:instrText xml:space="preserve"> PAGEREF _Toc535323855 \h </w:instrText>
            </w:r>
            <w:r w:rsidR="00E034A5">
              <w:rPr>
                <w:noProof/>
                <w:webHidden/>
              </w:rPr>
            </w:r>
            <w:r w:rsidR="00E034A5">
              <w:rPr>
                <w:noProof/>
                <w:webHidden/>
              </w:rPr>
              <w:fldChar w:fldCharType="separate"/>
            </w:r>
            <w:r w:rsidR="00E034A5">
              <w:rPr>
                <w:noProof/>
                <w:webHidden/>
              </w:rPr>
              <w:t>31</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56"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Nephrology Dialysis Transplantation, Volume 33 - Magnetic Resonance Imaging Biomarkers in Renal Disease</w:t>
            </w:r>
            <w:r w:rsidR="00E034A5">
              <w:rPr>
                <w:noProof/>
                <w:webHidden/>
              </w:rPr>
              <w:tab/>
            </w:r>
            <w:r w:rsidR="00E034A5">
              <w:rPr>
                <w:noProof/>
                <w:webHidden/>
              </w:rPr>
              <w:fldChar w:fldCharType="begin"/>
            </w:r>
            <w:r w:rsidR="00E034A5">
              <w:rPr>
                <w:noProof/>
                <w:webHidden/>
              </w:rPr>
              <w:instrText xml:space="preserve"> PAGEREF _Toc535323856 \h </w:instrText>
            </w:r>
            <w:r w:rsidR="00E034A5">
              <w:rPr>
                <w:noProof/>
                <w:webHidden/>
              </w:rPr>
            </w:r>
            <w:r w:rsidR="00E034A5">
              <w:rPr>
                <w:noProof/>
                <w:webHidden/>
              </w:rPr>
              <w:fldChar w:fldCharType="separate"/>
            </w:r>
            <w:r w:rsidR="00E034A5">
              <w:rPr>
                <w:noProof/>
                <w:webHidden/>
              </w:rPr>
              <w:t>31</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57" w:history="1">
            <w:r w:rsidR="00E034A5" w:rsidRPr="001252B9">
              <w:rPr>
                <w:rStyle w:val="Hyperlink"/>
                <w:rFonts w:ascii="Wingdings" w:hAnsi="Wingdings"/>
                <w:noProof/>
              </w:rPr>
              <w:t></w:t>
            </w:r>
            <w:r w:rsidR="00E034A5">
              <w:rPr>
                <w:rFonts w:asciiTheme="minorHAnsi" w:eastAsiaTheme="minorEastAsia" w:hAnsiTheme="minorHAnsi"/>
                <w:noProof/>
                <w:lang w:eastAsia="bg-BG"/>
              </w:rPr>
              <w:tab/>
            </w:r>
            <w:r w:rsidR="00E034A5" w:rsidRPr="001252B9">
              <w:rPr>
                <w:rStyle w:val="Hyperlink"/>
                <w:noProof/>
              </w:rPr>
              <w:t>Guidelines for supporting children with disabilities' play: Methodologies, tools, and contexts</w:t>
            </w:r>
            <w:r w:rsidR="00E034A5">
              <w:rPr>
                <w:noProof/>
                <w:webHidden/>
              </w:rPr>
              <w:tab/>
            </w:r>
            <w:r w:rsidR="00E034A5">
              <w:rPr>
                <w:noProof/>
                <w:webHidden/>
              </w:rPr>
              <w:fldChar w:fldCharType="begin"/>
            </w:r>
            <w:r w:rsidR="00E034A5">
              <w:rPr>
                <w:noProof/>
                <w:webHidden/>
              </w:rPr>
              <w:instrText xml:space="preserve"> PAGEREF _Toc535323857 \h </w:instrText>
            </w:r>
            <w:r w:rsidR="00E034A5">
              <w:rPr>
                <w:noProof/>
                <w:webHidden/>
              </w:rPr>
            </w:r>
            <w:r w:rsidR="00E034A5">
              <w:rPr>
                <w:noProof/>
                <w:webHidden/>
              </w:rPr>
              <w:fldChar w:fldCharType="separate"/>
            </w:r>
            <w:r w:rsidR="00E034A5">
              <w:rPr>
                <w:noProof/>
                <w:webHidden/>
              </w:rPr>
              <w:t>32</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58" w:history="1">
            <w:r w:rsidR="00E034A5" w:rsidRPr="001252B9">
              <w:rPr>
                <w:rStyle w:val="Hyperlink"/>
                <w:rFonts w:ascii="Wingdings" w:hAnsi="Wingdings"/>
                <w:noProof/>
                <w:lang w:val="en-US"/>
              </w:rPr>
              <w:t></w:t>
            </w:r>
            <w:r w:rsidR="00E034A5">
              <w:rPr>
                <w:rFonts w:asciiTheme="minorHAnsi" w:eastAsiaTheme="minorEastAsia" w:hAnsiTheme="minorHAnsi"/>
                <w:noProof/>
                <w:lang w:eastAsia="bg-BG"/>
              </w:rPr>
              <w:tab/>
            </w:r>
            <w:r w:rsidR="00E034A5" w:rsidRPr="001252B9">
              <w:rPr>
                <w:rStyle w:val="Hyperlink"/>
                <w:noProof/>
              </w:rPr>
              <w:t>European University Association: A comparative analysis of public procurement frameworks and practices in universities in some EU countries</w:t>
            </w:r>
            <w:r w:rsidR="00E034A5">
              <w:rPr>
                <w:noProof/>
                <w:webHidden/>
              </w:rPr>
              <w:tab/>
            </w:r>
            <w:r w:rsidR="00E034A5">
              <w:rPr>
                <w:noProof/>
                <w:webHidden/>
              </w:rPr>
              <w:fldChar w:fldCharType="begin"/>
            </w:r>
            <w:r w:rsidR="00E034A5">
              <w:rPr>
                <w:noProof/>
                <w:webHidden/>
              </w:rPr>
              <w:instrText xml:space="preserve"> PAGEREF _Toc535323858 \h </w:instrText>
            </w:r>
            <w:r w:rsidR="00E034A5">
              <w:rPr>
                <w:noProof/>
                <w:webHidden/>
              </w:rPr>
            </w:r>
            <w:r w:rsidR="00E034A5">
              <w:rPr>
                <w:noProof/>
                <w:webHidden/>
              </w:rPr>
              <w:fldChar w:fldCharType="separate"/>
            </w:r>
            <w:r w:rsidR="00E034A5">
              <w:rPr>
                <w:noProof/>
                <w:webHidden/>
              </w:rPr>
              <w:t>32</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59" w:history="1">
            <w:r w:rsidR="00E034A5" w:rsidRPr="001252B9">
              <w:rPr>
                <w:rStyle w:val="Hyperlink"/>
                <w:rFonts w:ascii="Wingdings" w:hAnsi="Wingdings" w:cs="Helvetica"/>
                <w:noProof/>
                <w:lang w:val="en-GB"/>
              </w:rPr>
              <w:t></w:t>
            </w:r>
            <w:r w:rsidR="00E034A5">
              <w:rPr>
                <w:rFonts w:asciiTheme="minorHAnsi" w:eastAsiaTheme="minorEastAsia" w:hAnsiTheme="minorHAnsi"/>
                <w:noProof/>
                <w:lang w:eastAsia="bg-BG"/>
              </w:rPr>
              <w:tab/>
            </w:r>
            <w:r w:rsidR="00E034A5" w:rsidRPr="001252B9">
              <w:rPr>
                <w:rStyle w:val="Hyperlink"/>
                <w:noProof/>
              </w:rPr>
              <w:t>European University Association:</w:t>
            </w:r>
            <w:r w:rsidR="00E034A5" w:rsidRPr="001252B9">
              <w:rPr>
                <w:rStyle w:val="Hyperlink"/>
                <w:rFonts w:cs="Helvetica"/>
                <w:noProof/>
                <w:lang w:val="en-GB"/>
              </w:rPr>
              <w:t xml:space="preserve"> </w:t>
            </w:r>
            <w:r w:rsidR="00E034A5" w:rsidRPr="001252B9">
              <w:rPr>
                <w:rStyle w:val="Hyperlink"/>
                <w:rFonts w:cs="Helvetica"/>
                <w:noProof/>
                <w:bdr w:val="none" w:sz="0" w:space="0" w:color="auto" w:frame="1"/>
                <w:lang w:val="en-GB"/>
              </w:rPr>
              <w:t>Efficiency, Leadership and Governance: Closing the gap between strategy and execution</w:t>
            </w:r>
            <w:r w:rsidR="00E034A5">
              <w:rPr>
                <w:noProof/>
                <w:webHidden/>
              </w:rPr>
              <w:tab/>
            </w:r>
            <w:r w:rsidR="00E034A5">
              <w:rPr>
                <w:noProof/>
                <w:webHidden/>
              </w:rPr>
              <w:fldChar w:fldCharType="begin"/>
            </w:r>
            <w:r w:rsidR="00E034A5">
              <w:rPr>
                <w:noProof/>
                <w:webHidden/>
              </w:rPr>
              <w:instrText xml:space="preserve"> PAGEREF _Toc535323859 \h </w:instrText>
            </w:r>
            <w:r w:rsidR="00E034A5">
              <w:rPr>
                <w:noProof/>
                <w:webHidden/>
              </w:rPr>
            </w:r>
            <w:r w:rsidR="00E034A5">
              <w:rPr>
                <w:noProof/>
                <w:webHidden/>
              </w:rPr>
              <w:fldChar w:fldCharType="separate"/>
            </w:r>
            <w:r w:rsidR="00E034A5">
              <w:rPr>
                <w:noProof/>
                <w:webHidden/>
              </w:rPr>
              <w:t>33</w:t>
            </w:r>
            <w:r w:rsidR="00E034A5">
              <w:rPr>
                <w:noProof/>
                <w:webHidden/>
              </w:rPr>
              <w:fldChar w:fldCharType="end"/>
            </w:r>
          </w:hyperlink>
        </w:p>
        <w:p w:rsidR="00E034A5" w:rsidRDefault="00235C47">
          <w:pPr>
            <w:pStyle w:val="TOC2"/>
            <w:tabs>
              <w:tab w:val="left" w:pos="660"/>
              <w:tab w:val="right" w:leader="dot" w:pos="9062"/>
            </w:tabs>
            <w:rPr>
              <w:rFonts w:asciiTheme="minorHAnsi" w:eastAsiaTheme="minorEastAsia" w:hAnsiTheme="minorHAnsi"/>
              <w:noProof/>
              <w:lang w:eastAsia="bg-BG"/>
            </w:rPr>
          </w:pPr>
          <w:hyperlink w:anchor="_Toc535323860" w:history="1">
            <w:r w:rsidR="00E034A5" w:rsidRPr="001252B9">
              <w:rPr>
                <w:rStyle w:val="Hyperlink"/>
                <w:rFonts w:ascii="Wingdings" w:hAnsi="Wingdings"/>
                <w:noProof/>
                <w:lang w:val="en-US"/>
              </w:rPr>
              <w:t></w:t>
            </w:r>
            <w:r w:rsidR="00E034A5">
              <w:rPr>
                <w:rFonts w:asciiTheme="minorHAnsi" w:eastAsiaTheme="minorEastAsia" w:hAnsiTheme="minorHAnsi"/>
                <w:noProof/>
                <w:lang w:eastAsia="bg-BG"/>
              </w:rPr>
              <w:tab/>
            </w:r>
            <w:r w:rsidR="00E034A5" w:rsidRPr="001252B9">
              <w:rPr>
                <w:rStyle w:val="Hyperlink"/>
                <w:noProof/>
                <w:lang w:val="en-US"/>
              </w:rPr>
              <w:t>ECOSTBio: Explicit Control Over Spin States in Technology and Biochemistry - Special Issue in Chemistry: A European Journal</w:t>
            </w:r>
            <w:r w:rsidR="00E034A5">
              <w:rPr>
                <w:noProof/>
                <w:webHidden/>
              </w:rPr>
              <w:tab/>
            </w:r>
            <w:r w:rsidR="00E034A5">
              <w:rPr>
                <w:noProof/>
                <w:webHidden/>
              </w:rPr>
              <w:fldChar w:fldCharType="begin"/>
            </w:r>
            <w:r w:rsidR="00E034A5">
              <w:rPr>
                <w:noProof/>
                <w:webHidden/>
              </w:rPr>
              <w:instrText xml:space="preserve"> PAGEREF _Toc535323860 \h </w:instrText>
            </w:r>
            <w:r w:rsidR="00E034A5">
              <w:rPr>
                <w:noProof/>
                <w:webHidden/>
              </w:rPr>
            </w:r>
            <w:r w:rsidR="00E034A5">
              <w:rPr>
                <w:noProof/>
                <w:webHidden/>
              </w:rPr>
              <w:fldChar w:fldCharType="separate"/>
            </w:r>
            <w:r w:rsidR="00E034A5">
              <w:rPr>
                <w:noProof/>
                <w:webHidden/>
              </w:rPr>
              <w:t>33</w:t>
            </w:r>
            <w:r w:rsidR="00E034A5">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lastRenderedPageBreak/>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53532383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F505B8" w:rsidRPr="00F505B8" w:rsidRDefault="00F505B8" w:rsidP="001D3E1A">
      <w:pPr>
        <w:pStyle w:val="Heading2"/>
        <w:ind w:left="426"/>
      </w:pPr>
      <w:bookmarkStart w:id="2" w:name="_Toc535323832"/>
      <w:r w:rsidRPr="00F505B8">
        <w:t>Ritchie-Jennings Memorial Scholarship Program</w:t>
      </w:r>
      <w:bookmarkEnd w:id="2"/>
    </w:p>
    <w:p w:rsidR="00F505B8" w:rsidRPr="00FA556E" w:rsidRDefault="00F505B8" w:rsidP="00F505B8">
      <w:pPr>
        <w:spacing w:before="120" w:after="120"/>
        <w:rPr>
          <w:sz w:val="24"/>
          <w:szCs w:val="24"/>
        </w:rPr>
      </w:pPr>
      <w:r w:rsidRPr="00FA556E">
        <w:rPr>
          <w:sz w:val="24"/>
          <w:szCs w:val="24"/>
        </w:rPr>
        <w:t>Through the Ritchie-Jennings Memorial Scholarship, the ACFE Foundation supports the education of students who have an interest in pursuing a career in fraud examination. The scholarship provides an opportunity for students to advance their education and anti-fraud career paths. Many of these outstanding and deserving students go on to become Certified Fraud Examiners.</w:t>
      </w:r>
    </w:p>
    <w:p w:rsidR="00F505B8" w:rsidRPr="00FA556E" w:rsidRDefault="00F505B8" w:rsidP="00F505B8">
      <w:pPr>
        <w:spacing w:before="120" w:after="120"/>
        <w:rPr>
          <w:sz w:val="24"/>
          <w:szCs w:val="24"/>
        </w:rPr>
      </w:pPr>
      <w:r w:rsidRPr="00FA556E">
        <w:rPr>
          <w:sz w:val="24"/>
          <w:szCs w:val="24"/>
        </w:rPr>
        <w:t>The Ritchie-Jennings Memorial scholarship award amounts are $10,000, $5,000, $2,500, and $1,000. Scholarships are awarded in U.S. dollars and include a one-year ACFE Student Associate membership . Awards will be paid directly to the award recipient’s university.</w:t>
      </w:r>
    </w:p>
    <w:p w:rsidR="00F505B8" w:rsidRPr="00FA556E" w:rsidRDefault="00F505B8" w:rsidP="00F505B8">
      <w:pPr>
        <w:spacing w:before="120" w:after="120"/>
        <w:rPr>
          <w:sz w:val="24"/>
          <w:szCs w:val="24"/>
        </w:rPr>
      </w:pPr>
      <w:r w:rsidRPr="00FA556E">
        <w:rPr>
          <w:sz w:val="24"/>
          <w:szCs w:val="24"/>
        </w:rPr>
        <w:t>2019-2020 Scholarship Schedule:</w:t>
      </w:r>
    </w:p>
    <w:p w:rsidR="00F505B8" w:rsidRPr="001D3E1A" w:rsidRDefault="00F505B8" w:rsidP="00B67654">
      <w:pPr>
        <w:pStyle w:val="ListParagraph"/>
        <w:numPr>
          <w:ilvl w:val="0"/>
          <w:numId w:val="5"/>
        </w:numPr>
        <w:spacing w:before="120" w:after="120"/>
        <w:rPr>
          <w:sz w:val="24"/>
          <w:szCs w:val="24"/>
        </w:rPr>
      </w:pPr>
      <w:r w:rsidRPr="001D3E1A">
        <w:rPr>
          <w:sz w:val="24"/>
          <w:szCs w:val="24"/>
        </w:rPr>
        <w:t>2019-2020 Application - NOW OPEN</w:t>
      </w:r>
    </w:p>
    <w:p w:rsidR="00F505B8" w:rsidRPr="001D3E1A" w:rsidRDefault="00F505B8" w:rsidP="00B67654">
      <w:pPr>
        <w:pStyle w:val="ListParagraph"/>
        <w:numPr>
          <w:ilvl w:val="0"/>
          <w:numId w:val="5"/>
        </w:numPr>
        <w:spacing w:before="120" w:after="120"/>
        <w:rPr>
          <w:sz w:val="24"/>
          <w:szCs w:val="24"/>
        </w:rPr>
      </w:pPr>
      <w:r w:rsidRPr="001D3E1A">
        <w:rPr>
          <w:sz w:val="24"/>
          <w:szCs w:val="24"/>
        </w:rPr>
        <w:t>Application Deadline – Completed online by January 30, 2019</w:t>
      </w:r>
    </w:p>
    <w:p w:rsidR="00F505B8" w:rsidRPr="001D3E1A" w:rsidRDefault="00F505B8" w:rsidP="00B67654">
      <w:pPr>
        <w:pStyle w:val="ListParagraph"/>
        <w:numPr>
          <w:ilvl w:val="0"/>
          <w:numId w:val="5"/>
        </w:numPr>
        <w:spacing w:before="120" w:after="120"/>
        <w:rPr>
          <w:sz w:val="24"/>
          <w:szCs w:val="24"/>
        </w:rPr>
      </w:pPr>
      <w:r w:rsidRPr="001D3E1A">
        <w:rPr>
          <w:sz w:val="24"/>
          <w:szCs w:val="24"/>
        </w:rPr>
        <w:t>Scholarship Award Recipients Announced – April 20, 2019</w:t>
      </w:r>
    </w:p>
    <w:p w:rsidR="00F505B8" w:rsidRPr="001D3E1A" w:rsidRDefault="00F505B8" w:rsidP="00B67654">
      <w:pPr>
        <w:pStyle w:val="ListParagraph"/>
        <w:numPr>
          <w:ilvl w:val="0"/>
          <w:numId w:val="5"/>
        </w:numPr>
        <w:spacing w:before="120" w:after="120"/>
        <w:rPr>
          <w:sz w:val="24"/>
          <w:szCs w:val="24"/>
        </w:rPr>
      </w:pPr>
      <w:r w:rsidRPr="001D3E1A">
        <w:rPr>
          <w:sz w:val="24"/>
          <w:szCs w:val="24"/>
        </w:rPr>
        <w:t>Scholarship Awards Distributed – April 30, 2019</w:t>
      </w:r>
    </w:p>
    <w:p w:rsidR="00F505B8" w:rsidRPr="00FA556E" w:rsidRDefault="00F505B8" w:rsidP="00F505B8">
      <w:pPr>
        <w:spacing w:before="120" w:after="120"/>
        <w:rPr>
          <w:sz w:val="24"/>
          <w:szCs w:val="24"/>
        </w:rPr>
      </w:pPr>
      <w:r w:rsidRPr="00FA556E">
        <w:rPr>
          <w:sz w:val="24"/>
          <w:szCs w:val="24"/>
        </w:rPr>
        <w:t xml:space="preserve">Eligibility Criteria  </w:t>
      </w:r>
    </w:p>
    <w:p w:rsidR="00F505B8" w:rsidRPr="00FA556E" w:rsidRDefault="00F505B8" w:rsidP="00F505B8">
      <w:pPr>
        <w:spacing w:before="120" w:after="120"/>
        <w:rPr>
          <w:sz w:val="24"/>
          <w:szCs w:val="24"/>
        </w:rPr>
      </w:pPr>
      <w:r w:rsidRPr="00FA556E">
        <w:rPr>
          <w:sz w:val="24"/>
          <w:szCs w:val="24"/>
        </w:rPr>
        <w:t>Scholarship applicants must currently be enrolled full-time and similarly enrolled during the 2019-2020 academic year at an accredited, four-year college or university. Applicants must have a declared major or minor in accounting, business administration, finance or criminal justice and demonstrate a desire to pursue a career in fraud examination or similar anti-fraud profession.</w:t>
      </w:r>
    </w:p>
    <w:p w:rsidR="00F505B8" w:rsidRPr="00FA556E" w:rsidRDefault="00F505B8" w:rsidP="00F505B8">
      <w:pPr>
        <w:spacing w:before="120" w:after="120"/>
        <w:rPr>
          <w:sz w:val="24"/>
          <w:szCs w:val="24"/>
        </w:rPr>
      </w:pPr>
      <w:r w:rsidRPr="00FA556E">
        <w:rPr>
          <w:sz w:val="24"/>
          <w:szCs w:val="24"/>
        </w:rPr>
        <w:t xml:space="preserve">Applicants must meet the following requirements in order to be eligible: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Undergraduates must be enrolled 9 semester hours (or equivalent) per term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Graduates must be enrolled 6 semester hours (or equivalent) per term </w:t>
      </w:r>
    </w:p>
    <w:p w:rsidR="00F505B8" w:rsidRPr="001D3E1A" w:rsidRDefault="00F505B8" w:rsidP="00B67654">
      <w:pPr>
        <w:pStyle w:val="ListParagraph"/>
        <w:numPr>
          <w:ilvl w:val="0"/>
          <w:numId w:val="6"/>
        </w:numPr>
        <w:spacing w:before="120" w:after="120"/>
        <w:rPr>
          <w:sz w:val="24"/>
          <w:szCs w:val="24"/>
        </w:rPr>
      </w:pPr>
      <w:r w:rsidRPr="001D3E1A">
        <w:rPr>
          <w:sz w:val="24"/>
          <w:szCs w:val="24"/>
        </w:rPr>
        <w:t>Be currently enrolled at an accredited, four-year college or university with enrollment through the 2019-2020 academic year</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Submit a Completed Ritchie-Jennings Memorial Scholarship application  </w:t>
      </w:r>
    </w:p>
    <w:p w:rsidR="00F505B8" w:rsidRPr="001D3E1A" w:rsidRDefault="00F505B8" w:rsidP="00B67654">
      <w:pPr>
        <w:pStyle w:val="ListParagraph"/>
        <w:numPr>
          <w:ilvl w:val="0"/>
          <w:numId w:val="6"/>
        </w:numPr>
        <w:spacing w:before="120" w:after="120"/>
        <w:rPr>
          <w:sz w:val="24"/>
          <w:szCs w:val="24"/>
        </w:rPr>
      </w:pPr>
      <w:r w:rsidRPr="001D3E1A">
        <w:rPr>
          <w:sz w:val="24"/>
          <w:szCs w:val="24"/>
        </w:rPr>
        <w:t xml:space="preserve">Provide Official Transcript(s) showing all completed college or university courses </w:t>
      </w:r>
    </w:p>
    <w:p w:rsidR="00F505B8" w:rsidRPr="001D3E1A" w:rsidRDefault="00F505B8" w:rsidP="00B67654">
      <w:pPr>
        <w:pStyle w:val="ListParagraph"/>
        <w:numPr>
          <w:ilvl w:val="0"/>
          <w:numId w:val="6"/>
        </w:numPr>
        <w:spacing w:before="120" w:after="120"/>
        <w:rPr>
          <w:sz w:val="24"/>
          <w:szCs w:val="24"/>
        </w:rPr>
      </w:pPr>
      <w:r w:rsidRPr="001D3E1A">
        <w:rPr>
          <w:sz w:val="24"/>
          <w:szCs w:val="24"/>
        </w:rPr>
        <w:t>Two recommendation forms must be submitted on behalf of the applicant*</w:t>
      </w:r>
    </w:p>
    <w:p w:rsidR="00F505B8" w:rsidRPr="00FA556E" w:rsidRDefault="00F505B8" w:rsidP="00F505B8">
      <w:pPr>
        <w:spacing w:before="120" w:after="120"/>
        <w:rPr>
          <w:sz w:val="24"/>
          <w:szCs w:val="24"/>
        </w:rPr>
      </w:pPr>
      <w:r w:rsidRPr="00FA556E">
        <w:rPr>
          <w:sz w:val="24"/>
          <w:szCs w:val="24"/>
        </w:rPr>
        <w:t xml:space="preserve">*At least one form is preferred to be from a Certified Fraud Examiner (CFE) or a professor. Students are encouraged to meet with a Local ACFE Chapter to become acquainted with a CFE. Additional recommendation forms should be requested from an individual who may be familiar with your fraud-related education, interests, goals, and anti-fraud career path such as an employer or professor. </w:t>
      </w:r>
    </w:p>
    <w:p w:rsidR="00F505B8" w:rsidRPr="00FA556E" w:rsidRDefault="00F505B8" w:rsidP="00F505B8">
      <w:pPr>
        <w:spacing w:before="120" w:after="120"/>
        <w:rPr>
          <w:sz w:val="24"/>
          <w:szCs w:val="24"/>
        </w:rPr>
      </w:pPr>
      <w:r w:rsidRPr="00FA556E">
        <w:rPr>
          <w:sz w:val="24"/>
          <w:szCs w:val="24"/>
        </w:rPr>
        <w:t>During the application process, you will provide information on two recommenders. These individuals will receive a link to upload their individual recommendation forms on your behalf.</w:t>
      </w:r>
    </w:p>
    <w:p w:rsidR="00F505B8" w:rsidRDefault="00235C47" w:rsidP="00F505B8">
      <w:pPr>
        <w:spacing w:before="120" w:after="120"/>
        <w:rPr>
          <w:rStyle w:val="Hyperlink"/>
          <w:sz w:val="24"/>
          <w:szCs w:val="24"/>
          <w:lang w:val="en-US"/>
        </w:rPr>
      </w:pPr>
      <w:hyperlink r:id="rId11" w:history="1">
        <w:r w:rsidR="00FA556E" w:rsidRPr="00FA556E">
          <w:rPr>
            <w:rStyle w:val="Hyperlink"/>
            <w:sz w:val="24"/>
            <w:szCs w:val="24"/>
            <w:lang w:val="en-US"/>
          </w:rPr>
          <w:t>More information</w:t>
        </w:r>
      </w:hyperlink>
    </w:p>
    <w:p w:rsidR="001D3E1A" w:rsidRDefault="001D3E1A" w:rsidP="00F505B8">
      <w:pPr>
        <w:spacing w:before="120" w:after="120"/>
        <w:rPr>
          <w:b/>
          <w:sz w:val="24"/>
          <w:szCs w:val="24"/>
        </w:rPr>
      </w:pPr>
      <w:r w:rsidRPr="001D3E1A">
        <w:rPr>
          <w:rStyle w:val="Hyperlink"/>
          <w:b/>
          <w:color w:val="auto"/>
          <w:sz w:val="24"/>
          <w:szCs w:val="24"/>
          <w:u w:val="none"/>
          <w:lang w:val="en-US"/>
        </w:rPr>
        <w:t xml:space="preserve">Deadline: </w:t>
      </w:r>
      <w:r>
        <w:rPr>
          <w:rStyle w:val="Hyperlink"/>
          <w:b/>
          <w:color w:val="auto"/>
          <w:sz w:val="24"/>
          <w:szCs w:val="24"/>
          <w:u w:val="none"/>
          <w:lang w:val="en-US"/>
        </w:rPr>
        <w:t xml:space="preserve">30 </w:t>
      </w:r>
      <w:r w:rsidRPr="001D3E1A">
        <w:rPr>
          <w:b/>
          <w:sz w:val="24"/>
          <w:szCs w:val="24"/>
        </w:rPr>
        <w:t>January 2019</w:t>
      </w:r>
    </w:p>
    <w:p w:rsidR="006872C2" w:rsidRDefault="006872C2" w:rsidP="00F505B8">
      <w:pPr>
        <w:spacing w:before="120" w:after="120"/>
        <w:rPr>
          <w:b/>
          <w:sz w:val="24"/>
          <w:szCs w:val="24"/>
        </w:rPr>
      </w:pPr>
    </w:p>
    <w:p w:rsidR="002534B1" w:rsidRPr="0058118D" w:rsidRDefault="00C36D68" w:rsidP="00C36D68">
      <w:pPr>
        <w:pStyle w:val="Heading2"/>
        <w:ind w:left="426"/>
      </w:pPr>
      <w:bookmarkStart w:id="3" w:name="_Toc535323833"/>
      <w:r>
        <w:lastRenderedPageBreak/>
        <w:t>К</w:t>
      </w:r>
      <w:r w:rsidR="0058118D">
        <w:t xml:space="preserve">орейски </w:t>
      </w:r>
      <w:r w:rsidR="002534B1" w:rsidRPr="002534B1">
        <w:t>Стипендии за магистърска и докторска степен през 2019 г.</w:t>
      </w:r>
      <w:bookmarkEnd w:id="3"/>
    </w:p>
    <w:p w:rsidR="002534B1" w:rsidRPr="002534B1" w:rsidRDefault="002534B1" w:rsidP="002534B1">
      <w:pPr>
        <w:spacing w:before="120" w:after="120"/>
        <w:rPr>
          <w:sz w:val="24"/>
          <w:szCs w:val="24"/>
        </w:rPr>
      </w:pPr>
      <w:r w:rsidRPr="002534B1">
        <w:rPr>
          <w:sz w:val="24"/>
          <w:szCs w:val="24"/>
        </w:rPr>
        <w:t>Daegu Gyeongbuk Institute of Science and Technology (DGIST) обявява предстоящ прием на кандидатури за пълни стипендии за обучение на чуждестранни студенти за магистърска и докторска степен през 2019 г.</w:t>
      </w:r>
    </w:p>
    <w:p w:rsidR="002534B1" w:rsidRPr="002534B1" w:rsidRDefault="002534B1" w:rsidP="002534B1">
      <w:pPr>
        <w:spacing w:before="120" w:after="120"/>
        <w:rPr>
          <w:sz w:val="24"/>
          <w:szCs w:val="24"/>
        </w:rPr>
      </w:pPr>
      <w:r w:rsidRPr="002534B1">
        <w:rPr>
          <w:sz w:val="24"/>
          <w:szCs w:val="24"/>
        </w:rPr>
        <w:t>DGIST e университет</w:t>
      </w:r>
      <w:r w:rsidR="0058118D">
        <w:rPr>
          <w:sz w:val="24"/>
          <w:szCs w:val="24"/>
        </w:rPr>
        <w:t>,</w:t>
      </w:r>
      <w:r w:rsidRPr="002534B1">
        <w:rPr>
          <w:sz w:val="24"/>
          <w:szCs w:val="24"/>
        </w:rPr>
        <w:t xml:space="preserve"> основан от корейското правителство през 2004 г. , който се превръща в един от водещите институти в областта на науката и технологиите в Корея. DGIST е спечелил своето място в конкурентната образователна сфера чрез изграждането на високотехнологични съоръжения в университета.</w:t>
      </w:r>
    </w:p>
    <w:p w:rsidR="002534B1" w:rsidRPr="002534B1" w:rsidRDefault="002534B1" w:rsidP="00BA1442">
      <w:pPr>
        <w:spacing w:before="120" w:after="120"/>
        <w:rPr>
          <w:sz w:val="24"/>
          <w:szCs w:val="24"/>
        </w:rPr>
      </w:pPr>
      <w:r w:rsidRPr="002534B1">
        <w:rPr>
          <w:sz w:val="24"/>
          <w:szCs w:val="24"/>
        </w:rPr>
        <w:t>Понастоящем висшето училище предлага магистърска и докторска степен в шест специалности: материалознание, инженеринг на комуникационна и информационна техника, роботика, инженеринг в енергетиката, когнитивни науки (вкл. изследване на мозъка) и нова биология. Всички лекции се изнасят на английски език. За одобрените кандидати DGIST осигурява пълна стипендия, удобни общежития и безплатни курсове в Корея.</w:t>
      </w:r>
    </w:p>
    <w:p w:rsidR="002534B1" w:rsidRPr="007029F1" w:rsidRDefault="002534B1" w:rsidP="002534B1">
      <w:pPr>
        <w:spacing w:before="120" w:after="120"/>
        <w:rPr>
          <w:sz w:val="24"/>
          <w:szCs w:val="24"/>
          <w:lang w:val="ru-RU"/>
        </w:rPr>
      </w:pPr>
      <w:r>
        <w:rPr>
          <w:sz w:val="24"/>
          <w:szCs w:val="24"/>
        </w:rPr>
        <w:t xml:space="preserve">Допълнителна информация – в </w:t>
      </w:r>
      <w:hyperlink r:id="rId12" w:history="1">
        <w:r w:rsidRPr="002534B1">
          <w:rPr>
            <w:rStyle w:val="Hyperlink"/>
            <w:sz w:val="24"/>
            <w:szCs w:val="24"/>
          </w:rPr>
          <w:t>приложения документ</w:t>
        </w:r>
      </w:hyperlink>
      <w:r w:rsidRPr="002534B1">
        <w:rPr>
          <w:sz w:val="24"/>
          <w:szCs w:val="24"/>
        </w:rPr>
        <w:t xml:space="preserve"> и на </w:t>
      </w:r>
      <w:hyperlink r:id="rId13" w:tgtFrame="_blank" w:tooltip="Уебсайт на DGIST" w:history="1">
        <w:r w:rsidRPr="002534B1">
          <w:rPr>
            <w:rStyle w:val="Hyperlink"/>
            <w:sz w:val="24"/>
            <w:szCs w:val="24"/>
          </w:rPr>
          <w:t>уебсайт на DGIST</w:t>
        </w:r>
      </w:hyperlink>
      <w:r w:rsidRPr="002534B1">
        <w:rPr>
          <w:sz w:val="24"/>
          <w:szCs w:val="24"/>
        </w:rPr>
        <w:t>.</w:t>
      </w:r>
    </w:p>
    <w:p w:rsidR="0058118D" w:rsidRDefault="0058118D" w:rsidP="002614B9">
      <w:pPr>
        <w:spacing w:before="120" w:after="480"/>
        <w:rPr>
          <w:b/>
          <w:bCs/>
          <w:sz w:val="24"/>
          <w:szCs w:val="24"/>
        </w:rPr>
      </w:pPr>
      <w:r>
        <w:rPr>
          <w:b/>
          <w:bCs/>
          <w:sz w:val="24"/>
          <w:szCs w:val="24"/>
        </w:rPr>
        <w:t xml:space="preserve">Краен срок: </w:t>
      </w:r>
      <w:r w:rsidRPr="002534B1">
        <w:rPr>
          <w:b/>
          <w:bCs/>
          <w:sz w:val="24"/>
          <w:szCs w:val="24"/>
        </w:rPr>
        <w:t>19 април 2019 г.</w:t>
      </w:r>
    </w:p>
    <w:p w:rsidR="008E4995" w:rsidRPr="00BA1442" w:rsidRDefault="00BA1442" w:rsidP="00BA1442">
      <w:pPr>
        <w:pStyle w:val="Heading2"/>
        <w:ind w:left="426"/>
      </w:pPr>
      <w:bookmarkStart w:id="4" w:name="_Toc535323834"/>
      <w:r w:rsidRPr="00BA1442">
        <w:t>Стаж в Allianz Bank България</w:t>
      </w:r>
      <w:bookmarkEnd w:id="4"/>
      <w:r w:rsidRPr="00BA1442">
        <w:t xml:space="preserve">  </w:t>
      </w:r>
    </w:p>
    <w:p w:rsidR="00BA1442" w:rsidRDefault="008E4995" w:rsidP="00BA1442">
      <w:pPr>
        <w:spacing w:before="120" w:after="120"/>
        <w:rPr>
          <w:bCs/>
          <w:sz w:val="24"/>
          <w:szCs w:val="24"/>
        </w:rPr>
      </w:pPr>
      <w:r w:rsidRPr="008E4995">
        <w:rPr>
          <w:bCs/>
          <w:sz w:val="24"/>
          <w:szCs w:val="24"/>
        </w:rPr>
        <w:t xml:space="preserve">Allianz Bank Bulgaria обявява свободна стажантска позиция в дирекция "Планиране и контролинг". Стажантът трябва да допринася за изпълнението на финансовите цели на "Алианц" България, ще подпомага дейността на отдела, изготвяйки различни доклади, ще работи активно с Excel, PowerPoint, SAP и други. </w:t>
      </w:r>
    </w:p>
    <w:p w:rsidR="00BA1442" w:rsidRDefault="008E4995" w:rsidP="00BA1442">
      <w:pPr>
        <w:spacing w:before="120" w:after="120"/>
        <w:rPr>
          <w:bCs/>
          <w:sz w:val="24"/>
          <w:szCs w:val="24"/>
        </w:rPr>
      </w:pPr>
      <w:r w:rsidRPr="008E4995">
        <w:rPr>
          <w:bCs/>
          <w:sz w:val="24"/>
          <w:szCs w:val="24"/>
        </w:rPr>
        <w:t xml:space="preserve">Кандидатите трябва да са студенти с икономическа насоченост и много добра компютърна грамотност, които желаят да се развиват в сферата на финансите, счетоводството, контрола и застраховането. </w:t>
      </w:r>
    </w:p>
    <w:p w:rsidR="00BA1442" w:rsidRDefault="008E4995" w:rsidP="00BA1442">
      <w:pPr>
        <w:spacing w:before="120" w:after="120"/>
        <w:rPr>
          <w:bCs/>
          <w:sz w:val="24"/>
          <w:szCs w:val="24"/>
        </w:rPr>
      </w:pPr>
      <w:r w:rsidRPr="008E4995">
        <w:rPr>
          <w:bCs/>
          <w:sz w:val="24"/>
          <w:szCs w:val="24"/>
        </w:rPr>
        <w:t xml:space="preserve">Нужно е кандидатите да работят добре на MS Office, да имат аналитично мислене и комуникационни умения, владеенето на английски е предимство. </w:t>
      </w:r>
    </w:p>
    <w:p w:rsidR="00BA1442" w:rsidRDefault="008E4995" w:rsidP="00BA1442">
      <w:pPr>
        <w:spacing w:before="120" w:after="120"/>
        <w:rPr>
          <w:bCs/>
          <w:sz w:val="24"/>
          <w:szCs w:val="24"/>
        </w:rPr>
      </w:pPr>
      <w:r w:rsidRPr="008E4995">
        <w:rPr>
          <w:bCs/>
          <w:sz w:val="24"/>
          <w:szCs w:val="24"/>
        </w:rPr>
        <w:t xml:space="preserve">Стажът е платен и с гъвкаво работно време. По време на програмата участниците ще бъдат обучени в професионална среда, ще имат възможността да добият голям опит във финансовата група, а при добро представяне има възможност за подписване на договор. </w:t>
      </w:r>
    </w:p>
    <w:p w:rsidR="00BA1442" w:rsidRDefault="008E4995" w:rsidP="00BA1442">
      <w:pPr>
        <w:spacing w:before="120" w:after="120"/>
        <w:rPr>
          <w:bCs/>
          <w:sz w:val="24"/>
          <w:szCs w:val="24"/>
        </w:rPr>
      </w:pPr>
      <w:r w:rsidRPr="008E4995">
        <w:rPr>
          <w:bCs/>
          <w:sz w:val="24"/>
          <w:szCs w:val="24"/>
        </w:rPr>
        <w:t xml:space="preserve">Кандидатства се със CV на </w:t>
      </w:r>
      <w:hyperlink r:id="rId14" w:tgtFrame="_blank" w:history="1">
        <w:r w:rsidRPr="008E4995">
          <w:rPr>
            <w:rStyle w:val="Hyperlink"/>
            <w:bCs/>
            <w:sz w:val="24"/>
            <w:szCs w:val="24"/>
          </w:rPr>
          <w:t>malina.djekova@allianz.bg</w:t>
        </w:r>
      </w:hyperlink>
      <w:r w:rsidR="00BA1442">
        <w:rPr>
          <w:rStyle w:val="Hyperlink"/>
          <w:bCs/>
          <w:sz w:val="24"/>
          <w:szCs w:val="24"/>
        </w:rPr>
        <w:t xml:space="preserve">. </w:t>
      </w:r>
      <w:r w:rsidRPr="008E4995">
        <w:rPr>
          <w:bCs/>
          <w:sz w:val="24"/>
          <w:szCs w:val="24"/>
        </w:rPr>
        <w:t xml:space="preserve">Повече информация може да намерите на страницата на </w:t>
      </w:r>
      <w:hyperlink r:id="rId15" w:tgtFrame="_blank" w:history="1">
        <w:r w:rsidRPr="008E4995">
          <w:rPr>
            <w:rStyle w:val="Hyperlink"/>
            <w:bCs/>
            <w:sz w:val="24"/>
            <w:szCs w:val="24"/>
          </w:rPr>
          <w:t>Karieri.bg</w:t>
        </w:r>
      </w:hyperlink>
      <w:r w:rsidRPr="008E4995">
        <w:rPr>
          <w:bCs/>
          <w:sz w:val="24"/>
          <w:szCs w:val="24"/>
        </w:rPr>
        <w:t>.</w:t>
      </w:r>
    </w:p>
    <w:p w:rsidR="008E4995" w:rsidRPr="001E026D" w:rsidRDefault="001E026D" w:rsidP="002614B9">
      <w:pPr>
        <w:spacing w:before="120" w:after="480"/>
        <w:rPr>
          <w:b/>
          <w:bCs/>
          <w:sz w:val="24"/>
          <w:szCs w:val="24"/>
        </w:rPr>
      </w:pPr>
      <w:r w:rsidRPr="001E026D">
        <w:rPr>
          <w:b/>
          <w:bCs/>
          <w:sz w:val="24"/>
          <w:szCs w:val="24"/>
        </w:rPr>
        <w:t>Краен срок: 28 февруари 2019</w:t>
      </w:r>
    </w:p>
    <w:p w:rsidR="00C177E1" w:rsidRPr="00FE7B4C" w:rsidRDefault="00C177E1" w:rsidP="00170D2F">
      <w:pPr>
        <w:pStyle w:val="Heading2"/>
        <w:ind w:left="425" w:hanging="357"/>
        <w:rPr>
          <w:lang w:val="ru-RU"/>
        </w:rPr>
      </w:pPr>
      <w:bookmarkStart w:id="5" w:name="_Toc535323835"/>
      <w:r>
        <w:t>Платен стаж в Световната търговска организация</w:t>
      </w:r>
      <w:bookmarkEnd w:id="5"/>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lastRenderedPageBreak/>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6"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2614B9">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6" w:name="_Toc535323836"/>
      <w:r>
        <w:t xml:space="preserve">Стажантска програма на </w:t>
      </w:r>
      <w:r w:rsidRPr="005851AE">
        <w:rPr>
          <w:rFonts w:ascii="Times New Roman" w:hAnsi="Times New Roman"/>
        </w:rPr>
        <w:t>УниКредит Булбанк</w:t>
      </w:r>
      <w:bookmarkEnd w:id="6"/>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УниКредитФакторинг и УниКиредитКънсюмърФайненсинг. Желаещите да се включат в програмата могат да кандидатстват през </w:t>
      </w:r>
      <w:hyperlink r:id="rId17"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8"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7" w:name="_Toc535323837"/>
      <w:r w:rsidRPr="001A023B">
        <w:t>Стаж в Организацията по прехрана и земеделие (FAO) към ООН</w:t>
      </w:r>
      <w:bookmarkEnd w:id="7"/>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9"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8" w:name="_Toc535323838"/>
      <w:r w:rsidRPr="00A724B3">
        <w:t>Стажове в Международната академия на нюрнбергските принципи</w:t>
      </w:r>
      <w:bookmarkEnd w:id="8"/>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w:t>
      </w:r>
      <w:r w:rsidRPr="00A724B3">
        <w:rPr>
          <w:rFonts w:cs="Times New Roman"/>
          <w:sz w:val="24"/>
          <w:szCs w:val="24"/>
        </w:rPr>
        <w:lastRenderedPageBreak/>
        <w:t xml:space="preserve">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закандидатстването, което продължава през цялата година, можете да намерите на официалния</w:t>
      </w:r>
      <w:r w:rsidR="00DC58A3" w:rsidRPr="00DC58A3">
        <w:rPr>
          <w:rFonts w:cs="Times New Roman"/>
          <w:sz w:val="24"/>
          <w:szCs w:val="24"/>
          <w:lang w:val="ru-RU"/>
        </w:rPr>
        <w:t xml:space="preserve"> </w:t>
      </w:r>
      <w:hyperlink r:id="rId20"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FC7476" w:rsidRPr="006317F0" w:rsidRDefault="00C177E1" w:rsidP="00A76CB4">
      <w:pPr>
        <w:spacing w:before="120" w:after="480"/>
        <w:rPr>
          <w:rFonts w:cs="Times New Roman"/>
          <w:b/>
          <w:sz w:val="24"/>
          <w:szCs w:val="24"/>
          <w:lang w:val="ru-RU"/>
        </w:rPr>
      </w:pPr>
      <w:r w:rsidRPr="00A724B3">
        <w:rPr>
          <w:rFonts w:cs="Times New Roman"/>
          <w:b/>
          <w:sz w:val="24"/>
          <w:szCs w:val="24"/>
        </w:rPr>
        <w:t>Краен срок: целогодишно</w:t>
      </w:r>
    </w:p>
    <w:p w:rsidR="00A76CB4" w:rsidRPr="00A76CB4" w:rsidRDefault="00A76CB4" w:rsidP="00A76CB4">
      <w:pPr>
        <w:pStyle w:val="Heading2"/>
        <w:ind w:left="426"/>
      </w:pPr>
      <w:bookmarkStart w:id="9" w:name="_Toc535323839"/>
      <w:r w:rsidRPr="00A76CB4">
        <w:t>"Телерик академия" обявява прием</w:t>
      </w:r>
      <w:bookmarkEnd w:id="9"/>
    </w:p>
    <w:p w:rsidR="00A76CB4" w:rsidRDefault="00C603D7" w:rsidP="001E2550">
      <w:pPr>
        <w:spacing w:before="120" w:after="120"/>
        <w:rPr>
          <w:sz w:val="24"/>
          <w:szCs w:val="24"/>
        </w:rPr>
      </w:pPr>
      <w:r w:rsidRPr="00A76CB4">
        <w:rPr>
          <w:bCs/>
          <w:sz w:val="24"/>
          <w:szCs w:val="24"/>
        </w:rPr>
        <w:t>"Телерик академия" започва приема за Telerik Academy Alpha</w:t>
      </w:r>
      <w:r w:rsidRPr="00A76CB4">
        <w:rPr>
          <w:sz w:val="24"/>
          <w:szCs w:val="24"/>
        </w:rPr>
        <w:t xml:space="preserve"> </w:t>
      </w:r>
      <w:r w:rsidRPr="00A76CB4">
        <w:rPr>
          <w:bCs/>
          <w:sz w:val="24"/>
          <w:szCs w:val="24"/>
        </w:rPr>
        <w:t>с Java</w:t>
      </w:r>
      <w:r w:rsidRPr="00A76CB4">
        <w:rPr>
          <w:sz w:val="24"/>
          <w:szCs w:val="24"/>
        </w:rPr>
        <w:t>. Кан</w:t>
      </w:r>
      <w:r w:rsidRPr="00C603D7">
        <w:rPr>
          <w:sz w:val="24"/>
          <w:szCs w:val="24"/>
        </w:rPr>
        <w:t xml:space="preserve">дидатстването е отворено до 25 януари 2019 г. за студенти и професионалисти, които искат да започнат кариера в областта на ИТ. Програмата започва на 25 февруари 2019 г. и ще се провежда в обучителния център на "Телерик Академия" в София. Кандидатите е необходимо да изпратят CV и мотивационно писмо на </w:t>
      </w:r>
      <w:hyperlink r:id="rId21" w:tgtFrame="_blank" w:history="1">
        <w:r w:rsidRPr="00C603D7">
          <w:rPr>
            <w:rStyle w:val="Hyperlink"/>
            <w:sz w:val="24"/>
            <w:szCs w:val="24"/>
          </w:rPr>
          <w:t>сайта на "Телерик академия"</w:t>
        </w:r>
      </w:hyperlink>
      <w:r w:rsidRPr="00C603D7">
        <w:rPr>
          <w:sz w:val="24"/>
          <w:szCs w:val="24"/>
        </w:rPr>
        <w:t xml:space="preserve">, след което трябва да се явят на входен изпит с Java, а за .NET могат да избират между езиците C#, JavaScript, Java, C++, Kotlin, PHP, Python или Swift. </w:t>
      </w:r>
    </w:p>
    <w:p w:rsidR="00AA44AA" w:rsidRDefault="00C603D7" w:rsidP="001E2550">
      <w:pPr>
        <w:spacing w:before="120" w:after="120"/>
        <w:rPr>
          <w:sz w:val="24"/>
          <w:szCs w:val="24"/>
        </w:rPr>
      </w:pPr>
      <w:r w:rsidRPr="00C603D7">
        <w:rPr>
          <w:sz w:val="24"/>
          <w:szCs w:val="24"/>
        </w:rPr>
        <w:t xml:space="preserve">Основните изисквания към участниците са да имат навършени 18 години, базови познания по програмиране и мотивация да започнат кариерното си развитие в IT сектора. Подготвителни материали за входния изпит на Telerik Academy Alpha могат да бъдат намерени онлайн. За повече информация, проверете </w:t>
      </w:r>
      <w:hyperlink r:id="rId22" w:tgtFrame="_blank" w:history="1">
        <w:r w:rsidRPr="00C603D7">
          <w:rPr>
            <w:rStyle w:val="Hyperlink"/>
            <w:sz w:val="24"/>
            <w:szCs w:val="24"/>
          </w:rPr>
          <w:t>страницата на "Телерик Академия"</w:t>
        </w:r>
      </w:hyperlink>
      <w:r w:rsidRPr="00C603D7">
        <w:rPr>
          <w:sz w:val="24"/>
          <w:szCs w:val="24"/>
        </w:rPr>
        <w:t>.</w:t>
      </w:r>
    </w:p>
    <w:p w:rsidR="00A76CB4" w:rsidRPr="00A76CB4" w:rsidRDefault="00A76CB4" w:rsidP="001E2550">
      <w:pPr>
        <w:spacing w:before="120" w:after="120"/>
        <w:rPr>
          <w:b/>
          <w:sz w:val="24"/>
          <w:szCs w:val="24"/>
        </w:rPr>
      </w:pPr>
      <w:r w:rsidRPr="00A76CB4">
        <w:rPr>
          <w:b/>
          <w:sz w:val="24"/>
          <w:szCs w:val="24"/>
        </w:rPr>
        <w:t>Краен срок: 25 януари 2019 г</w:t>
      </w:r>
    </w:p>
    <w:p w:rsidR="00AA44AA" w:rsidRDefault="00AA44AA" w:rsidP="001E2550">
      <w:pPr>
        <w:spacing w:before="120" w:after="120"/>
        <w:rPr>
          <w:sz w:val="24"/>
          <w:szCs w:val="24"/>
        </w:rPr>
      </w:pPr>
    </w:p>
    <w:p w:rsidR="00AA44AA" w:rsidRDefault="00AA44AA" w:rsidP="001E2550">
      <w:pPr>
        <w:spacing w:before="120" w:after="120"/>
        <w:rPr>
          <w:sz w:val="24"/>
          <w:szCs w:val="24"/>
        </w:rPr>
      </w:pPr>
    </w:p>
    <w:p w:rsidR="00CA0E59" w:rsidRDefault="00CA0E59" w:rsidP="001E2550">
      <w:pPr>
        <w:spacing w:before="120" w:after="120"/>
        <w:rPr>
          <w:sz w:val="24"/>
          <w:szCs w:val="24"/>
        </w:rPr>
      </w:pPr>
    </w:p>
    <w:p w:rsidR="00CA0E59" w:rsidRPr="006317F0" w:rsidRDefault="00CA0E59" w:rsidP="001E2550">
      <w:pPr>
        <w:spacing w:before="120" w:after="120"/>
        <w:rPr>
          <w:sz w:val="24"/>
          <w:szCs w:val="24"/>
          <w:lang w:val="ru-RU"/>
        </w:rPr>
        <w:sectPr w:rsidR="00CA0E59" w:rsidRPr="006317F0" w:rsidSect="00AA7F9B">
          <w:footerReference w:type="default" r:id="rId23"/>
          <w:pgSz w:w="11906" w:h="16838"/>
          <w:pgMar w:top="1440" w:right="1080" w:bottom="1440" w:left="1080" w:header="708" w:footer="708" w:gutter="0"/>
          <w:cols w:space="708"/>
          <w:docGrid w:linePitch="360"/>
        </w:sectPr>
      </w:pPr>
    </w:p>
    <w:p w:rsidR="00D00941" w:rsidRDefault="00912146" w:rsidP="00B278E8">
      <w:pPr>
        <w:pStyle w:val="Programs"/>
      </w:pPr>
      <w:bookmarkStart w:id="10" w:name="_Toc535323840"/>
      <w:r>
        <w:t>ПРОГРАМИ</w:t>
      </w:r>
      <w:bookmarkEnd w:id="10"/>
    </w:p>
    <w:p w:rsidR="00413AF9" w:rsidRPr="00413AF9" w:rsidRDefault="00413AF9" w:rsidP="00413AF9">
      <w:pPr>
        <w:pStyle w:val="Heading2"/>
        <w:ind w:left="426"/>
        <w:rPr>
          <w:rFonts w:ascii="Times New Roman" w:hAnsi="Times New Roman"/>
        </w:rPr>
      </w:pPr>
      <w:bookmarkStart w:id="11" w:name="_Toc535323841"/>
      <w:r>
        <w:t>К</w:t>
      </w:r>
      <w:r w:rsidRPr="00413AF9">
        <w:t xml:space="preserve">онкурс за проекти по програми за двустранно сътрудничество </w:t>
      </w:r>
      <w:r>
        <w:t>България – Австрия</w:t>
      </w:r>
      <w:bookmarkEnd w:id="11"/>
    </w:p>
    <w:p w:rsidR="00062AF5" w:rsidRPr="00413AF9" w:rsidRDefault="00062AF5" w:rsidP="00062AF5">
      <w:pPr>
        <w:rPr>
          <w:rFonts w:cs="Times New Roman"/>
          <w:sz w:val="24"/>
          <w:szCs w:val="24"/>
        </w:rPr>
      </w:pPr>
      <w:r w:rsidRPr="00413AF9">
        <w:rPr>
          <w:rFonts w:cs="Times New Roman"/>
          <w:sz w:val="24"/>
          <w:szCs w:val="24"/>
        </w:rPr>
        <w:t>Фонд „Научни изследвания“ отправя покана за участие в „</w:t>
      </w:r>
      <w:r w:rsidR="00413AF9">
        <w:rPr>
          <w:rFonts w:cs="Times New Roman"/>
          <w:sz w:val="24"/>
          <w:szCs w:val="24"/>
        </w:rPr>
        <w:t>К</w:t>
      </w:r>
      <w:r w:rsidR="00413AF9" w:rsidRPr="00413AF9">
        <w:rPr>
          <w:rFonts w:cs="Times New Roman"/>
          <w:sz w:val="24"/>
          <w:szCs w:val="24"/>
        </w:rPr>
        <w:t>онкурс за проекти по пограми за двустранно сътрудничество 2018 г</w:t>
      </w:r>
      <w:r w:rsidRPr="00413AF9">
        <w:rPr>
          <w:rFonts w:cs="Times New Roman"/>
          <w:sz w:val="24"/>
          <w:szCs w:val="24"/>
        </w:rPr>
        <w:t>. – България – А</w:t>
      </w:r>
      <w:r w:rsidR="00413AF9">
        <w:rPr>
          <w:rFonts w:cs="Times New Roman"/>
          <w:sz w:val="24"/>
          <w:szCs w:val="24"/>
        </w:rPr>
        <w:t>встрия</w:t>
      </w:r>
      <w:r w:rsidRPr="00413AF9">
        <w:rPr>
          <w:rFonts w:cs="Times New Roman"/>
          <w:sz w:val="24"/>
          <w:szCs w:val="24"/>
        </w:rPr>
        <w:t>“</w:t>
      </w:r>
    </w:p>
    <w:p w:rsidR="00062AF5" w:rsidRPr="00413AF9" w:rsidRDefault="00062AF5" w:rsidP="00062AF5">
      <w:pPr>
        <w:rPr>
          <w:rFonts w:cs="Times New Roman"/>
          <w:sz w:val="24"/>
          <w:szCs w:val="24"/>
        </w:rPr>
      </w:pPr>
      <w:r w:rsidRPr="00413AF9">
        <w:rPr>
          <w:rFonts w:cs="Times New Roman"/>
          <w:sz w:val="24"/>
          <w:szCs w:val="24"/>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062AF5" w:rsidRPr="00413AF9" w:rsidRDefault="00062AF5" w:rsidP="00062AF5">
      <w:pPr>
        <w:rPr>
          <w:rFonts w:cs="Times New Roman"/>
          <w:sz w:val="24"/>
          <w:szCs w:val="24"/>
        </w:rPr>
      </w:pPr>
      <w:r w:rsidRPr="00413AF9">
        <w:rPr>
          <w:rFonts w:cs="Times New Roman"/>
          <w:sz w:val="24"/>
          <w:szCs w:val="24"/>
        </w:rPr>
        <w:t xml:space="preserve">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413AF9">
        <w:rPr>
          <w:rFonts w:cs="Times New Roman"/>
          <w:b/>
          <w:sz w:val="24"/>
          <w:szCs w:val="24"/>
        </w:rPr>
        <w:t>Допълнение „Специфични условия“</w:t>
      </w:r>
      <w:r w:rsidRPr="00413AF9">
        <w:rPr>
          <w:rFonts w:cs="Times New Roman"/>
          <w:sz w:val="24"/>
          <w:szCs w:val="24"/>
        </w:rPr>
        <w:t xml:space="preserve"> към документацията на настоящата процедура. </w:t>
      </w:r>
    </w:p>
    <w:p w:rsidR="00062AF5" w:rsidRPr="00413AF9" w:rsidRDefault="00062AF5" w:rsidP="00062AF5">
      <w:pPr>
        <w:rPr>
          <w:rFonts w:cs="Times New Roman"/>
          <w:sz w:val="24"/>
          <w:szCs w:val="24"/>
        </w:rPr>
      </w:pPr>
      <w:r w:rsidRPr="00413AF9">
        <w:rPr>
          <w:rFonts w:cs="Times New Roman"/>
          <w:sz w:val="24"/>
          <w:szCs w:val="24"/>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 партниращата институция от държавата партньор.</w:t>
      </w:r>
    </w:p>
    <w:p w:rsidR="00062AF5" w:rsidRPr="00413AF9" w:rsidRDefault="00062AF5" w:rsidP="00062AF5">
      <w:pPr>
        <w:rPr>
          <w:rFonts w:cs="Times New Roman"/>
          <w:sz w:val="24"/>
          <w:szCs w:val="24"/>
        </w:rPr>
      </w:pPr>
      <w:bookmarkStart w:id="12" w:name="_Toc448240544"/>
      <w:r w:rsidRPr="00413AF9">
        <w:rPr>
          <w:rFonts w:cs="Times New Roman"/>
          <w:sz w:val="24"/>
          <w:szCs w:val="24"/>
        </w:rPr>
        <w:t>Ще бъдат финансирани проекти във всички научни области, включително обществени и хуманитарни науки.</w:t>
      </w:r>
    </w:p>
    <w:p w:rsidR="00062AF5" w:rsidRPr="00413AF9" w:rsidRDefault="00062AF5" w:rsidP="00062AF5">
      <w:pPr>
        <w:numPr>
          <w:ilvl w:val="1"/>
          <w:numId w:val="19"/>
        </w:numPr>
        <w:rPr>
          <w:rFonts w:cs="Times New Roman"/>
          <w:b/>
          <w:bCs/>
          <w:sz w:val="24"/>
          <w:szCs w:val="24"/>
        </w:rPr>
      </w:pPr>
      <w:bookmarkStart w:id="13" w:name="_Toc448240549"/>
      <w:bookmarkEnd w:id="12"/>
      <w:r w:rsidRPr="00413AF9">
        <w:rPr>
          <w:rFonts w:cs="Times New Roman"/>
          <w:b/>
          <w:bCs/>
          <w:sz w:val="24"/>
          <w:szCs w:val="24"/>
        </w:rPr>
        <w:t>Общ бюджет на конкурса:</w:t>
      </w:r>
      <w:bookmarkEnd w:id="13"/>
    </w:p>
    <w:p w:rsidR="00062AF5" w:rsidRPr="00413AF9" w:rsidRDefault="00062AF5" w:rsidP="00062AF5">
      <w:pPr>
        <w:rPr>
          <w:rFonts w:cs="Times New Roman"/>
          <w:sz w:val="24"/>
          <w:szCs w:val="24"/>
        </w:rPr>
      </w:pPr>
      <w:r w:rsidRPr="00413AF9">
        <w:rPr>
          <w:rFonts w:cs="Times New Roman"/>
          <w:sz w:val="24"/>
          <w:szCs w:val="24"/>
        </w:rPr>
        <w:t>Прогнозният общ бюджет на конкурса е 4</w:t>
      </w:r>
      <w:r w:rsidRPr="00413AF9">
        <w:rPr>
          <w:rFonts w:cs="Times New Roman"/>
          <w:sz w:val="24"/>
          <w:szCs w:val="24"/>
          <w:lang w:val="ru-RU"/>
        </w:rPr>
        <w:t>8</w:t>
      </w:r>
      <w:r w:rsidRPr="00413AF9">
        <w:rPr>
          <w:rFonts w:cs="Times New Roman"/>
          <w:sz w:val="24"/>
          <w:szCs w:val="24"/>
        </w:rPr>
        <w:t xml:space="preserve">0 000 лв, </w:t>
      </w:r>
    </w:p>
    <w:p w:rsidR="00062AF5" w:rsidRPr="00413AF9" w:rsidRDefault="00062AF5" w:rsidP="00062AF5">
      <w:pPr>
        <w:numPr>
          <w:ilvl w:val="1"/>
          <w:numId w:val="19"/>
        </w:numPr>
        <w:rPr>
          <w:rFonts w:cs="Times New Roman"/>
          <w:b/>
          <w:bCs/>
          <w:sz w:val="24"/>
          <w:szCs w:val="24"/>
        </w:rPr>
      </w:pPr>
      <w:bookmarkStart w:id="14" w:name="_Toc448240550"/>
      <w:r w:rsidRPr="00413AF9">
        <w:rPr>
          <w:rFonts w:cs="Times New Roman"/>
          <w:b/>
          <w:bCs/>
          <w:sz w:val="24"/>
          <w:szCs w:val="24"/>
        </w:rPr>
        <w:t>Минимален и максимален размер на финансирането за конкретен проект:</w:t>
      </w:r>
      <w:bookmarkEnd w:id="14"/>
    </w:p>
    <w:p w:rsidR="00062AF5" w:rsidRPr="00413AF9" w:rsidRDefault="00062AF5" w:rsidP="00062AF5">
      <w:pPr>
        <w:rPr>
          <w:rFonts w:cs="Times New Roman"/>
          <w:sz w:val="24"/>
          <w:szCs w:val="24"/>
        </w:rPr>
      </w:pPr>
      <w:r w:rsidRPr="00413AF9">
        <w:rPr>
          <w:rFonts w:cs="Times New Roman"/>
          <w:sz w:val="24"/>
          <w:szCs w:val="24"/>
        </w:rPr>
        <w:t xml:space="preserve">Общият размер на финансирането за всеки индивидуален проект следва да бъде съобразен с допустимите разходи по настоящата процедура. </w:t>
      </w:r>
    </w:p>
    <w:p w:rsidR="00062AF5" w:rsidRPr="00413AF9" w:rsidRDefault="00062AF5" w:rsidP="00062AF5">
      <w:pPr>
        <w:rPr>
          <w:rFonts w:cs="Times New Roman"/>
          <w:sz w:val="24"/>
          <w:szCs w:val="24"/>
        </w:rPr>
      </w:pPr>
      <w:r w:rsidRPr="00413AF9">
        <w:rPr>
          <w:rFonts w:cs="Times New Roman"/>
          <w:sz w:val="24"/>
          <w:szCs w:val="24"/>
        </w:rPr>
        <w:t xml:space="preserve">Максималната сума за всеки отделен проект е 40 000 лв. </w:t>
      </w:r>
    </w:p>
    <w:p w:rsidR="00062AF5" w:rsidRPr="00413AF9" w:rsidRDefault="00062AF5" w:rsidP="00062AF5">
      <w:pPr>
        <w:numPr>
          <w:ilvl w:val="1"/>
          <w:numId w:val="19"/>
        </w:numPr>
        <w:rPr>
          <w:rFonts w:cs="Times New Roman"/>
          <w:b/>
          <w:bCs/>
          <w:sz w:val="24"/>
          <w:szCs w:val="24"/>
        </w:rPr>
      </w:pPr>
      <w:bookmarkStart w:id="15" w:name="_Toc448240567"/>
      <w:r w:rsidRPr="00413AF9">
        <w:rPr>
          <w:rFonts w:cs="Times New Roman"/>
          <w:b/>
          <w:bCs/>
          <w:sz w:val="24"/>
          <w:szCs w:val="24"/>
        </w:rPr>
        <w:t>Срок за изпълнение на проекта:</w:t>
      </w:r>
      <w:bookmarkEnd w:id="15"/>
    </w:p>
    <w:p w:rsidR="00062AF5" w:rsidRPr="00413AF9" w:rsidRDefault="00062AF5" w:rsidP="00062AF5">
      <w:pPr>
        <w:rPr>
          <w:rFonts w:cs="Times New Roman"/>
          <w:sz w:val="24"/>
          <w:szCs w:val="24"/>
        </w:rPr>
      </w:pPr>
      <w:r w:rsidRPr="00413AF9">
        <w:rPr>
          <w:rFonts w:cs="Times New Roman"/>
          <w:sz w:val="24"/>
          <w:szCs w:val="24"/>
        </w:rPr>
        <w:t xml:space="preserve">Срок за изпълнение на одобрените проекти: </w:t>
      </w:r>
      <w:r w:rsidRPr="00413AF9">
        <w:rPr>
          <w:rFonts w:cs="Times New Roman"/>
          <w:sz w:val="24"/>
          <w:szCs w:val="24"/>
          <w:u w:val="single"/>
        </w:rPr>
        <w:t>24 месеца.</w:t>
      </w:r>
    </w:p>
    <w:p w:rsidR="00062AF5" w:rsidRPr="00413AF9" w:rsidRDefault="00062AF5" w:rsidP="00062AF5">
      <w:pPr>
        <w:rPr>
          <w:rFonts w:cs="Times New Roman"/>
          <w:sz w:val="24"/>
          <w:szCs w:val="24"/>
        </w:rPr>
      </w:pPr>
      <w:r w:rsidRPr="00413AF9">
        <w:rPr>
          <w:rFonts w:cs="Times New Roman"/>
          <w:sz w:val="24"/>
          <w:szCs w:val="24"/>
        </w:rPr>
        <w:t>За начална дата на проекта се счита датата на подписване на договора за финансиране.</w:t>
      </w:r>
    </w:p>
    <w:p w:rsidR="00062AF5" w:rsidRPr="00413AF9" w:rsidRDefault="00062AF5" w:rsidP="00062AF5">
      <w:pPr>
        <w:numPr>
          <w:ilvl w:val="1"/>
          <w:numId w:val="19"/>
        </w:numPr>
        <w:rPr>
          <w:rFonts w:cs="Times New Roman"/>
          <w:b/>
          <w:bCs/>
          <w:sz w:val="24"/>
          <w:szCs w:val="24"/>
        </w:rPr>
      </w:pPr>
      <w:bookmarkStart w:id="16" w:name="_Toc448240576"/>
      <w:r w:rsidRPr="00413AF9">
        <w:rPr>
          <w:rFonts w:cs="Times New Roman"/>
          <w:b/>
          <w:bCs/>
          <w:sz w:val="24"/>
          <w:szCs w:val="24"/>
        </w:rPr>
        <w:t>Срок за подаване на проектните предложения</w:t>
      </w:r>
      <w:bookmarkEnd w:id="16"/>
    </w:p>
    <w:p w:rsidR="00062AF5" w:rsidRPr="00413AF9" w:rsidRDefault="00062AF5" w:rsidP="00062AF5">
      <w:pPr>
        <w:rPr>
          <w:rFonts w:cs="Times New Roman"/>
          <w:sz w:val="24"/>
          <w:szCs w:val="24"/>
        </w:rPr>
      </w:pPr>
      <w:r w:rsidRPr="00413AF9">
        <w:rPr>
          <w:rFonts w:cs="Times New Roman"/>
          <w:sz w:val="24"/>
          <w:szCs w:val="24"/>
        </w:rPr>
        <w:t xml:space="preserve">Проектните предложения  се представят до 17 часа на 28 февруари 2019 г. в деловодството на Фонд "Научни изследвания", както следва: </w:t>
      </w:r>
    </w:p>
    <w:p w:rsidR="00062AF5" w:rsidRPr="00413AF9" w:rsidRDefault="00062AF5" w:rsidP="00062AF5">
      <w:pPr>
        <w:numPr>
          <w:ilvl w:val="0"/>
          <w:numId w:val="20"/>
        </w:numPr>
        <w:rPr>
          <w:rFonts w:cs="Times New Roman"/>
          <w:sz w:val="24"/>
          <w:szCs w:val="24"/>
        </w:rPr>
      </w:pPr>
      <w:r w:rsidRPr="00413AF9">
        <w:rPr>
          <w:rFonts w:cs="Times New Roman"/>
          <w:sz w:val="24"/>
          <w:szCs w:val="24"/>
        </w:rPr>
        <w:t xml:space="preserve">на хартиен носител в един екземпляр с оригинални подписи и печати; </w:t>
      </w:r>
    </w:p>
    <w:p w:rsidR="00062AF5" w:rsidRPr="00413AF9" w:rsidRDefault="00062AF5" w:rsidP="00062AF5">
      <w:pPr>
        <w:numPr>
          <w:ilvl w:val="0"/>
          <w:numId w:val="20"/>
        </w:numPr>
        <w:rPr>
          <w:rFonts w:cs="Times New Roman"/>
          <w:sz w:val="24"/>
          <w:szCs w:val="24"/>
        </w:rPr>
      </w:pPr>
      <w:r w:rsidRPr="00413AF9">
        <w:rPr>
          <w:rFonts w:cs="Times New Roman"/>
          <w:sz w:val="24"/>
          <w:szCs w:val="24"/>
        </w:rPr>
        <w:t>в електронен формат, като документите, съдържащи подписи, са сканирани.</w:t>
      </w:r>
    </w:p>
    <w:p w:rsidR="00062AF5" w:rsidRPr="00413AF9" w:rsidRDefault="00062AF5" w:rsidP="00062AF5">
      <w:pPr>
        <w:numPr>
          <w:ilvl w:val="0"/>
          <w:numId w:val="20"/>
        </w:numPr>
        <w:rPr>
          <w:rFonts w:cs="Times New Roman"/>
          <w:sz w:val="24"/>
          <w:szCs w:val="24"/>
        </w:rPr>
      </w:pPr>
      <w:r w:rsidRPr="00413AF9">
        <w:rPr>
          <w:rFonts w:cs="Times New Roman"/>
          <w:sz w:val="24"/>
          <w:szCs w:val="24"/>
        </w:rPr>
        <w:t>в електронен формат, като документите да дават възможност за автоматично търсене</w:t>
      </w:r>
      <w:r w:rsidRPr="00413AF9">
        <w:rPr>
          <w:rFonts w:cs="Times New Roman"/>
          <w:sz w:val="24"/>
          <w:szCs w:val="24"/>
          <w:lang w:val="ru-RU"/>
        </w:rPr>
        <w:t xml:space="preserve"> (</w:t>
      </w:r>
      <w:r w:rsidRPr="00413AF9">
        <w:rPr>
          <w:rFonts w:cs="Times New Roman"/>
          <w:sz w:val="24"/>
          <w:szCs w:val="24"/>
        </w:rPr>
        <w:t xml:space="preserve">в </w:t>
      </w:r>
      <w:r w:rsidRPr="00413AF9">
        <w:rPr>
          <w:rFonts w:cs="Times New Roman"/>
          <w:sz w:val="24"/>
          <w:szCs w:val="24"/>
          <w:lang w:val="en-US"/>
        </w:rPr>
        <w:t>pdf</w:t>
      </w:r>
      <w:r w:rsidRPr="00413AF9">
        <w:rPr>
          <w:rFonts w:cs="Times New Roman"/>
          <w:sz w:val="24"/>
          <w:szCs w:val="24"/>
          <w:lang w:val="ru-RU"/>
        </w:rPr>
        <w:t xml:space="preserve"> </w:t>
      </w:r>
      <w:r w:rsidRPr="00413AF9">
        <w:rPr>
          <w:rFonts w:cs="Times New Roman"/>
          <w:sz w:val="24"/>
          <w:szCs w:val="24"/>
        </w:rPr>
        <w:t>формат генериран автоматично от документа).</w:t>
      </w:r>
    </w:p>
    <w:p w:rsidR="00062AF5" w:rsidRPr="00413AF9" w:rsidRDefault="00062AF5" w:rsidP="00062AF5">
      <w:pPr>
        <w:rPr>
          <w:rFonts w:cs="Times New Roman"/>
          <w:sz w:val="24"/>
          <w:szCs w:val="24"/>
        </w:rPr>
      </w:pPr>
      <w:r w:rsidRPr="00413AF9">
        <w:rPr>
          <w:rFonts w:cs="Times New Roman"/>
          <w:sz w:val="24"/>
          <w:szCs w:val="24"/>
        </w:rPr>
        <w:t xml:space="preserve">Административното описание Част 1 на проектното </w:t>
      </w:r>
      <w:r w:rsidRPr="00413AF9">
        <w:rPr>
          <w:rFonts w:cs="Times New Roman"/>
          <w:bCs/>
          <w:sz w:val="24"/>
          <w:szCs w:val="24"/>
        </w:rPr>
        <w:t xml:space="preserve">предложение </w:t>
      </w:r>
      <w:r w:rsidRPr="00413AF9">
        <w:rPr>
          <w:rFonts w:cs="Times New Roman"/>
          <w:sz w:val="24"/>
          <w:szCs w:val="24"/>
        </w:rPr>
        <w:t>и биографиите на учените от държавата-партньор се подават на български и английски език, а останалите документи се подават само на български език.</w:t>
      </w:r>
    </w:p>
    <w:p w:rsidR="00062AF5" w:rsidRPr="00413AF9" w:rsidRDefault="00062AF5" w:rsidP="00062AF5">
      <w:pPr>
        <w:rPr>
          <w:rFonts w:cs="Times New Roman"/>
          <w:sz w:val="24"/>
          <w:szCs w:val="24"/>
        </w:rPr>
      </w:pPr>
      <w:r w:rsidRPr="00413AF9">
        <w:rPr>
          <w:rFonts w:cs="Times New Roman"/>
          <w:sz w:val="24"/>
          <w:szCs w:val="24"/>
        </w:rPr>
        <w:tab/>
        <w:t>Срокове по конкурса:</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Обявяване на конкурса – </w:t>
      </w:r>
      <w:r w:rsidRPr="00413AF9">
        <w:rPr>
          <w:rFonts w:cs="Times New Roman"/>
          <w:b/>
          <w:sz w:val="24"/>
          <w:szCs w:val="24"/>
        </w:rPr>
        <w:t>04 декември 201</w:t>
      </w:r>
      <w:r w:rsidRPr="00413AF9">
        <w:rPr>
          <w:rFonts w:cs="Times New Roman"/>
          <w:b/>
          <w:sz w:val="24"/>
          <w:szCs w:val="24"/>
          <w:lang w:val="ru-RU"/>
        </w:rPr>
        <w:t>8</w:t>
      </w:r>
      <w:r w:rsidRPr="00413AF9">
        <w:rPr>
          <w:rFonts w:cs="Times New Roman"/>
          <w:b/>
          <w:sz w:val="24"/>
          <w:szCs w:val="24"/>
        </w:rPr>
        <w:t xml:space="preserve"> г.</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Краен срок за подаване на проектни предложения – </w:t>
      </w:r>
      <w:r w:rsidRPr="00413AF9">
        <w:rPr>
          <w:rFonts w:cs="Times New Roman"/>
          <w:b/>
          <w:sz w:val="24"/>
          <w:szCs w:val="24"/>
        </w:rPr>
        <w:t>2</w:t>
      </w:r>
      <w:r w:rsidRPr="00413AF9">
        <w:rPr>
          <w:rFonts w:cs="Times New Roman"/>
          <w:b/>
          <w:sz w:val="24"/>
          <w:szCs w:val="24"/>
          <w:lang w:val="ru-RU"/>
        </w:rPr>
        <w:t>8</w:t>
      </w:r>
      <w:r w:rsidRPr="00413AF9">
        <w:rPr>
          <w:rFonts w:cs="Times New Roman"/>
          <w:b/>
          <w:sz w:val="24"/>
          <w:szCs w:val="24"/>
        </w:rPr>
        <w:t xml:space="preserve"> февруари 2019 г</w:t>
      </w:r>
      <w:r w:rsidRPr="00413AF9">
        <w:rPr>
          <w:rFonts w:cs="Times New Roman"/>
          <w:sz w:val="24"/>
          <w:szCs w:val="24"/>
        </w:rPr>
        <w:t>.</w:t>
      </w:r>
    </w:p>
    <w:p w:rsidR="00062AF5" w:rsidRPr="00413AF9" w:rsidRDefault="00062AF5" w:rsidP="00062AF5">
      <w:pPr>
        <w:numPr>
          <w:ilvl w:val="0"/>
          <w:numId w:val="22"/>
        </w:numPr>
        <w:rPr>
          <w:rFonts w:cs="Times New Roman"/>
          <w:b/>
          <w:sz w:val="24"/>
          <w:szCs w:val="24"/>
        </w:rPr>
      </w:pPr>
      <w:r w:rsidRPr="00413AF9">
        <w:rPr>
          <w:rFonts w:cs="Times New Roman"/>
          <w:sz w:val="24"/>
          <w:szCs w:val="24"/>
        </w:rPr>
        <w:t xml:space="preserve">Размяна на списъците с подадените проекти от двете страни – </w:t>
      </w:r>
      <w:r w:rsidRPr="00413AF9">
        <w:rPr>
          <w:rFonts w:cs="Times New Roman"/>
          <w:b/>
          <w:sz w:val="24"/>
          <w:szCs w:val="24"/>
        </w:rPr>
        <w:t>15 март 2019 г.</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Размяна на резултатите от оценяването на проектите – </w:t>
      </w:r>
      <w:r w:rsidRPr="00413AF9">
        <w:rPr>
          <w:rFonts w:cs="Times New Roman"/>
          <w:b/>
          <w:sz w:val="24"/>
          <w:szCs w:val="24"/>
        </w:rPr>
        <w:t>31май 2019 г.</w:t>
      </w:r>
    </w:p>
    <w:p w:rsidR="00062AF5" w:rsidRPr="00413AF9" w:rsidRDefault="00062AF5" w:rsidP="00062AF5">
      <w:pPr>
        <w:numPr>
          <w:ilvl w:val="0"/>
          <w:numId w:val="22"/>
        </w:numPr>
        <w:rPr>
          <w:rFonts w:cs="Times New Roman"/>
          <w:b/>
          <w:sz w:val="24"/>
          <w:szCs w:val="24"/>
        </w:rPr>
      </w:pPr>
      <w:r w:rsidRPr="00413AF9">
        <w:rPr>
          <w:rFonts w:cs="Times New Roman"/>
          <w:sz w:val="24"/>
          <w:szCs w:val="24"/>
        </w:rPr>
        <w:t xml:space="preserve">Взимане на съвместно решение за финансиране от Смесена комисия – </w:t>
      </w:r>
      <w:r w:rsidRPr="00413AF9">
        <w:rPr>
          <w:rFonts w:cs="Times New Roman"/>
          <w:b/>
          <w:sz w:val="24"/>
          <w:szCs w:val="24"/>
        </w:rPr>
        <w:t xml:space="preserve">юни 2019 </w:t>
      </w:r>
    </w:p>
    <w:p w:rsidR="00062AF5" w:rsidRPr="00413AF9" w:rsidRDefault="00062AF5" w:rsidP="00062AF5">
      <w:pPr>
        <w:numPr>
          <w:ilvl w:val="0"/>
          <w:numId w:val="22"/>
        </w:numPr>
        <w:rPr>
          <w:rFonts w:cs="Times New Roman"/>
          <w:sz w:val="24"/>
          <w:szCs w:val="24"/>
        </w:rPr>
      </w:pPr>
      <w:r w:rsidRPr="00413AF9">
        <w:rPr>
          <w:rFonts w:cs="Times New Roman"/>
          <w:sz w:val="24"/>
          <w:szCs w:val="24"/>
        </w:rPr>
        <w:t xml:space="preserve">Старт на проектите – </w:t>
      </w:r>
      <w:r w:rsidRPr="00413AF9">
        <w:rPr>
          <w:rFonts w:cs="Times New Roman"/>
          <w:b/>
          <w:sz w:val="24"/>
          <w:szCs w:val="24"/>
        </w:rPr>
        <w:t>15 юли 2019 г.</w:t>
      </w:r>
    </w:p>
    <w:p w:rsidR="00062AF5" w:rsidRPr="00413AF9" w:rsidRDefault="00062AF5" w:rsidP="00062AF5">
      <w:pPr>
        <w:numPr>
          <w:ilvl w:val="1"/>
          <w:numId w:val="19"/>
        </w:numPr>
        <w:rPr>
          <w:rFonts w:cs="Times New Roman"/>
          <w:b/>
          <w:bCs/>
          <w:sz w:val="24"/>
          <w:szCs w:val="24"/>
        </w:rPr>
      </w:pPr>
      <w:r w:rsidRPr="00413AF9">
        <w:rPr>
          <w:rFonts w:cs="Times New Roman"/>
          <w:b/>
          <w:bCs/>
          <w:sz w:val="24"/>
          <w:szCs w:val="24"/>
        </w:rPr>
        <w:t>Изисквания към кандидатите и проектите.</w:t>
      </w:r>
    </w:p>
    <w:p w:rsidR="00062AF5" w:rsidRPr="00413AF9" w:rsidRDefault="00062AF5" w:rsidP="00062AF5">
      <w:pPr>
        <w:rPr>
          <w:rFonts w:cs="Times New Roman"/>
          <w:b/>
          <w:bCs/>
          <w:sz w:val="24"/>
          <w:szCs w:val="24"/>
        </w:rPr>
      </w:pPr>
      <w:bookmarkStart w:id="17" w:name="_Toc448240553"/>
      <w:r w:rsidRPr="00413AF9">
        <w:rPr>
          <w:rFonts w:cs="Times New Roman"/>
          <w:b/>
          <w:bCs/>
          <w:sz w:val="24"/>
          <w:szCs w:val="24"/>
        </w:rPr>
        <w:t>Допустими кандидати:</w:t>
      </w:r>
      <w:bookmarkEnd w:id="17"/>
      <w:r w:rsidRPr="00413AF9">
        <w:rPr>
          <w:rFonts w:cs="Times New Roman"/>
          <w:b/>
          <w:bCs/>
          <w:sz w:val="24"/>
          <w:szCs w:val="24"/>
        </w:rPr>
        <w:t xml:space="preserve"> </w:t>
      </w:r>
    </w:p>
    <w:p w:rsidR="00062AF5" w:rsidRPr="00413AF9" w:rsidRDefault="00062AF5" w:rsidP="00062AF5">
      <w:pPr>
        <w:rPr>
          <w:rFonts w:cs="Times New Roman"/>
          <w:b/>
          <w:bCs/>
          <w:sz w:val="24"/>
          <w:szCs w:val="24"/>
        </w:rPr>
      </w:pPr>
      <w:bookmarkStart w:id="18" w:name="_Toc448240554"/>
      <w:r w:rsidRPr="00413AF9">
        <w:rPr>
          <w:rFonts w:cs="Times New Roman"/>
          <w:b/>
          <w:bCs/>
          <w:sz w:val="24"/>
          <w:szCs w:val="24"/>
        </w:rPr>
        <w:t>Критерии за допустимост на кандидатите</w:t>
      </w:r>
      <w:bookmarkEnd w:id="18"/>
    </w:p>
    <w:p w:rsidR="00062AF5" w:rsidRPr="00413AF9" w:rsidRDefault="00062AF5" w:rsidP="00062AF5">
      <w:pPr>
        <w:rPr>
          <w:rFonts w:cs="Times New Roman"/>
          <w:sz w:val="24"/>
          <w:szCs w:val="24"/>
        </w:rPr>
      </w:pPr>
      <w:r w:rsidRPr="00413AF9">
        <w:rPr>
          <w:rFonts w:cs="Times New Roman"/>
          <w:sz w:val="24"/>
          <w:szCs w:val="24"/>
        </w:rPr>
        <w:t>Допустими по настоящата процедура за подбор на проекти са само кандидати, които са:</w:t>
      </w:r>
    </w:p>
    <w:p w:rsidR="00062AF5" w:rsidRPr="00413AF9" w:rsidRDefault="00062AF5" w:rsidP="00062AF5">
      <w:pPr>
        <w:rPr>
          <w:rFonts w:cs="Times New Roman"/>
          <w:sz w:val="24"/>
          <w:szCs w:val="24"/>
        </w:rPr>
      </w:pPr>
      <w:r w:rsidRPr="00413AF9">
        <w:rPr>
          <w:rFonts w:cs="Times New Roman"/>
          <w:sz w:val="24"/>
          <w:szCs w:val="24"/>
        </w:rPr>
        <w:t>1)</w:t>
      </w:r>
      <w:r w:rsidRPr="00413AF9">
        <w:rPr>
          <w:rFonts w:cs="Times New Roman"/>
          <w:sz w:val="24"/>
          <w:szCs w:val="24"/>
        </w:rPr>
        <w:tab/>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062AF5" w:rsidRPr="00413AF9" w:rsidRDefault="00062AF5" w:rsidP="00062AF5">
      <w:pPr>
        <w:rPr>
          <w:rFonts w:cs="Times New Roman"/>
          <w:sz w:val="24"/>
          <w:szCs w:val="24"/>
        </w:rPr>
      </w:pPr>
      <w:r w:rsidRPr="00413AF9">
        <w:rPr>
          <w:rFonts w:cs="Times New Roman"/>
          <w:sz w:val="24"/>
          <w:szCs w:val="24"/>
        </w:rPr>
        <w:t>2)</w:t>
      </w:r>
      <w:r w:rsidRPr="00413AF9">
        <w:rPr>
          <w:rFonts w:cs="Times New Roman"/>
          <w:sz w:val="24"/>
          <w:szCs w:val="24"/>
        </w:rPr>
        <w:tab/>
        <w:t>научни организации по чл. 47, ал. 1 на ЗВО, които са акредитирани от НАОА да провеждат обучение по образователна и научна степен "доктор"</w:t>
      </w:r>
    </w:p>
    <w:p w:rsidR="00062AF5" w:rsidRPr="00413AF9" w:rsidRDefault="00062AF5" w:rsidP="00062AF5">
      <w:pPr>
        <w:rPr>
          <w:rFonts w:cs="Times New Roman"/>
          <w:sz w:val="24"/>
          <w:szCs w:val="24"/>
        </w:rPr>
      </w:pPr>
      <w:r w:rsidRPr="00413AF9">
        <w:rPr>
          <w:rFonts w:cs="Times New Roman"/>
          <w:sz w:val="24"/>
          <w:szCs w:val="24"/>
        </w:rPr>
        <w:t xml:space="preserve">Проверката за горепосочените обстоятелства се извършва в регистъра на НАОА. </w:t>
      </w:r>
    </w:p>
    <w:p w:rsidR="00062AF5" w:rsidRPr="00413AF9" w:rsidRDefault="00062AF5" w:rsidP="00062AF5">
      <w:pPr>
        <w:rPr>
          <w:rFonts w:cs="Times New Roman"/>
          <w:sz w:val="24"/>
          <w:szCs w:val="24"/>
        </w:rPr>
      </w:pPr>
      <w:r w:rsidRPr="00413AF9">
        <w:rPr>
          <w:rFonts w:cs="Times New Roman"/>
          <w:sz w:val="24"/>
          <w:szCs w:val="24"/>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062AF5" w:rsidRPr="00413AF9" w:rsidRDefault="00062AF5" w:rsidP="00062AF5">
      <w:pPr>
        <w:rPr>
          <w:rFonts w:cs="Times New Roman"/>
          <w:sz w:val="24"/>
          <w:szCs w:val="24"/>
        </w:rPr>
      </w:pPr>
      <w:r w:rsidRPr="00413AF9">
        <w:rPr>
          <w:rFonts w:cs="Times New Roman"/>
          <w:sz w:val="24"/>
          <w:szCs w:val="24"/>
        </w:rPr>
        <w:t xml:space="preserve">Кандидатите по процедурата трябва да са субекти: </w:t>
      </w:r>
    </w:p>
    <w:p w:rsidR="00062AF5" w:rsidRPr="00413AF9" w:rsidRDefault="00062AF5" w:rsidP="00062AF5">
      <w:pPr>
        <w:numPr>
          <w:ilvl w:val="0"/>
          <w:numId w:val="21"/>
        </w:numPr>
        <w:rPr>
          <w:rFonts w:cs="Times New Roman"/>
          <w:sz w:val="24"/>
          <w:szCs w:val="24"/>
        </w:rPr>
      </w:pPr>
      <w:r w:rsidRPr="00413AF9">
        <w:rPr>
          <w:rFonts w:cs="Times New Roman"/>
          <w:sz w:val="24"/>
          <w:szCs w:val="24"/>
        </w:rPr>
        <w:t xml:space="preserve">осъществяващи научни изследвания; </w:t>
      </w:r>
    </w:p>
    <w:p w:rsidR="00062AF5" w:rsidRPr="00413AF9" w:rsidRDefault="00062AF5" w:rsidP="00062AF5">
      <w:pPr>
        <w:rPr>
          <w:rFonts w:cs="Times New Roman"/>
          <w:sz w:val="24"/>
          <w:szCs w:val="24"/>
        </w:rPr>
      </w:pPr>
      <w:r w:rsidRPr="00413AF9">
        <w:rPr>
          <w:rFonts w:cs="Times New Roman"/>
          <w:sz w:val="24"/>
          <w:szCs w:val="24"/>
        </w:rPr>
        <w:t>и</w:t>
      </w:r>
    </w:p>
    <w:p w:rsidR="00062AF5" w:rsidRPr="00413AF9" w:rsidRDefault="00062AF5" w:rsidP="00062AF5">
      <w:pPr>
        <w:numPr>
          <w:ilvl w:val="0"/>
          <w:numId w:val="21"/>
        </w:numPr>
        <w:rPr>
          <w:rFonts w:cs="Times New Roman"/>
          <w:sz w:val="24"/>
          <w:szCs w:val="24"/>
        </w:rPr>
      </w:pPr>
      <w:r w:rsidRPr="00413AF9">
        <w:rPr>
          <w:rFonts w:cs="Times New Roman"/>
          <w:sz w:val="24"/>
          <w:szCs w:val="24"/>
        </w:rPr>
        <w:t xml:space="preserve">чиито дейности са изцяло с нестопански характер </w:t>
      </w:r>
    </w:p>
    <w:p w:rsidR="00062AF5" w:rsidRPr="00413AF9" w:rsidRDefault="00062AF5" w:rsidP="00062AF5">
      <w:pPr>
        <w:rPr>
          <w:rFonts w:cs="Times New Roman"/>
          <w:sz w:val="24"/>
          <w:szCs w:val="24"/>
        </w:rPr>
      </w:pPr>
      <w:r w:rsidRPr="00413AF9">
        <w:rPr>
          <w:rFonts w:cs="Times New Roman"/>
          <w:sz w:val="24"/>
          <w:szCs w:val="24"/>
        </w:rPr>
        <w:t xml:space="preserve">или </w:t>
      </w:r>
    </w:p>
    <w:p w:rsidR="00062AF5" w:rsidRPr="00413AF9" w:rsidRDefault="00062AF5" w:rsidP="00062AF5">
      <w:pPr>
        <w:numPr>
          <w:ilvl w:val="0"/>
          <w:numId w:val="21"/>
        </w:numPr>
        <w:rPr>
          <w:rFonts w:cs="Times New Roman"/>
          <w:sz w:val="24"/>
          <w:szCs w:val="24"/>
        </w:rPr>
      </w:pPr>
      <w:r w:rsidRPr="00413AF9">
        <w:rPr>
          <w:rFonts w:cs="Times New Roman"/>
          <w:sz w:val="24"/>
          <w:szCs w:val="24"/>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062AF5" w:rsidRPr="00413AF9" w:rsidRDefault="00062AF5" w:rsidP="00062AF5">
      <w:pPr>
        <w:rPr>
          <w:rFonts w:cs="Times New Roman"/>
          <w:sz w:val="24"/>
          <w:szCs w:val="24"/>
        </w:rPr>
      </w:pPr>
      <w:r w:rsidRPr="00413AF9">
        <w:rPr>
          <w:rFonts w:cs="Times New Roman"/>
          <w:sz w:val="24"/>
          <w:szCs w:val="24"/>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062AF5" w:rsidRPr="00413AF9" w:rsidRDefault="00062AF5" w:rsidP="00062AF5">
      <w:pPr>
        <w:numPr>
          <w:ilvl w:val="0"/>
          <w:numId w:val="21"/>
        </w:numPr>
        <w:rPr>
          <w:rFonts w:cs="Times New Roman"/>
          <w:sz w:val="24"/>
          <w:szCs w:val="24"/>
        </w:rPr>
      </w:pPr>
      <w:r w:rsidRPr="00413AF9">
        <w:rPr>
          <w:rFonts w:cs="Times New Roman"/>
          <w:sz w:val="24"/>
          <w:szCs w:val="24"/>
        </w:rPr>
        <w:t>научни изследвания по договор с предприятия/отрасъл;</w:t>
      </w:r>
    </w:p>
    <w:p w:rsidR="00062AF5" w:rsidRPr="00413AF9" w:rsidRDefault="00062AF5" w:rsidP="00062AF5">
      <w:pPr>
        <w:numPr>
          <w:ilvl w:val="0"/>
          <w:numId w:val="21"/>
        </w:numPr>
        <w:rPr>
          <w:rFonts w:cs="Times New Roman"/>
          <w:sz w:val="24"/>
          <w:szCs w:val="24"/>
        </w:rPr>
      </w:pPr>
      <w:r w:rsidRPr="00413AF9">
        <w:rPr>
          <w:rFonts w:cs="Times New Roman"/>
          <w:sz w:val="24"/>
          <w:szCs w:val="24"/>
        </w:rPr>
        <w:t>консултантски или други услуги, предоставяни на предприятия/отрасъл;</w:t>
      </w:r>
    </w:p>
    <w:p w:rsidR="00062AF5" w:rsidRPr="00413AF9" w:rsidRDefault="00062AF5" w:rsidP="00062AF5">
      <w:pPr>
        <w:numPr>
          <w:ilvl w:val="0"/>
          <w:numId w:val="21"/>
        </w:numPr>
        <w:rPr>
          <w:rFonts w:cs="Times New Roman"/>
          <w:sz w:val="24"/>
          <w:szCs w:val="24"/>
        </w:rPr>
      </w:pPr>
      <w:r w:rsidRPr="00413AF9">
        <w:rPr>
          <w:rFonts w:cs="Times New Roman"/>
          <w:sz w:val="24"/>
          <w:szCs w:val="24"/>
        </w:rPr>
        <w:t>отдаване под наем на активите (инфраструктурата/оборудването).</w:t>
      </w:r>
    </w:p>
    <w:p w:rsidR="00062AF5" w:rsidRPr="00413AF9" w:rsidRDefault="00062AF5" w:rsidP="00062AF5">
      <w:pPr>
        <w:rPr>
          <w:rFonts w:cs="Times New Roman"/>
          <w:sz w:val="24"/>
          <w:szCs w:val="24"/>
        </w:rPr>
      </w:pPr>
      <w:r w:rsidRPr="00413AF9">
        <w:rPr>
          <w:rFonts w:cs="Times New Roman"/>
          <w:sz w:val="24"/>
          <w:szCs w:val="24"/>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062AF5" w:rsidRPr="00413AF9" w:rsidRDefault="00062AF5" w:rsidP="00062AF5">
      <w:pPr>
        <w:rPr>
          <w:rFonts w:cs="Times New Roman"/>
          <w:bCs/>
          <w:sz w:val="24"/>
          <w:szCs w:val="24"/>
        </w:rPr>
      </w:pPr>
      <w:r w:rsidRPr="00413AF9">
        <w:rPr>
          <w:rFonts w:cs="Times New Roman"/>
          <w:bCs/>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062AF5" w:rsidRDefault="00062AF5" w:rsidP="00062AF5">
      <w:pPr>
        <w:rPr>
          <w:rFonts w:cs="Times New Roman"/>
          <w:bCs/>
          <w:sz w:val="24"/>
          <w:szCs w:val="24"/>
        </w:rPr>
      </w:pPr>
      <w:r w:rsidRPr="00413AF9">
        <w:rPr>
          <w:rFonts w:cs="Times New Roman"/>
          <w:bCs/>
          <w:sz w:val="24"/>
          <w:szCs w:val="24"/>
        </w:rPr>
        <w:t>Пълната информация за конкурса и процедурите за кандидатстване може да намерите на интернет страницата на Ф</w:t>
      </w:r>
      <w:r w:rsidR="00413AF9">
        <w:rPr>
          <w:rFonts w:cs="Times New Roman"/>
          <w:bCs/>
          <w:sz w:val="24"/>
          <w:szCs w:val="24"/>
        </w:rPr>
        <w:t xml:space="preserve">онд „Научни изследвания“ </w:t>
      </w:r>
      <w:hyperlink r:id="rId24" w:history="1">
        <w:r w:rsidR="00413AF9" w:rsidRPr="00711ECE">
          <w:rPr>
            <w:rStyle w:val="Hyperlink"/>
            <w:rFonts w:cs="Times New Roman"/>
            <w:bCs/>
            <w:sz w:val="24"/>
            <w:szCs w:val="24"/>
          </w:rPr>
          <w:t>http://www.fni.bg</w:t>
        </w:r>
      </w:hyperlink>
    </w:p>
    <w:p w:rsidR="00413AF9" w:rsidRDefault="00413AF9" w:rsidP="00062AF5">
      <w:pPr>
        <w:rPr>
          <w:rFonts w:cs="Times New Roman"/>
          <w:b/>
          <w:sz w:val="24"/>
          <w:szCs w:val="24"/>
        </w:rPr>
      </w:pPr>
      <w:r w:rsidRPr="00413AF9">
        <w:rPr>
          <w:rFonts w:cs="Times New Roman"/>
          <w:b/>
          <w:bCs/>
          <w:sz w:val="24"/>
          <w:szCs w:val="24"/>
        </w:rPr>
        <w:t xml:space="preserve">Краен срок: </w:t>
      </w:r>
      <w:r w:rsidRPr="00413AF9">
        <w:rPr>
          <w:rFonts w:cs="Times New Roman"/>
          <w:b/>
          <w:sz w:val="24"/>
          <w:szCs w:val="24"/>
        </w:rPr>
        <w:t>17 часа на 28 февруари 2019 г.</w:t>
      </w:r>
    </w:p>
    <w:p w:rsidR="00CD7274" w:rsidRPr="00CD7274" w:rsidRDefault="00CD7274" w:rsidP="00CD7274">
      <w:pPr>
        <w:pStyle w:val="Heading2"/>
        <w:ind w:left="426"/>
        <w:rPr>
          <w:rFonts w:eastAsia="Times New Roman"/>
          <w:lang w:eastAsia="bg-BG"/>
        </w:rPr>
      </w:pPr>
      <w:bookmarkStart w:id="19" w:name="_Toc535323842"/>
      <w:r w:rsidRPr="00CD7274">
        <w:rPr>
          <w:rFonts w:eastAsia="Times New Roman"/>
          <w:lang w:eastAsia="bg-BG"/>
        </w:rPr>
        <w:t>Конкурс за проекти по програ</w:t>
      </w:r>
      <w:r w:rsidR="00A4455B">
        <w:rPr>
          <w:rFonts w:eastAsia="Times New Roman"/>
          <w:lang w:eastAsia="bg-BG"/>
        </w:rPr>
        <w:t>ми за двустранно сътрудничество</w:t>
      </w:r>
      <w:r w:rsidRPr="00CD7274">
        <w:rPr>
          <w:rFonts w:eastAsia="Times New Roman"/>
          <w:lang w:eastAsia="bg-BG"/>
        </w:rPr>
        <w:t xml:space="preserve"> </w:t>
      </w:r>
      <w:r>
        <w:rPr>
          <w:rFonts w:eastAsia="Times New Roman"/>
          <w:lang w:eastAsia="bg-BG"/>
        </w:rPr>
        <w:t>България – Русия</w:t>
      </w:r>
      <w:bookmarkEnd w:id="19"/>
    </w:p>
    <w:p w:rsidR="00DB68F2" w:rsidRPr="00CD7274" w:rsidRDefault="00DB68F2" w:rsidP="00DB68F2">
      <w:pPr>
        <w:spacing w:after="0" w:line="240" w:lineRule="auto"/>
        <w:rPr>
          <w:rFonts w:eastAsia="Times New Roman" w:cs="Times New Roman"/>
          <w:caps/>
          <w:sz w:val="24"/>
          <w:szCs w:val="24"/>
          <w:lang w:eastAsia="bg-BG"/>
        </w:rPr>
      </w:pPr>
      <w:r w:rsidRPr="00CD7274">
        <w:rPr>
          <w:rFonts w:eastAsia="Times New Roman" w:cs="Times New Roman"/>
          <w:sz w:val="24"/>
          <w:szCs w:val="24"/>
          <w:shd w:val="clear" w:color="auto" w:fill="FFFFFF"/>
          <w:lang w:eastAsia="bg-BG"/>
        </w:rPr>
        <w:t>Фонд „Научни изследвания“ отправя покана за участие в „</w:t>
      </w:r>
      <w:r w:rsidR="00CD7274">
        <w:rPr>
          <w:rFonts w:eastAsia="Times New Roman" w:cs="Times New Roman"/>
          <w:sz w:val="24"/>
          <w:szCs w:val="24"/>
          <w:shd w:val="clear" w:color="auto" w:fill="FFFFFF"/>
          <w:lang w:eastAsia="bg-BG"/>
        </w:rPr>
        <w:t>К</w:t>
      </w:r>
      <w:r w:rsidR="00CD7274" w:rsidRPr="00CD7274">
        <w:rPr>
          <w:rFonts w:eastAsia="Times New Roman" w:cs="Times New Roman"/>
          <w:sz w:val="24"/>
          <w:szCs w:val="24"/>
          <w:lang w:eastAsia="bg-BG"/>
        </w:rPr>
        <w:t>онкурс за проекти по програми за двустранно сътрудничество 2018</w:t>
      </w:r>
      <w:r w:rsidR="00CD7274" w:rsidRPr="00CD7274">
        <w:rPr>
          <w:rFonts w:eastAsia="Times New Roman" w:cs="Times New Roman"/>
          <w:sz w:val="24"/>
          <w:szCs w:val="24"/>
          <w:lang w:val="ru-RU" w:eastAsia="bg-BG"/>
        </w:rPr>
        <w:t>-2019</w:t>
      </w:r>
      <w:r w:rsidR="00CD7274">
        <w:rPr>
          <w:rFonts w:eastAsia="Times New Roman" w:cs="Times New Roman"/>
          <w:sz w:val="24"/>
          <w:szCs w:val="24"/>
          <w:lang w:eastAsia="bg-BG"/>
        </w:rPr>
        <w:t xml:space="preserve"> г. – България – Р</w:t>
      </w:r>
      <w:r w:rsidR="00CD7274" w:rsidRPr="00CD7274">
        <w:rPr>
          <w:rFonts w:eastAsia="Times New Roman" w:cs="Times New Roman"/>
          <w:sz w:val="24"/>
          <w:szCs w:val="24"/>
          <w:lang w:eastAsia="bg-BG"/>
        </w:rPr>
        <w:t>усия“</w:t>
      </w:r>
    </w:p>
    <w:p w:rsidR="00DB68F2" w:rsidRPr="00DB68F2" w:rsidRDefault="00DB68F2" w:rsidP="00CD7274">
      <w:pPr>
        <w:spacing w:before="120" w:after="120"/>
        <w:rPr>
          <w:rFonts w:eastAsia="Times New Roman" w:cs="Times New Roman"/>
          <w:sz w:val="24"/>
          <w:szCs w:val="24"/>
          <w:lang w:eastAsia="bg-BG"/>
        </w:rPr>
      </w:pPr>
      <w:r w:rsidRPr="00DB68F2">
        <w:rPr>
          <w:rFonts w:eastAsia="Times New Roman" w:cs="Times New Roman"/>
          <w:sz w:val="24"/>
          <w:szCs w:val="24"/>
          <w:lang w:eastAsia="bg-BG"/>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DB68F2" w:rsidRPr="00DB68F2" w:rsidRDefault="00DB68F2" w:rsidP="00CD7274">
      <w:pPr>
        <w:spacing w:before="120" w:after="120"/>
        <w:rPr>
          <w:rFonts w:eastAsia="Times New Roman" w:cs="Times New Roman"/>
          <w:sz w:val="24"/>
          <w:szCs w:val="24"/>
          <w:lang w:eastAsia="bg-BG"/>
        </w:rPr>
      </w:pPr>
      <w:r w:rsidRPr="00DB68F2">
        <w:rPr>
          <w:rFonts w:eastAsia="Times New Roman" w:cs="Times New Roman"/>
          <w:sz w:val="24"/>
          <w:szCs w:val="24"/>
          <w:lang w:eastAsia="bg-BG"/>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w:t>
      </w:r>
      <w:r w:rsidRPr="00DB68F2">
        <w:rPr>
          <w:rFonts w:eastAsia="Times New Roman" w:cs="Times New Roman"/>
          <w:color w:val="FF0000"/>
          <w:sz w:val="24"/>
          <w:szCs w:val="24"/>
          <w:lang w:eastAsia="bg-BG"/>
        </w:rPr>
        <w:t xml:space="preserve"> </w:t>
      </w:r>
      <w:r w:rsidRPr="00DB68F2">
        <w:rPr>
          <w:rFonts w:eastAsia="Times New Roman" w:cs="Times New Roman"/>
          <w:sz w:val="24"/>
          <w:szCs w:val="24"/>
          <w:lang w:eastAsia="bg-BG"/>
        </w:rPr>
        <w:t>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Pr="00DB68F2">
        <w:rPr>
          <w:rFonts w:eastAsia="Times New Roman" w:cs="Times New Roman"/>
          <w:color w:val="FF0000"/>
          <w:sz w:val="24"/>
          <w:szCs w:val="24"/>
          <w:lang w:eastAsia="bg-BG"/>
        </w:rPr>
        <w:t xml:space="preserve"> </w:t>
      </w:r>
      <w:r w:rsidRPr="00DB68F2">
        <w:rPr>
          <w:rFonts w:eastAsia="Times New Roman" w:cs="Times New Roman"/>
          <w:sz w:val="24"/>
          <w:szCs w:val="24"/>
          <w:lang w:eastAsia="bg-BG"/>
        </w:rPr>
        <w:t xml:space="preserve">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DB68F2">
        <w:rPr>
          <w:rFonts w:eastAsia="Times New Roman" w:cs="Times New Roman"/>
          <w:b/>
          <w:sz w:val="24"/>
          <w:szCs w:val="24"/>
          <w:lang w:eastAsia="bg-BG"/>
        </w:rPr>
        <w:t>Допълнение „Специфични условия“</w:t>
      </w:r>
      <w:r w:rsidRPr="00DB68F2">
        <w:rPr>
          <w:rFonts w:eastAsia="Times New Roman" w:cs="Times New Roman"/>
          <w:sz w:val="24"/>
          <w:szCs w:val="24"/>
          <w:lang w:eastAsia="bg-BG"/>
        </w:rPr>
        <w:t xml:space="preserve"> към документацията на настоящата процедура. </w:t>
      </w:r>
    </w:p>
    <w:p w:rsidR="00DB68F2" w:rsidRPr="00A16175" w:rsidRDefault="00DB68F2" w:rsidP="00A16175">
      <w:pPr>
        <w:rPr>
          <w:sz w:val="24"/>
          <w:szCs w:val="24"/>
          <w:lang w:eastAsia="bg-BG"/>
        </w:rPr>
      </w:pPr>
      <w:r w:rsidRPr="00A16175">
        <w:rPr>
          <w:sz w:val="24"/>
          <w:szCs w:val="24"/>
          <w:lang w:eastAsia="bg-BG"/>
        </w:rPr>
        <w:t xml:space="preserve">Ще бъдат </w:t>
      </w:r>
      <w:r w:rsidRPr="00A16175">
        <w:rPr>
          <w:rFonts w:eastAsia="Times New Roman"/>
          <w:sz w:val="24"/>
          <w:szCs w:val="24"/>
          <w:lang w:eastAsia="bg-BG"/>
        </w:rPr>
        <w:t>финансирани</w:t>
      </w:r>
      <w:r w:rsidRPr="00A16175">
        <w:rPr>
          <w:sz w:val="24"/>
          <w:szCs w:val="24"/>
          <w:lang w:eastAsia="bg-BG"/>
        </w:rPr>
        <w:t xml:space="preserve"> проекти в следните научни области, както следва:</w:t>
      </w:r>
    </w:p>
    <w:p w:rsidR="00DB68F2" w:rsidRPr="00A16175" w:rsidRDefault="00DB68F2" w:rsidP="00A16175">
      <w:pPr>
        <w:rPr>
          <w:sz w:val="24"/>
          <w:szCs w:val="24"/>
        </w:rPr>
      </w:pPr>
      <w:r w:rsidRPr="00A16175">
        <w:rPr>
          <w:sz w:val="24"/>
          <w:szCs w:val="24"/>
        </w:rPr>
        <w:t xml:space="preserve">- Математика, механика; </w:t>
      </w:r>
    </w:p>
    <w:p w:rsidR="00DB68F2" w:rsidRPr="00A16175" w:rsidRDefault="00DB68F2" w:rsidP="00A16175">
      <w:pPr>
        <w:rPr>
          <w:sz w:val="24"/>
          <w:szCs w:val="24"/>
        </w:rPr>
      </w:pPr>
      <w:r w:rsidRPr="00A16175">
        <w:rPr>
          <w:sz w:val="24"/>
          <w:szCs w:val="24"/>
        </w:rPr>
        <w:t xml:space="preserve">- Физика и астрономия; </w:t>
      </w:r>
    </w:p>
    <w:p w:rsidR="00DB68F2" w:rsidRPr="00A16175" w:rsidRDefault="00DB68F2" w:rsidP="00A16175">
      <w:pPr>
        <w:rPr>
          <w:sz w:val="24"/>
          <w:szCs w:val="24"/>
        </w:rPr>
      </w:pPr>
      <w:r w:rsidRPr="00A16175">
        <w:rPr>
          <w:sz w:val="24"/>
          <w:szCs w:val="24"/>
        </w:rPr>
        <w:t xml:space="preserve">- Химия; </w:t>
      </w:r>
    </w:p>
    <w:p w:rsidR="00DB68F2" w:rsidRPr="00A16175" w:rsidRDefault="00DB68F2" w:rsidP="00A16175">
      <w:pPr>
        <w:rPr>
          <w:sz w:val="24"/>
          <w:szCs w:val="24"/>
        </w:rPr>
      </w:pPr>
      <w:r w:rsidRPr="00A16175">
        <w:rPr>
          <w:sz w:val="24"/>
          <w:szCs w:val="24"/>
        </w:rPr>
        <w:t xml:space="preserve">- Биология и медицински науки; </w:t>
      </w:r>
    </w:p>
    <w:p w:rsidR="00DB68F2" w:rsidRPr="00A16175" w:rsidRDefault="00DB68F2" w:rsidP="00A16175">
      <w:pPr>
        <w:rPr>
          <w:sz w:val="24"/>
          <w:szCs w:val="24"/>
        </w:rPr>
      </w:pPr>
      <w:r w:rsidRPr="00A16175">
        <w:rPr>
          <w:sz w:val="24"/>
          <w:szCs w:val="24"/>
        </w:rPr>
        <w:t xml:space="preserve">- Науки за Земята; </w:t>
      </w:r>
    </w:p>
    <w:p w:rsidR="00DB68F2" w:rsidRPr="00A16175" w:rsidRDefault="00DB68F2" w:rsidP="00A16175">
      <w:pPr>
        <w:rPr>
          <w:sz w:val="24"/>
          <w:szCs w:val="24"/>
        </w:rPr>
      </w:pPr>
      <w:r w:rsidRPr="00A16175">
        <w:rPr>
          <w:sz w:val="24"/>
          <w:szCs w:val="24"/>
        </w:rPr>
        <w:t xml:space="preserve">- Телекомуникации и информатика; </w:t>
      </w:r>
    </w:p>
    <w:p w:rsidR="00DB68F2" w:rsidRPr="00A16175" w:rsidRDefault="00DB68F2" w:rsidP="00A16175">
      <w:pPr>
        <w:rPr>
          <w:sz w:val="24"/>
          <w:szCs w:val="24"/>
        </w:rPr>
      </w:pPr>
      <w:r w:rsidRPr="00A16175">
        <w:rPr>
          <w:sz w:val="24"/>
          <w:szCs w:val="24"/>
        </w:rPr>
        <w:t xml:space="preserve">- Основи на инженерните науки; </w:t>
      </w:r>
    </w:p>
    <w:p w:rsidR="00DB68F2" w:rsidRPr="00A16175" w:rsidRDefault="00DB68F2" w:rsidP="00A16175">
      <w:pPr>
        <w:rPr>
          <w:sz w:val="24"/>
          <w:szCs w:val="24"/>
        </w:rPr>
      </w:pPr>
      <w:r w:rsidRPr="00A16175">
        <w:rPr>
          <w:sz w:val="24"/>
          <w:szCs w:val="24"/>
        </w:rPr>
        <w:t xml:space="preserve">- История, археология, етнология и антропология; </w:t>
      </w:r>
    </w:p>
    <w:p w:rsidR="00DB68F2" w:rsidRPr="00A16175" w:rsidRDefault="00DB68F2" w:rsidP="00A16175">
      <w:pPr>
        <w:rPr>
          <w:sz w:val="24"/>
          <w:szCs w:val="24"/>
        </w:rPr>
      </w:pPr>
      <w:r w:rsidRPr="00A16175">
        <w:rPr>
          <w:sz w:val="24"/>
          <w:szCs w:val="24"/>
        </w:rPr>
        <w:t xml:space="preserve">- Обществени науки и икономика; </w:t>
      </w:r>
    </w:p>
    <w:p w:rsidR="00DB68F2" w:rsidRPr="00A16175" w:rsidRDefault="00DB68F2" w:rsidP="00A16175">
      <w:pPr>
        <w:rPr>
          <w:sz w:val="24"/>
          <w:szCs w:val="24"/>
        </w:rPr>
      </w:pPr>
      <w:r w:rsidRPr="00A16175">
        <w:rPr>
          <w:sz w:val="24"/>
          <w:szCs w:val="24"/>
        </w:rPr>
        <w:t xml:space="preserve">- Филологически науки, изкуствознание; </w:t>
      </w:r>
    </w:p>
    <w:p w:rsidR="00DB68F2" w:rsidRPr="00A16175" w:rsidRDefault="00DB68F2" w:rsidP="00A16175">
      <w:pPr>
        <w:rPr>
          <w:sz w:val="24"/>
          <w:szCs w:val="24"/>
        </w:rPr>
      </w:pPr>
      <w:r w:rsidRPr="00A16175">
        <w:rPr>
          <w:sz w:val="24"/>
          <w:szCs w:val="24"/>
        </w:rPr>
        <w:t xml:space="preserve">- Психология, педагогически науки; </w:t>
      </w:r>
    </w:p>
    <w:p w:rsidR="00DB68F2" w:rsidRPr="00A16175" w:rsidRDefault="00DB68F2" w:rsidP="00A16175">
      <w:pPr>
        <w:rPr>
          <w:rFonts w:eastAsia="Times New Roman"/>
          <w:bCs/>
          <w:color w:val="5B9BD5"/>
          <w:sz w:val="24"/>
          <w:szCs w:val="24"/>
        </w:rPr>
      </w:pPr>
      <w:r w:rsidRPr="00A16175">
        <w:rPr>
          <w:sz w:val="24"/>
          <w:szCs w:val="24"/>
        </w:rPr>
        <w:t>- Селскостопански науки.</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Общ бюджет на конкурса: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Прогнозният общ бюджет на конкурса е 900 000 лв. </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Минимален и максимален размер на финансирането за конкретен проект:</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Общият размер на финансирането за всеки индивидуален проект следва да бъде съобразен с допустимите разходи по настоящата процедура. </w:t>
      </w:r>
    </w:p>
    <w:p w:rsidR="00DB68F2" w:rsidRPr="00A16175" w:rsidRDefault="00DB68F2" w:rsidP="00A16175">
      <w:pPr>
        <w:rPr>
          <w:rFonts w:eastAsia="Times New Roman"/>
          <w:sz w:val="24"/>
          <w:szCs w:val="24"/>
          <w:lang w:val="ru-RU" w:eastAsia="bg-BG"/>
        </w:rPr>
      </w:pPr>
      <w:r w:rsidRPr="00A16175">
        <w:rPr>
          <w:rFonts w:eastAsia="Times New Roman"/>
          <w:sz w:val="24"/>
          <w:szCs w:val="24"/>
          <w:lang w:eastAsia="bg-BG"/>
        </w:rPr>
        <w:t xml:space="preserve">Максималната сума за всеки отделен проект е 40 000 лв. </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Срок за изпълнение на проекта: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Срок за изпълнение на одобрените проекти: </w:t>
      </w:r>
      <w:r w:rsidRPr="00A16175">
        <w:rPr>
          <w:rFonts w:eastAsia="Times New Roman"/>
          <w:sz w:val="24"/>
          <w:szCs w:val="24"/>
          <w:u w:val="single"/>
          <w:lang w:eastAsia="bg-BG"/>
        </w:rPr>
        <w:t>24 месеца.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За начална дата на проекта се счита датата на подписване на договора за финансиране.</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Срок за подаване на проектните предложения</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Проектните предложения  се представят до 17 часа на 28 февруари 2019 г. в деловодството на Фонд "Научни изследвания", както следва: </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на хартиен носител в един екземпляр с оригинални подписи и печати; </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в електронен формат, като документите, съдържащи подписи, са сканирани.</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в електронен формат, като документите да дават възможност за автоматично търсене</w:t>
      </w:r>
      <w:r w:rsidRPr="00A16175">
        <w:rPr>
          <w:rFonts w:eastAsia="Times New Roman"/>
          <w:sz w:val="24"/>
          <w:szCs w:val="24"/>
          <w:lang w:val="ru-RU" w:eastAsia="bg-BG"/>
        </w:rPr>
        <w:t xml:space="preserve"> (</w:t>
      </w:r>
      <w:r w:rsidRPr="00A16175">
        <w:rPr>
          <w:rFonts w:eastAsia="Times New Roman"/>
          <w:sz w:val="24"/>
          <w:szCs w:val="24"/>
          <w:lang w:eastAsia="bg-BG"/>
        </w:rPr>
        <w:t xml:space="preserve">в </w:t>
      </w:r>
      <w:r w:rsidRPr="00A16175">
        <w:rPr>
          <w:rFonts w:eastAsia="Times New Roman"/>
          <w:sz w:val="24"/>
          <w:szCs w:val="24"/>
          <w:lang w:val="en-US" w:eastAsia="bg-BG"/>
        </w:rPr>
        <w:t>pdf</w:t>
      </w:r>
      <w:r w:rsidRPr="00A16175">
        <w:rPr>
          <w:rFonts w:eastAsia="Times New Roman"/>
          <w:sz w:val="24"/>
          <w:szCs w:val="24"/>
          <w:lang w:val="ru-RU" w:eastAsia="bg-BG"/>
        </w:rPr>
        <w:t xml:space="preserve"> </w:t>
      </w:r>
      <w:r w:rsidRPr="00A16175">
        <w:rPr>
          <w:rFonts w:eastAsia="Times New Roman"/>
          <w:sz w:val="24"/>
          <w:szCs w:val="24"/>
          <w:lang w:eastAsia="bg-BG"/>
        </w:rPr>
        <w:t>формат генериран автоматично от документа).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Административното описание Част 1 на проектното </w:t>
      </w:r>
      <w:r w:rsidRPr="00A16175">
        <w:rPr>
          <w:rFonts w:eastAsia="Times New Roman"/>
          <w:bCs/>
          <w:sz w:val="24"/>
          <w:szCs w:val="24"/>
          <w:lang w:eastAsia="bg-BG"/>
        </w:rPr>
        <w:t xml:space="preserve">предложение </w:t>
      </w:r>
      <w:r w:rsidRPr="00A16175">
        <w:rPr>
          <w:rFonts w:eastAsia="Times New Roman"/>
          <w:sz w:val="24"/>
          <w:szCs w:val="24"/>
          <w:lang w:eastAsia="bg-BG"/>
        </w:rPr>
        <w:t>и биографиите на учените от държавата-партньор се подават на български и английски език, а останалите документи се подават само на български език.</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ab/>
        <w:t>Срокове по конкурса: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Обявяване на конкурса – 20 декември 2018 г. от ФНИ</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 xml:space="preserve">         15 януари 2019 г. от РФФИ</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Краен срок за подаване на проектни предложения – 28 февруари 2019 г.</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Старт на проектите – 15 юли 2019 г.</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Изисквания към кандидатите и проектите.</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 xml:space="preserve">Допустими кандидати: </w:t>
      </w:r>
    </w:p>
    <w:p w:rsidR="00DB68F2" w:rsidRPr="00A16175" w:rsidRDefault="00DB68F2" w:rsidP="00A16175">
      <w:pPr>
        <w:rPr>
          <w:rFonts w:ascii="Cambria" w:eastAsia="Times New Roman" w:hAnsi="Cambria"/>
          <w:bCs/>
          <w:sz w:val="24"/>
          <w:szCs w:val="24"/>
          <w:lang w:eastAsia="bg-BG"/>
        </w:rPr>
      </w:pPr>
      <w:r w:rsidRPr="00A16175">
        <w:rPr>
          <w:rFonts w:ascii="Cambria" w:eastAsia="Times New Roman" w:hAnsi="Cambria"/>
          <w:bCs/>
          <w:sz w:val="24"/>
          <w:szCs w:val="24"/>
          <w:lang w:eastAsia="bg-BG"/>
        </w:rPr>
        <w:t>Критерии за допустимост на кандидатите</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Допустими по настоящата процедура за подбор на проекти са само кандидати, които са:</w:t>
      </w:r>
    </w:p>
    <w:p w:rsidR="00DB68F2" w:rsidRPr="00A16175" w:rsidRDefault="00DB68F2" w:rsidP="00A16175">
      <w:pPr>
        <w:rPr>
          <w:rFonts w:cs="Calibri"/>
          <w:spacing w:val="6"/>
          <w:sz w:val="24"/>
          <w:szCs w:val="24"/>
        </w:rPr>
      </w:pPr>
      <w:r w:rsidRPr="00A16175">
        <w:rPr>
          <w:rFonts w:cs="Calibri"/>
          <w:spacing w:val="6"/>
          <w:sz w:val="24"/>
          <w:szCs w:val="24"/>
        </w:rPr>
        <w:t>1)</w:t>
      </w:r>
      <w:r w:rsidRPr="00A16175">
        <w:rPr>
          <w:rFonts w:cs="Calibri"/>
          <w:spacing w:val="6"/>
          <w:sz w:val="24"/>
          <w:szCs w:val="24"/>
        </w:rPr>
        <w:tab/>
        <w:t xml:space="preserve">акредитирани висши училища по чл. 85 ал. 1, т. 7 на ЗВО, които са акредитирани от НАОА </w:t>
      </w:r>
      <w:r w:rsidRPr="00A16175">
        <w:rPr>
          <w:rFonts w:cs="Calibri"/>
          <w:spacing w:val="6"/>
          <w:sz w:val="24"/>
          <w:szCs w:val="24"/>
          <w:shd w:val="clear" w:color="auto" w:fill="FEFEFE"/>
        </w:rPr>
        <w:t>да провеждат обучение по образователна и научна степен "доктор"</w:t>
      </w:r>
    </w:p>
    <w:p w:rsidR="00DB68F2" w:rsidRPr="00A16175" w:rsidRDefault="00DB68F2" w:rsidP="00A16175">
      <w:pPr>
        <w:rPr>
          <w:spacing w:val="6"/>
          <w:sz w:val="24"/>
          <w:szCs w:val="24"/>
        </w:rPr>
      </w:pPr>
      <w:r w:rsidRPr="00A16175">
        <w:rPr>
          <w:spacing w:val="6"/>
          <w:sz w:val="24"/>
          <w:szCs w:val="24"/>
        </w:rPr>
        <w:t>2)</w:t>
      </w:r>
      <w:r w:rsidRPr="00A16175">
        <w:rPr>
          <w:spacing w:val="6"/>
          <w:sz w:val="24"/>
          <w:szCs w:val="24"/>
        </w:rPr>
        <w:tab/>
        <w:t>научни организации по чл. 47, ал. 1 на ЗВО</w:t>
      </w:r>
      <w:r w:rsidRPr="00A16175">
        <w:rPr>
          <w:rFonts w:cs="Calibri"/>
          <w:spacing w:val="6"/>
          <w:sz w:val="24"/>
          <w:szCs w:val="24"/>
        </w:rPr>
        <w:t xml:space="preserve">, които са акредитирани от НАОА </w:t>
      </w:r>
      <w:r w:rsidRPr="00A16175">
        <w:rPr>
          <w:rFonts w:cs="Calibri"/>
          <w:spacing w:val="6"/>
          <w:sz w:val="24"/>
          <w:szCs w:val="24"/>
          <w:shd w:val="clear" w:color="auto" w:fill="FEFEFE"/>
        </w:rPr>
        <w:t>да провеждат обучение по образователна и научна степен "доктор"</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rsidR="00DB68F2" w:rsidRPr="00A16175" w:rsidRDefault="00DB68F2" w:rsidP="00A16175">
      <w:pPr>
        <w:rPr>
          <w:rFonts w:ascii="Cambria" w:eastAsia="Times New Roman" w:hAnsi="Cambria"/>
          <w:bCs/>
          <w:sz w:val="24"/>
          <w:szCs w:val="24"/>
          <w:lang w:eastAsia="bg-BG"/>
        </w:rPr>
      </w:pPr>
      <w:bookmarkStart w:id="20" w:name="_Toc448240560"/>
      <w:r w:rsidRPr="00A16175">
        <w:rPr>
          <w:rFonts w:ascii="Cambria" w:eastAsia="Times New Roman" w:hAnsi="Cambria"/>
          <w:bCs/>
          <w:sz w:val="24"/>
          <w:szCs w:val="24"/>
          <w:lang w:eastAsia="bg-BG"/>
        </w:rPr>
        <w:t>Критерии за допустимост и недопустимост на проектните предложения</w:t>
      </w:r>
      <w:bookmarkEnd w:id="20"/>
      <w:r w:rsidR="00CD7274" w:rsidRPr="00A16175">
        <w:rPr>
          <w:rFonts w:ascii="Cambria" w:eastAsia="Times New Roman" w:hAnsi="Cambria"/>
          <w:bCs/>
          <w:sz w:val="24"/>
          <w:szCs w:val="24"/>
          <w:lang w:eastAsia="bg-BG"/>
        </w:rPr>
        <w:t xml:space="preserve"> /дейностите/:</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Потенциалните  български кандидати не могат да участват в конкурса за финансиране на проекти и да получат финансиране в случай че:</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а) са обявени в несъстоятелност или са в ликвидация, тяхната дейност е поставена под съдебен надзор, сключили са споразумение с кредитори, преустановили са дейността си, обект са на производство, свързано с такива въпроси, или се намират в подобна процедура съгласно националните законови и подзаконови актове;</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б) те или лицата с правомощия за представителство, вземане на решения или контрол спрямо тях са осъдени за престъпление по служба с влязла в сила присъда;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в) признати са за виновни за тежки правонарушения при упражняване на професионалната си дейност, доказани с всякакви средства, които Изпълнителният съвет на Фонда може да обоснове, включително с решения на Европейската комисия и на международни организации;</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г)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д) умишлено са представили невярна информация с оглед получаване на финансиране по настоящата процедура или не са представили изискваната информация;</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е) подадени от кандидати, които към датата на подаване на документите за кандидатстване имат невъзстановени суми към Фонд „Научни изследвания“ от предходни процедури и конкурси, което е доказано с влязло в сила съдебно решение преди датата на обявяване на конкурса;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ж) обект са на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В случай че с кандидата бъде сключен договор, той ще поеме договорно задължение придобитото с финансирането по проекта оборудване да бъде използвано само за неикономическите дейности съгласно т. 19 на Рамката</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По настоящата процедура са допустими за финансиране само проектни предложения</w:t>
      </w:r>
      <w:r w:rsidRPr="00A16175">
        <w:rPr>
          <w:rFonts w:eastAsia="Times New Roman"/>
          <w:color w:val="FF0000"/>
          <w:sz w:val="24"/>
          <w:szCs w:val="24"/>
          <w:lang w:eastAsia="bg-BG"/>
        </w:rPr>
        <w:t>,</w:t>
      </w:r>
      <w:r w:rsidRPr="00A16175">
        <w:rPr>
          <w:rFonts w:eastAsia="Times New Roman"/>
          <w:sz w:val="24"/>
          <w:szCs w:val="24"/>
          <w:lang w:eastAsia="bg-BG"/>
        </w:rPr>
        <w:t xml:space="preserve"> включващи научен проект, по които партньорите от двете страни работят заедно и по възможност допълвайки се. </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Поканата се публикува в централен ежедневник и на интернет страниците на Министерство на образованието и науката и Фонд „Научни изследвания“.</w:t>
      </w:r>
    </w:p>
    <w:p w:rsidR="00DB68F2" w:rsidRPr="00A16175" w:rsidRDefault="00DB68F2" w:rsidP="00A16175">
      <w:pPr>
        <w:rPr>
          <w:rFonts w:eastAsia="Times New Roman"/>
          <w:sz w:val="24"/>
          <w:szCs w:val="24"/>
          <w:lang w:eastAsia="bg-BG"/>
        </w:rPr>
      </w:pPr>
      <w:r w:rsidRPr="00A16175">
        <w:rPr>
          <w:rFonts w:eastAsia="Times New Roman"/>
          <w:sz w:val="24"/>
          <w:szCs w:val="24"/>
          <w:lang w:eastAsia="bg-BG"/>
        </w:rPr>
        <w:t>Пълната информация за конкурса и процедурите за кандидатстване може да намерите на интернет страницата на Фонд „Научни изследвания“</w:t>
      </w:r>
      <w:r w:rsidR="00CD7274" w:rsidRPr="00A16175">
        <w:rPr>
          <w:rFonts w:eastAsia="Times New Roman"/>
          <w:sz w:val="24"/>
          <w:szCs w:val="24"/>
          <w:lang w:eastAsia="bg-BG"/>
        </w:rPr>
        <w:t xml:space="preserve"> </w:t>
      </w:r>
      <w:r w:rsidRPr="00A16175">
        <w:rPr>
          <w:rFonts w:eastAsia="Times New Roman"/>
          <w:sz w:val="24"/>
          <w:szCs w:val="24"/>
          <w:lang w:eastAsia="bg-BG"/>
        </w:rPr>
        <w:t>http://www.fni.bg</w:t>
      </w:r>
      <w:r w:rsidR="00CD7274" w:rsidRPr="00A16175">
        <w:rPr>
          <w:rFonts w:eastAsia="Times New Roman"/>
          <w:sz w:val="24"/>
          <w:szCs w:val="24"/>
          <w:lang w:eastAsia="bg-BG"/>
        </w:rPr>
        <w:t>.</w:t>
      </w:r>
    </w:p>
    <w:p w:rsidR="00CD7274" w:rsidRPr="00F63A6E" w:rsidRDefault="00CD7274" w:rsidP="00F63A6E">
      <w:pPr>
        <w:spacing w:after="480"/>
        <w:rPr>
          <w:rFonts w:eastAsia="Times New Roman"/>
          <w:b/>
          <w:sz w:val="24"/>
          <w:szCs w:val="24"/>
          <w:lang w:eastAsia="bg-BG"/>
        </w:rPr>
      </w:pPr>
      <w:r w:rsidRPr="00F63A6E">
        <w:rPr>
          <w:rFonts w:eastAsia="Times New Roman"/>
          <w:b/>
          <w:sz w:val="24"/>
          <w:szCs w:val="24"/>
          <w:lang w:eastAsia="bg-BG"/>
        </w:rPr>
        <w:t>Краен срок: 17 часа на 28 февруари 2019 г</w:t>
      </w:r>
    </w:p>
    <w:p w:rsidR="00C707A0" w:rsidRPr="00C707A0" w:rsidRDefault="00C707A0" w:rsidP="00C707A0">
      <w:pPr>
        <w:pStyle w:val="Heading2"/>
        <w:ind w:left="426"/>
      </w:pPr>
      <w:bookmarkStart w:id="21" w:name="_Toc535323843"/>
      <w:r w:rsidRPr="00C707A0">
        <w:t>Конкурс за набиране на проектни предложения на Френския институт в България</w:t>
      </w:r>
      <w:bookmarkEnd w:id="21"/>
    </w:p>
    <w:p w:rsidR="00C707A0" w:rsidRDefault="00C707A0" w:rsidP="00C707A0">
      <w:pPr>
        <w:pStyle w:val="NormalWeb"/>
        <w:jc w:val="both"/>
      </w:pPr>
      <w:r w:rsidRPr="00C707A0">
        <w:t>Френският институт в България откри първия от трите конкурса за набиране на проектни предложения за новата 2019</w:t>
      </w:r>
      <w:r w:rsidR="00813EB3">
        <w:t xml:space="preserve"> </w:t>
      </w:r>
      <w:r w:rsidRPr="00C707A0">
        <w:t xml:space="preserve">г. </w:t>
      </w:r>
    </w:p>
    <w:p w:rsidR="00C707A0" w:rsidRPr="00C707A0" w:rsidRDefault="00C707A0" w:rsidP="00C707A0">
      <w:pPr>
        <w:pStyle w:val="NormalWeb"/>
        <w:spacing w:before="120" w:beforeAutospacing="0" w:after="120" w:afterAutospacing="0" w:line="276" w:lineRule="auto"/>
        <w:jc w:val="both"/>
      </w:pPr>
      <w:r>
        <w:t xml:space="preserve">Ще бъдат </w:t>
      </w:r>
      <w:r w:rsidRPr="00C707A0">
        <w:t>финансира</w:t>
      </w:r>
      <w:r>
        <w:t>ни</w:t>
      </w:r>
      <w:r w:rsidRPr="00C707A0">
        <w:t xml:space="preserve"> проекти, свързани с университетски и научни събития и/или публикации.</w:t>
      </w:r>
      <w:r>
        <w:t xml:space="preserve"> </w:t>
      </w:r>
      <w:r w:rsidRPr="00C707A0">
        <w:t>Проектите могат да бъдат във всички научни дисциплини.</w:t>
      </w:r>
    </w:p>
    <w:p w:rsidR="00C707A0" w:rsidRDefault="00C707A0" w:rsidP="00C707A0">
      <w:pPr>
        <w:pStyle w:val="NormalWeb"/>
        <w:spacing w:before="120" w:beforeAutospacing="0" w:after="120" w:afterAutospacing="0" w:line="276" w:lineRule="auto"/>
        <w:jc w:val="both"/>
      </w:pPr>
      <w:r w:rsidRPr="00C707A0">
        <w:t>Всички университети, програми (франкофонски или не) и научни институти могат да кандидатстват с проектно предложение.</w:t>
      </w:r>
    </w:p>
    <w:p w:rsidR="00C707A0" w:rsidRDefault="00C707A0" w:rsidP="00C707A0">
      <w:pPr>
        <w:pStyle w:val="NormalWeb"/>
        <w:spacing w:before="120" w:beforeAutospacing="0" w:after="120" w:afterAutospacing="0" w:line="276" w:lineRule="auto"/>
        <w:jc w:val="both"/>
      </w:pPr>
      <w:r>
        <w:t xml:space="preserve">За да изтеглите формуляра за кандидатстване, кликнете върху иконата по-долу. </w:t>
      </w:r>
    </w:p>
    <w:p w:rsidR="00C707A0" w:rsidRPr="00C707A0" w:rsidRDefault="00B4751F" w:rsidP="00C707A0">
      <w:pPr>
        <w:pStyle w:val="NormalWeb"/>
        <w:spacing w:before="120" w:beforeAutospacing="0" w:after="120" w:afterAutospacing="0" w:line="276" w:lineRule="auto"/>
        <w:jc w:val="both"/>
      </w:pPr>
      <w:r>
        <w:fldChar w:fldCharType="begin"/>
      </w:r>
      <w:r>
        <w:instrText xml:space="preserve"> LINK Word.Document.8 "C:\\Users\\Compaq\\Desktop\\formulaire-manifestations-scientifiques-1-2019-1-BG.doc" "" \a \p \f 0 </w:instrText>
      </w:r>
      <w:r>
        <w:fldChar w:fldCharType="separate"/>
      </w:r>
      <w:r w:rsidR="002F544F">
        <w:rPr>
          <w:noProof/>
        </w:rPr>
        <w:drawing>
          <wp:inline distT="0" distB="0" distL="0" distR="0">
            <wp:extent cx="965200" cy="628650"/>
            <wp:effectExtent l="0" t="0" r="635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5200" cy="628650"/>
                    </a:xfrm>
                    <a:prstGeom prst="rect">
                      <a:avLst/>
                    </a:prstGeom>
                    <a:noFill/>
                    <a:ln>
                      <a:noFill/>
                    </a:ln>
                  </pic:spPr>
                </pic:pic>
              </a:graphicData>
            </a:graphic>
          </wp:inline>
        </w:drawing>
      </w:r>
      <w:r>
        <w:fldChar w:fldCharType="end"/>
      </w:r>
    </w:p>
    <w:p w:rsidR="00C707A0" w:rsidRPr="00C707A0" w:rsidRDefault="00C707A0" w:rsidP="00C707A0">
      <w:pPr>
        <w:pStyle w:val="NormalWeb"/>
        <w:spacing w:before="120" w:beforeAutospacing="0" w:after="120" w:afterAutospacing="0" w:line="276" w:lineRule="auto"/>
        <w:jc w:val="both"/>
        <w:rPr>
          <w:b/>
        </w:rPr>
      </w:pPr>
      <w:r w:rsidRPr="00C707A0">
        <w:rPr>
          <w:rStyle w:val="Strong"/>
          <w:rFonts w:eastAsiaTheme="majorEastAsia"/>
          <w:b w:val="0"/>
        </w:rPr>
        <w:t>Документите ще се подават в сканиран вид към Отдела за университетско и научно сътрудничество, на следните адреси:</w:t>
      </w:r>
    </w:p>
    <w:p w:rsidR="00C707A0" w:rsidRPr="00C707A0" w:rsidRDefault="00235C47" w:rsidP="00C707A0">
      <w:pPr>
        <w:pStyle w:val="NormalWeb"/>
        <w:spacing w:before="120" w:beforeAutospacing="0" w:after="120" w:afterAutospacing="0" w:line="276" w:lineRule="auto"/>
        <w:jc w:val="both"/>
        <w:rPr>
          <w:b/>
        </w:rPr>
      </w:pPr>
      <w:hyperlink r:id="rId26" w:history="1">
        <w:r w:rsidR="00C707A0" w:rsidRPr="00C707A0">
          <w:rPr>
            <w:rStyle w:val="Hyperlink"/>
            <w:b/>
            <w:bCs/>
          </w:rPr>
          <w:t>olivier.kachler@institutfrancais.bg</w:t>
        </w:r>
      </w:hyperlink>
    </w:p>
    <w:p w:rsidR="00C707A0" w:rsidRPr="00C707A0" w:rsidRDefault="00C707A0" w:rsidP="00C707A0">
      <w:pPr>
        <w:pStyle w:val="NormalWeb"/>
        <w:spacing w:before="120" w:beforeAutospacing="0" w:after="120" w:afterAutospacing="0" w:line="276" w:lineRule="auto"/>
        <w:jc w:val="both"/>
        <w:rPr>
          <w:b/>
        </w:rPr>
      </w:pPr>
      <w:r w:rsidRPr="00C707A0">
        <w:rPr>
          <w:rStyle w:val="Strong"/>
          <w:rFonts w:eastAsiaTheme="majorEastAsia"/>
          <w:b w:val="0"/>
        </w:rPr>
        <w:t>с копие до</w:t>
      </w:r>
    </w:p>
    <w:p w:rsidR="00C707A0" w:rsidRPr="00C707A0" w:rsidRDefault="00235C47" w:rsidP="00C707A0">
      <w:pPr>
        <w:pStyle w:val="NormalWeb"/>
        <w:spacing w:before="120" w:beforeAutospacing="0" w:after="120" w:afterAutospacing="0" w:line="276" w:lineRule="auto"/>
        <w:jc w:val="both"/>
        <w:rPr>
          <w:b/>
        </w:rPr>
      </w:pPr>
      <w:hyperlink r:id="rId27" w:history="1">
        <w:r w:rsidR="00C707A0" w:rsidRPr="00C707A0">
          <w:rPr>
            <w:rStyle w:val="Hyperlink"/>
            <w:b/>
            <w:bCs/>
          </w:rPr>
          <w:t>iva.debrenlieva@institutfrancais.bg</w:t>
        </w:r>
      </w:hyperlink>
      <w:r w:rsidR="00C707A0" w:rsidRPr="00C707A0">
        <w:rPr>
          <w:rStyle w:val="Strong"/>
          <w:rFonts w:eastAsiaTheme="majorEastAsia"/>
          <w:b w:val="0"/>
        </w:rPr>
        <w:t xml:space="preserve"> </w:t>
      </w:r>
    </w:p>
    <w:p w:rsidR="00C707A0" w:rsidRPr="00C707A0" w:rsidRDefault="00C707A0" w:rsidP="00EA2C90">
      <w:pPr>
        <w:pStyle w:val="NormalWeb"/>
        <w:spacing w:after="480" w:afterAutospacing="0"/>
        <w:jc w:val="both"/>
      </w:pPr>
      <w:r w:rsidRPr="00C707A0">
        <w:rPr>
          <w:rStyle w:val="Strong"/>
          <w:rFonts w:eastAsiaTheme="majorEastAsia"/>
        </w:rPr>
        <w:t>Кр</w:t>
      </w:r>
      <w:r>
        <w:rPr>
          <w:rStyle w:val="Strong"/>
          <w:rFonts w:eastAsiaTheme="majorEastAsia"/>
        </w:rPr>
        <w:t xml:space="preserve">ен срок </w:t>
      </w:r>
      <w:r w:rsidRPr="00C707A0">
        <w:rPr>
          <w:rStyle w:val="Strong"/>
          <w:rFonts w:eastAsiaTheme="majorEastAsia"/>
        </w:rPr>
        <w:t>за кандидатстване</w:t>
      </w:r>
      <w:r>
        <w:rPr>
          <w:rStyle w:val="Strong"/>
          <w:rFonts w:eastAsiaTheme="majorEastAsia"/>
        </w:rPr>
        <w:t>:</w:t>
      </w:r>
      <w:r w:rsidRPr="00C707A0">
        <w:rPr>
          <w:rStyle w:val="Strong"/>
          <w:rFonts w:eastAsiaTheme="majorEastAsia"/>
        </w:rPr>
        <w:t xml:space="preserve"> 25 февруари 2019</w:t>
      </w:r>
    </w:p>
    <w:p w:rsidR="00715282" w:rsidRPr="00DF366A" w:rsidRDefault="00715282" w:rsidP="00DF366A">
      <w:pPr>
        <w:pStyle w:val="Heading2"/>
        <w:ind w:left="426"/>
      </w:pPr>
      <w:bookmarkStart w:id="22" w:name="_Toc535323844"/>
      <w:r w:rsidRPr="00DF366A">
        <w:t>Покана за участие в конкурс по Програма QUANTERA</w:t>
      </w:r>
      <w:bookmarkEnd w:id="22"/>
      <w:r w:rsidRPr="00DF366A">
        <w:t xml:space="preserve"> </w:t>
      </w:r>
    </w:p>
    <w:p w:rsidR="00715282" w:rsidRPr="00DF366A" w:rsidRDefault="00715282" w:rsidP="00715282">
      <w:pPr>
        <w:rPr>
          <w:sz w:val="24"/>
          <w:szCs w:val="24"/>
        </w:rPr>
      </w:pPr>
      <w:r w:rsidRPr="00DF366A">
        <w:rPr>
          <w:sz w:val="24"/>
          <w:szCs w:val="24"/>
        </w:rPr>
        <w:t>Фонд „Научни изследвания“ отправя покана за участие в конкурс с проектни предложения по Програма QUANTERA. В обявения конкурс Фонд „Научни изследвания” участва като съфинансираща организация. Основните цели на програмата са международно сътрудничество и обща схема за финансиране в областта на изследванията на квантовите технологии, чрез координиране на националните и регионалните програми за финансиране. В допълнение на проектните предложения се изпълняват и редица дейности, насочени към: стимулиране на сътрудничеството в научната общност, изграждане на набор от инструменти за провеждане на отговорни научни изследвания и иновации (RRI) в областта на квантовите технологии, обмяна на добри практики и участие в обсъждания със създаващите политики относно бъдещите финансиращи инструменти.</w:t>
      </w:r>
    </w:p>
    <w:p w:rsidR="00715282" w:rsidRPr="00DF366A" w:rsidRDefault="00715282" w:rsidP="00715282">
      <w:pPr>
        <w:rPr>
          <w:sz w:val="24"/>
          <w:szCs w:val="24"/>
        </w:rPr>
      </w:pPr>
      <w:r w:rsidRPr="00DF366A">
        <w:rPr>
          <w:sz w:val="24"/>
          <w:szCs w:val="24"/>
          <w:lang w:val="en-US"/>
        </w:rPr>
        <w:t>QUANTERA</w:t>
      </w:r>
      <w:r w:rsidRPr="00DF366A">
        <w:rPr>
          <w:sz w:val="24"/>
          <w:szCs w:val="24"/>
        </w:rPr>
        <w:t xml:space="preserve"> ще подкрепи мултидисциплинарните и транснационалните иновативни проекти в следните области:</w:t>
      </w:r>
    </w:p>
    <w:p w:rsidR="00715282" w:rsidRPr="00DF366A" w:rsidRDefault="00715282" w:rsidP="00DF366A">
      <w:pPr>
        <w:pStyle w:val="ListParagraph"/>
        <w:numPr>
          <w:ilvl w:val="0"/>
          <w:numId w:val="28"/>
        </w:numPr>
        <w:rPr>
          <w:sz w:val="24"/>
          <w:szCs w:val="24"/>
        </w:rPr>
      </w:pPr>
      <w:r w:rsidRPr="00DF366A">
        <w:rPr>
          <w:sz w:val="24"/>
          <w:szCs w:val="24"/>
        </w:rPr>
        <w:t>Квантова комуникация (Quantum communication)</w:t>
      </w:r>
    </w:p>
    <w:p w:rsidR="00715282" w:rsidRPr="00DF366A" w:rsidRDefault="00715282" w:rsidP="00DF366A">
      <w:pPr>
        <w:pStyle w:val="ListParagraph"/>
        <w:numPr>
          <w:ilvl w:val="0"/>
          <w:numId w:val="28"/>
        </w:numPr>
        <w:rPr>
          <w:sz w:val="24"/>
          <w:szCs w:val="24"/>
        </w:rPr>
      </w:pPr>
      <w:r w:rsidRPr="00DF366A">
        <w:rPr>
          <w:sz w:val="24"/>
          <w:szCs w:val="24"/>
        </w:rPr>
        <w:t>Квантова симулация (Quantum simulation)</w:t>
      </w:r>
    </w:p>
    <w:p w:rsidR="00715282" w:rsidRPr="00DF366A" w:rsidRDefault="00715282" w:rsidP="00DF366A">
      <w:pPr>
        <w:pStyle w:val="ListParagraph"/>
        <w:numPr>
          <w:ilvl w:val="0"/>
          <w:numId w:val="28"/>
        </w:numPr>
        <w:rPr>
          <w:sz w:val="24"/>
          <w:szCs w:val="24"/>
        </w:rPr>
      </w:pPr>
      <w:r w:rsidRPr="00DF366A">
        <w:rPr>
          <w:sz w:val="24"/>
          <w:szCs w:val="24"/>
        </w:rPr>
        <w:t>Квантови изчисления (Quantum computation)</w:t>
      </w:r>
    </w:p>
    <w:p w:rsidR="00715282" w:rsidRPr="00DF366A" w:rsidRDefault="00715282" w:rsidP="00DF366A">
      <w:pPr>
        <w:pStyle w:val="ListParagraph"/>
        <w:numPr>
          <w:ilvl w:val="0"/>
          <w:numId w:val="28"/>
        </w:numPr>
        <w:rPr>
          <w:sz w:val="24"/>
          <w:szCs w:val="24"/>
        </w:rPr>
      </w:pPr>
      <w:r w:rsidRPr="00DF366A">
        <w:rPr>
          <w:sz w:val="24"/>
          <w:szCs w:val="24"/>
        </w:rPr>
        <w:t>Науки в областта на квантовата информатика (Quantum information sciences)</w:t>
      </w:r>
    </w:p>
    <w:p w:rsidR="00715282" w:rsidRPr="00DF366A" w:rsidRDefault="00715282" w:rsidP="00DF366A">
      <w:pPr>
        <w:pStyle w:val="ListParagraph"/>
        <w:numPr>
          <w:ilvl w:val="0"/>
          <w:numId w:val="28"/>
        </w:numPr>
        <w:rPr>
          <w:sz w:val="24"/>
          <w:szCs w:val="24"/>
        </w:rPr>
      </w:pPr>
      <w:r w:rsidRPr="00DF366A">
        <w:rPr>
          <w:sz w:val="24"/>
          <w:szCs w:val="24"/>
        </w:rPr>
        <w:t>Квантови метрологични измервания и заснемане (Quantum metrology sensing and imaging)</w:t>
      </w:r>
    </w:p>
    <w:p w:rsidR="00715282" w:rsidRPr="00DF366A" w:rsidRDefault="00715282" w:rsidP="00715282">
      <w:pPr>
        <w:rPr>
          <w:sz w:val="24"/>
          <w:szCs w:val="24"/>
        </w:rPr>
      </w:pPr>
      <w:r w:rsidRPr="00DF366A">
        <w:rPr>
          <w:sz w:val="24"/>
          <w:szCs w:val="24"/>
          <w:lang w:val="ru-RU"/>
        </w:rPr>
        <w:t>Повече информация можете да откриете тук:</w:t>
      </w:r>
      <w:r w:rsidR="00DF366A">
        <w:rPr>
          <w:sz w:val="24"/>
          <w:szCs w:val="24"/>
          <w:lang w:val="ru-RU"/>
        </w:rPr>
        <w:t xml:space="preserve"> </w:t>
      </w:r>
      <w:r w:rsidRPr="00DF366A">
        <w:rPr>
          <w:sz w:val="24"/>
          <w:szCs w:val="24"/>
          <w:lang w:val="ru-RU"/>
        </w:rPr>
        <w:t xml:space="preserve"> </w:t>
      </w:r>
      <w:hyperlink r:id="rId28" w:history="1">
        <w:r w:rsidRPr="00DF366A">
          <w:rPr>
            <w:rStyle w:val="Hyperlink"/>
            <w:sz w:val="24"/>
            <w:szCs w:val="24"/>
            <w:lang w:val="en-US"/>
          </w:rPr>
          <w:t>https</w:t>
        </w:r>
        <w:r w:rsidRPr="00DF366A">
          <w:rPr>
            <w:rStyle w:val="Hyperlink"/>
            <w:sz w:val="24"/>
            <w:szCs w:val="24"/>
            <w:lang w:val="ru-RU"/>
          </w:rPr>
          <w:t>://</w:t>
        </w:r>
        <w:r w:rsidRPr="00DF366A">
          <w:rPr>
            <w:rStyle w:val="Hyperlink"/>
            <w:sz w:val="24"/>
            <w:szCs w:val="24"/>
            <w:lang w:val="en-US"/>
          </w:rPr>
          <w:t>www</w:t>
        </w:r>
        <w:r w:rsidRPr="00DF366A">
          <w:rPr>
            <w:rStyle w:val="Hyperlink"/>
            <w:sz w:val="24"/>
            <w:szCs w:val="24"/>
            <w:lang w:val="ru-RU"/>
          </w:rPr>
          <w:t>.</w:t>
        </w:r>
        <w:r w:rsidRPr="00DF366A">
          <w:rPr>
            <w:rStyle w:val="Hyperlink"/>
            <w:sz w:val="24"/>
            <w:szCs w:val="24"/>
            <w:lang w:val="en-US"/>
          </w:rPr>
          <w:t>fni</w:t>
        </w:r>
        <w:r w:rsidRPr="00DF366A">
          <w:rPr>
            <w:rStyle w:val="Hyperlink"/>
            <w:sz w:val="24"/>
            <w:szCs w:val="24"/>
            <w:lang w:val="ru-RU"/>
          </w:rPr>
          <w:t>.</w:t>
        </w:r>
        <w:r w:rsidRPr="00DF366A">
          <w:rPr>
            <w:rStyle w:val="Hyperlink"/>
            <w:sz w:val="24"/>
            <w:szCs w:val="24"/>
            <w:lang w:val="en-US"/>
          </w:rPr>
          <w:t>bg</w:t>
        </w:r>
        <w:r w:rsidRPr="00DF366A">
          <w:rPr>
            <w:rStyle w:val="Hyperlink"/>
            <w:sz w:val="24"/>
            <w:szCs w:val="24"/>
            <w:lang w:val="ru-RU"/>
          </w:rPr>
          <w:t>/?</w:t>
        </w:r>
        <w:r w:rsidRPr="00DF366A">
          <w:rPr>
            <w:rStyle w:val="Hyperlink"/>
            <w:sz w:val="24"/>
            <w:szCs w:val="24"/>
            <w:lang w:val="en-US"/>
          </w:rPr>
          <w:t>q</w:t>
        </w:r>
        <w:r w:rsidRPr="00DF366A">
          <w:rPr>
            <w:rStyle w:val="Hyperlink"/>
            <w:sz w:val="24"/>
            <w:szCs w:val="24"/>
            <w:lang w:val="ru-RU"/>
          </w:rPr>
          <w:t>=</w:t>
        </w:r>
        <w:r w:rsidRPr="00DF366A">
          <w:rPr>
            <w:rStyle w:val="Hyperlink"/>
            <w:sz w:val="24"/>
            <w:szCs w:val="24"/>
            <w:lang w:val="en-US"/>
          </w:rPr>
          <w:t>node</w:t>
        </w:r>
        <w:r w:rsidRPr="00DF366A">
          <w:rPr>
            <w:rStyle w:val="Hyperlink"/>
            <w:sz w:val="24"/>
            <w:szCs w:val="24"/>
            <w:lang w:val="ru-RU"/>
          </w:rPr>
          <w:t>/578</w:t>
        </w:r>
      </w:hyperlink>
      <w:r w:rsidRPr="00DF366A">
        <w:rPr>
          <w:sz w:val="24"/>
          <w:szCs w:val="24"/>
          <w:lang w:val="ru-RU"/>
        </w:rPr>
        <w:t xml:space="preserve">  </w:t>
      </w:r>
    </w:p>
    <w:p w:rsidR="00715282" w:rsidRPr="00DF366A" w:rsidRDefault="00715282" w:rsidP="00715282">
      <w:pPr>
        <w:rPr>
          <w:sz w:val="24"/>
          <w:szCs w:val="24"/>
        </w:rPr>
      </w:pPr>
      <w:r w:rsidRPr="00DF366A">
        <w:rPr>
          <w:sz w:val="24"/>
          <w:szCs w:val="24"/>
          <w:lang w:val="ru-RU"/>
        </w:rPr>
        <w:t xml:space="preserve">Пълният текст на поканата и инструкции за кандидатстване можете да намерите тук: </w:t>
      </w:r>
    </w:p>
    <w:p w:rsidR="00715282" w:rsidRPr="00DF366A" w:rsidRDefault="00235C47" w:rsidP="00715282">
      <w:pPr>
        <w:rPr>
          <w:sz w:val="24"/>
          <w:szCs w:val="24"/>
        </w:rPr>
      </w:pPr>
      <w:hyperlink r:id="rId29" w:history="1">
        <w:r w:rsidR="00715282" w:rsidRPr="00DF366A">
          <w:rPr>
            <w:rStyle w:val="Hyperlink"/>
            <w:sz w:val="24"/>
            <w:szCs w:val="24"/>
          </w:rPr>
          <w:t>https://www.quantera.eu/calls-for-proposals/call-2019</w:t>
        </w:r>
      </w:hyperlink>
    </w:p>
    <w:p w:rsidR="00715282" w:rsidRPr="00DF366A" w:rsidRDefault="00715282" w:rsidP="00715282">
      <w:pPr>
        <w:rPr>
          <w:sz w:val="24"/>
          <w:szCs w:val="24"/>
        </w:rPr>
      </w:pPr>
      <w:r w:rsidRPr="00DF366A">
        <w:rPr>
          <w:sz w:val="24"/>
          <w:szCs w:val="24"/>
        </w:rPr>
        <w:t>Търсене на партньорски организации:</w:t>
      </w:r>
      <w:r w:rsidR="00DF366A">
        <w:rPr>
          <w:sz w:val="24"/>
          <w:szCs w:val="24"/>
        </w:rPr>
        <w:t xml:space="preserve"> </w:t>
      </w:r>
      <w:hyperlink r:id="rId30" w:history="1">
        <w:r w:rsidRPr="00DF366A">
          <w:rPr>
            <w:rStyle w:val="Hyperlink"/>
            <w:sz w:val="24"/>
            <w:szCs w:val="24"/>
            <w:lang w:val="en-US"/>
          </w:rPr>
          <w:t>https</w:t>
        </w:r>
        <w:r w:rsidRPr="00DF366A">
          <w:rPr>
            <w:rStyle w:val="Hyperlink"/>
            <w:sz w:val="24"/>
            <w:szCs w:val="24"/>
            <w:lang w:val="ru-RU"/>
          </w:rPr>
          <w:t>://</w:t>
        </w:r>
        <w:r w:rsidRPr="00DF366A">
          <w:rPr>
            <w:rStyle w:val="Hyperlink"/>
            <w:sz w:val="24"/>
            <w:szCs w:val="24"/>
            <w:lang w:val="en-US"/>
          </w:rPr>
          <w:t>ncn</w:t>
        </w:r>
        <w:r w:rsidRPr="00DF366A">
          <w:rPr>
            <w:rStyle w:val="Hyperlink"/>
            <w:sz w:val="24"/>
            <w:szCs w:val="24"/>
            <w:lang w:val="ru-RU"/>
          </w:rPr>
          <w:t>.</w:t>
        </w:r>
        <w:r w:rsidRPr="00DF366A">
          <w:rPr>
            <w:rStyle w:val="Hyperlink"/>
            <w:sz w:val="24"/>
            <w:szCs w:val="24"/>
            <w:lang w:val="en-US"/>
          </w:rPr>
          <w:t>gov</w:t>
        </w:r>
        <w:r w:rsidRPr="00DF366A">
          <w:rPr>
            <w:rStyle w:val="Hyperlink"/>
            <w:sz w:val="24"/>
            <w:szCs w:val="24"/>
            <w:lang w:val="ru-RU"/>
          </w:rPr>
          <w:t>.</w:t>
        </w:r>
        <w:r w:rsidRPr="00DF366A">
          <w:rPr>
            <w:rStyle w:val="Hyperlink"/>
            <w:sz w:val="24"/>
            <w:szCs w:val="24"/>
            <w:lang w:val="en-US"/>
          </w:rPr>
          <w:t>pl</w:t>
        </w:r>
        <w:r w:rsidRPr="00DF366A">
          <w:rPr>
            <w:rStyle w:val="Hyperlink"/>
            <w:sz w:val="24"/>
            <w:szCs w:val="24"/>
            <w:lang w:val="ru-RU"/>
          </w:rPr>
          <w:t>/</w:t>
        </w:r>
        <w:r w:rsidRPr="00DF366A">
          <w:rPr>
            <w:rStyle w:val="Hyperlink"/>
            <w:sz w:val="24"/>
            <w:szCs w:val="24"/>
            <w:lang w:val="en-US"/>
          </w:rPr>
          <w:t>partners</w:t>
        </w:r>
        <w:r w:rsidRPr="00DF366A">
          <w:rPr>
            <w:rStyle w:val="Hyperlink"/>
            <w:sz w:val="24"/>
            <w:szCs w:val="24"/>
            <w:lang w:val="ru-RU"/>
          </w:rPr>
          <w:t>/</w:t>
        </w:r>
        <w:r w:rsidRPr="00DF366A">
          <w:rPr>
            <w:rStyle w:val="Hyperlink"/>
            <w:sz w:val="24"/>
            <w:szCs w:val="24"/>
            <w:lang w:val="en-US"/>
          </w:rPr>
          <w:t>quantera</w:t>
        </w:r>
        <w:r w:rsidRPr="00DF366A">
          <w:rPr>
            <w:rStyle w:val="Hyperlink"/>
            <w:sz w:val="24"/>
            <w:szCs w:val="24"/>
            <w:lang w:val="ru-RU"/>
          </w:rPr>
          <w:t>2/</w:t>
        </w:r>
      </w:hyperlink>
    </w:p>
    <w:p w:rsidR="00715282" w:rsidRPr="00DF366A" w:rsidRDefault="00715282" w:rsidP="00715282">
      <w:pPr>
        <w:rPr>
          <w:b/>
          <w:sz w:val="24"/>
          <w:szCs w:val="24"/>
        </w:rPr>
      </w:pPr>
      <w:r w:rsidRPr="00DF366A">
        <w:rPr>
          <w:b/>
          <w:sz w:val="24"/>
          <w:szCs w:val="24"/>
        </w:rPr>
        <w:t>Допустими кандидати:</w:t>
      </w:r>
    </w:p>
    <w:p w:rsidR="00715282" w:rsidRPr="00DF366A" w:rsidRDefault="00715282" w:rsidP="00715282">
      <w:pPr>
        <w:rPr>
          <w:sz w:val="24"/>
          <w:szCs w:val="24"/>
        </w:rPr>
      </w:pPr>
      <w:r w:rsidRPr="00DF366A">
        <w:rPr>
          <w:sz w:val="24"/>
          <w:szCs w:val="24"/>
        </w:rPr>
        <w:t>1) Акредитирани висши училища по чл. 85 ал.1 т.7  от ЗВО, които са акредитирани от НАОА да провеждат обучение по образователна и научна степен "доктор"</w:t>
      </w:r>
    </w:p>
    <w:p w:rsidR="00715282" w:rsidRPr="00DF366A" w:rsidRDefault="00715282" w:rsidP="00715282">
      <w:pPr>
        <w:rPr>
          <w:sz w:val="24"/>
          <w:szCs w:val="24"/>
        </w:rPr>
      </w:pPr>
      <w:r w:rsidRPr="00DF366A">
        <w:rPr>
          <w:sz w:val="24"/>
          <w:szCs w:val="24"/>
        </w:rPr>
        <w:t>2) научни организации по чл. 47 ал. 1 на ЗВО, които са акредитирани от НАОА да провеждат обучение по образователна и научна степен "доктор"</w:t>
      </w:r>
    </w:p>
    <w:p w:rsidR="00715282" w:rsidRPr="00DF366A" w:rsidRDefault="00715282" w:rsidP="00715282">
      <w:pPr>
        <w:rPr>
          <w:sz w:val="24"/>
          <w:szCs w:val="24"/>
        </w:rPr>
      </w:pPr>
      <w:r w:rsidRPr="00DF366A">
        <w:rPr>
          <w:sz w:val="24"/>
          <w:szCs w:val="24"/>
        </w:rPr>
        <w:t>Организациите по т. 1 и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w:t>
      </w:r>
    </w:p>
    <w:p w:rsidR="00715282" w:rsidRPr="00DF366A" w:rsidRDefault="00715282" w:rsidP="00715282">
      <w:pPr>
        <w:rPr>
          <w:sz w:val="24"/>
          <w:szCs w:val="24"/>
        </w:rPr>
      </w:pPr>
      <w:r w:rsidRPr="00DF366A">
        <w:rPr>
          <w:sz w:val="24"/>
          <w:szCs w:val="24"/>
        </w:rPr>
        <w:t>Фонд „Научни изследвания“ ще приема проектни предложения, подготвени в една от трите обявени тематични области, съгласно следните срокове:</w:t>
      </w:r>
    </w:p>
    <w:p w:rsidR="00715282" w:rsidRPr="003925DC" w:rsidRDefault="00715282" w:rsidP="00715282">
      <w:pPr>
        <w:rPr>
          <w:sz w:val="24"/>
          <w:szCs w:val="24"/>
        </w:rPr>
      </w:pPr>
      <w:r w:rsidRPr="003925DC">
        <w:rPr>
          <w:sz w:val="24"/>
          <w:szCs w:val="24"/>
        </w:rPr>
        <w:t xml:space="preserve">Срок за подаване на пълни проектни предложения (full proposal phase) – </w:t>
      </w:r>
      <w:r w:rsidRPr="003925DC">
        <w:rPr>
          <w:sz w:val="24"/>
          <w:szCs w:val="24"/>
          <w:lang w:val="ru-RU"/>
        </w:rPr>
        <w:t>18</w:t>
      </w:r>
      <w:r w:rsidR="00DF366A" w:rsidRPr="003925DC">
        <w:rPr>
          <w:sz w:val="24"/>
          <w:szCs w:val="24"/>
          <w:lang w:val="ru-RU"/>
        </w:rPr>
        <w:t xml:space="preserve"> </w:t>
      </w:r>
      <w:r w:rsidRPr="003925DC">
        <w:rPr>
          <w:sz w:val="24"/>
          <w:szCs w:val="24"/>
        </w:rPr>
        <w:t>февруари 2019 г.</w:t>
      </w:r>
    </w:p>
    <w:p w:rsidR="00715282" w:rsidRPr="00DF366A" w:rsidRDefault="00715282" w:rsidP="00715282">
      <w:pPr>
        <w:rPr>
          <w:sz w:val="24"/>
          <w:szCs w:val="24"/>
        </w:rPr>
      </w:pPr>
      <w:r w:rsidRPr="00DF366A">
        <w:rPr>
          <w:sz w:val="24"/>
          <w:szCs w:val="24"/>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три проекта с българско участие. Максимална сума за един проект е до 150 000 лева и срок на изпълнение три години.</w:t>
      </w:r>
    </w:p>
    <w:p w:rsidR="00715282" w:rsidRPr="00DF366A" w:rsidRDefault="00715282" w:rsidP="00715282">
      <w:pPr>
        <w:rPr>
          <w:sz w:val="24"/>
          <w:szCs w:val="24"/>
        </w:rPr>
      </w:pPr>
      <w:r w:rsidRPr="00DF366A">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715282" w:rsidRPr="00DF366A" w:rsidRDefault="00235C47" w:rsidP="00715282">
      <w:pPr>
        <w:numPr>
          <w:ilvl w:val="0"/>
          <w:numId w:val="23"/>
        </w:numPr>
        <w:rPr>
          <w:sz w:val="24"/>
          <w:szCs w:val="24"/>
        </w:rPr>
      </w:pPr>
      <w:hyperlink r:id="rId31" w:tgtFrame="_blank" w:history="1">
        <w:r w:rsidR="00715282" w:rsidRPr="00DF366A">
          <w:rPr>
            <w:rStyle w:val="Hyperlink"/>
            <w:sz w:val="24"/>
            <w:szCs w:val="24"/>
          </w:rPr>
          <w:t>Национални изисквания и условия за допустимост</w:t>
        </w:r>
      </w:hyperlink>
    </w:p>
    <w:p w:rsidR="00715282" w:rsidRPr="00DF366A" w:rsidRDefault="00235C47" w:rsidP="00715282">
      <w:pPr>
        <w:numPr>
          <w:ilvl w:val="0"/>
          <w:numId w:val="23"/>
        </w:numPr>
        <w:rPr>
          <w:sz w:val="24"/>
          <w:szCs w:val="24"/>
        </w:rPr>
      </w:pPr>
      <w:hyperlink r:id="rId32" w:tgtFrame="_blank" w:history="1">
        <w:r w:rsidR="00715282" w:rsidRPr="00DF366A">
          <w:rPr>
            <w:rStyle w:val="Hyperlink"/>
            <w:sz w:val="24"/>
            <w:szCs w:val="24"/>
          </w:rPr>
          <w:t>Документи към националните изисквания</w:t>
        </w:r>
      </w:hyperlink>
    </w:p>
    <w:p w:rsidR="00715282" w:rsidRPr="00DF366A" w:rsidRDefault="00715282" w:rsidP="00715282">
      <w:pPr>
        <w:rPr>
          <w:sz w:val="24"/>
          <w:szCs w:val="24"/>
        </w:rPr>
      </w:pPr>
      <w:r w:rsidRPr="00DF366A">
        <w:rPr>
          <w:sz w:val="24"/>
          <w:szCs w:val="24"/>
        </w:rPr>
        <w:t xml:space="preserve">Освен вече посочените документи към Националните изисквания, участниците трябва да представят </w:t>
      </w:r>
      <w:r w:rsidRPr="00DF366A">
        <w:rPr>
          <w:b/>
          <w:sz w:val="24"/>
          <w:szCs w:val="24"/>
        </w:rPr>
        <w:t>проект на бюджет и работна програма</w:t>
      </w:r>
      <w:r w:rsidRPr="00DF366A">
        <w:rPr>
          <w:sz w:val="24"/>
          <w:szCs w:val="24"/>
        </w:rPr>
        <w:t xml:space="preserve"> за пълния срок на изпълнение на проекта и </w:t>
      </w:r>
      <w:r w:rsidRPr="00DF366A">
        <w:rPr>
          <w:b/>
          <w:sz w:val="24"/>
          <w:szCs w:val="24"/>
        </w:rPr>
        <w:t>писмо от водещия партньор с потвърждение</w:t>
      </w:r>
      <w:r w:rsidRPr="00DF366A">
        <w:rPr>
          <w:sz w:val="24"/>
          <w:szCs w:val="24"/>
        </w:rPr>
        <w:t xml:space="preserve"> за включване на българската организация в съответния консорциум.</w:t>
      </w:r>
    </w:p>
    <w:p w:rsidR="00715282" w:rsidRPr="00DF366A" w:rsidRDefault="00715282" w:rsidP="00715282">
      <w:pPr>
        <w:rPr>
          <w:sz w:val="24"/>
          <w:szCs w:val="24"/>
        </w:rPr>
      </w:pPr>
      <w:r w:rsidRPr="00DF366A">
        <w:rPr>
          <w:sz w:val="24"/>
          <w:szCs w:val="24"/>
          <w:lang w:val="ru-RU"/>
        </w:rPr>
        <w:t>Участващи страни и финансиращи агенции и министерства в предстоящата конкурсна сесия са:</w:t>
      </w:r>
    </w:p>
    <w:p w:rsidR="00715282" w:rsidRPr="00DF366A" w:rsidRDefault="00715282" w:rsidP="00715282">
      <w:pPr>
        <w:rPr>
          <w:sz w:val="24"/>
          <w:szCs w:val="24"/>
        </w:rPr>
      </w:pPr>
      <w:r w:rsidRPr="00DF366A">
        <w:rPr>
          <w:b/>
          <w:sz w:val="24"/>
          <w:szCs w:val="24"/>
        </w:rPr>
        <w:t>Австрия, Белгия, България, Хърватия, Чехия, Дания, Франция, Германия, Гърция, Унгария, Израел, Италия, Латвия, Литва, Норвегия, Полша, Португалия, Румъния, Словакия, Словения, Испания, Швеция, Швейцария, Турция, Великобритания.</w:t>
      </w:r>
    </w:p>
    <w:p w:rsidR="00715282" w:rsidRPr="00DF366A" w:rsidRDefault="00715282" w:rsidP="00375C70">
      <w:pPr>
        <w:spacing w:after="120"/>
        <w:rPr>
          <w:sz w:val="24"/>
          <w:szCs w:val="24"/>
        </w:rPr>
      </w:pPr>
      <w:r w:rsidRPr="00DF366A">
        <w:rPr>
          <w:sz w:val="24"/>
          <w:szCs w:val="24"/>
        </w:rPr>
        <w:t>За допълнителна информация:</w:t>
      </w:r>
    </w:p>
    <w:p w:rsidR="00715282" w:rsidRPr="00DF366A" w:rsidRDefault="00715282" w:rsidP="00715282">
      <w:pPr>
        <w:rPr>
          <w:sz w:val="24"/>
          <w:szCs w:val="24"/>
        </w:rPr>
      </w:pPr>
      <w:r w:rsidRPr="00DF366A">
        <w:rPr>
          <w:sz w:val="24"/>
          <w:szCs w:val="24"/>
        </w:rPr>
        <w:t>д-р Милена Александрова,</w:t>
      </w:r>
      <w:r w:rsidR="00DF366A">
        <w:rPr>
          <w:sz w:val="24"/>
          <w:szCs w:val="24"/>
        </w:rPr>
        <w:t xml:space="preserve"> </w:t>
      </w:r>
      <w:r w:rsidRPr="00DF366A">
        <w:rPr>
          <w:sz w:val="24"/>
          <w:szCs w:val="24"/>
        </w:rPr>
        <w:t xml:space="preserve"> Фонд „Научни изследвания“,</w:t>
      </w:r>
      <w:r w:rsidR="00DF366A">
        <w:rPr>
          <w:sz w:val="24"/>
          <w:szCs w:val="24"/>
        </w:rPr>
        <w:t xml:space="preserve"> </w:t>
      </w:r>
      <w:r w:rsidRPr="00DF366A">
        <w:rPr>
          <w:sz w:val="24"/>
          <w:szCs w:val="24"/>
        </w:rPr>
        <w:t>тел: +359 884 171</w:t>
      </w:r>
      <w:r w:rsidR="00DF366A">
        <w:rPr>
          <w:sz w:val="24"/>
          <w:szCs w:val="24"/>
        </w:rPr>
        <w:t> </w:t>
      </w:r>
      <w:r w:rsidRPr="00DF366A">
        <w:rPr>
          <w:sz w:val="24"/>
          <w:szCs w:val="24"/>
        </w:rPr>
        <w:t>363</w:t>
      </w:r>
      <w:r w:rsidR="00DF366A">
        <w:rPr>
          <w:sz w:val="24"/>
          <w:szCs w:val="24"/>
        </w:rPr>
        <w:t xml:space="preserve">, </w:t>
      </w:r>
      <w:r w:rsidRPr="00DF366A">
        <w:rPr>
          <w:sz w:val="24"/>
          <w:szCs w:val="24"/>
        </w:rPr>
        <w:t xml:space="preserve">Email: </w:t>
      </w:r>
      <w:hyperlink r:id="rId33" w:history="1">
        <w:r w:rsidRPr="00DF366A">
          <w:rPr>
            <w:rStyle w:val="Hyperlink"/>
            <w:sz w:val="24"/>
            <w:szCs w:val="24"/>
          </w:rPr>
          <w:t>aleksandrova@mon.bg</w:t>
        </w:r>
      </w:hyperlink>
    </w:p>
    <w:p w:rsidR="00DF366A" w:rsidRPr="00DF366A" w:rsidRDefault="00DF366A" w:rsidP="002271CC">
      <w:pPr>
        <w:spacing w:after="480"/>
        <w:rPr>
          <w:sz w:val="24"/>
          <w:szCs w:val="24"/>
        </w:rPr>
      </w:pPr>
      <w:r w:rsidRPr="00DF366A">
        <w:rPr>
          <w:b/>
          <w:sz w:val="24"/>
          <w:szCs w:val="24"/>
        </w:rPr>
        <w:t>Краен срок:</w:t>
      </w:r>
      <w:r>
        <w:rPr>
          <w:sz w:val="24"/>
          <w:szCs w:val="24"/>
        </w:rPr>
        <w:t xml:space="preserve"> </w:t>
      </w:r>
      <w:r w:rsidRPr="00DF366A">
        <w:rPr>
          <w:b/>
          <w:sz w:val="24"/>
          <w:szCs w:val="24"/>
          <w:lang w:val="ru-RU"/>
        </w:rPr>
        <w:t>18</w:t>
      </w:r>
      <w:r>
        <w:rPr>
          <w:b/>
          <w:sz w:val="24"/>
          <w:szCs w:val="24"/>
          <w:lang w:val="ru-RU"/>
        </w:rPr>
        <w:t xml:space="preserve"> </w:t>
      </w:r>
      <w:r w:rsidRPr="00DF366A">
        <w:rPr>
          <w:b/>
          <w:sz w:val="24"/>
          <w:szCs w:val="24"/>
        </w:rPr>
        <w:t>февруари 2019 г.</w:t>
      </w:r>
    </w:p>
    <w:p w:rsidR="00700FDA" w:rsidRPr="00DF366A" w:rsidRDefault="00700FDA" w:rsidP="002271CC">
      <w:pPr>
        <w:pStyle w:val="Heading2"/>
        <w:ind w:left="426"/>
        <w:rPr>
          <w:lang w:val="ru-RU"/>
        </w:rPr>
      </w:pPr>
      <w:bookmarkStart w:id="23" w:name="_Toc535323845"/>
      <w:r w:rsidRPr="00DF366A">
        <w:rPr>
          <w:lang w:val="ru-RU"/>
        </w:rPr>
        <w:t xml:space="preserve">Покана за участие в конкурс по Програма </w:t>
      </w:r>
      <w:r w:rsidRPr="00DF366A">
        <w:rPr>
          <w:lang w:val="en-US"/>
        </w:rPr>
        <w:t>EuroNanoMed</w:t>
      </w:r>
      <w:r w:rsidRPr="00DF366A">
        <w:rPr>
          <w:lang w:val="ru-RU"/>
        </w:rPr>
        <w:t xml:space="preserve"> ІІІ</w:t>
      </w:r>
      <w:bookmarkEnd w:id="23"/>
      <w:r w:rsidRPr="00DF366A">
        <w:rPr>
          <w:lang w:val="ru-RU"/>
        </w:rPr>
        <w:t xml:space="preserve"> </w:t>
      </w:r>
    </w:p>
    <w:p w:rsidR="00700FDA" w:rsidRPr="00DF366A" w:rsidRDefault="00700FDA" w:rsidP="00700FDA">
      <w:pPr>
        <w:rPr>
          <w:sz w:val="24"/>
          <w:szCs w:val="24"/>
          <w:lang w:val="ru-RU"/>
        </w:rPr>
      </w:pPr>
      <w:r w:rsidRPr="00DF366A">
        <w:rPr>
          <w:sz w:val="24"/>
          <w:szCs w:val="24"/>
          <w:lang w:val="ru-RU"/>
        </w:rPr>
        <w:t xml:space="preserve">Фонд „Научни изследвания“ отправя покана за участие в конкурс с проектни предложения по Програма </w:t>
      </w:r>
      <w:r w:rsidRPr="00DF366A">
        <w:rPr>
          <w:sz w:val="24"/>
          <w:szCs w:val="24"/>
          <w:lang w:val="en-US"/>
        </w:rPr>
        <w:t>EuroNanoMed</w:t>
      </w:r>
      <w:r w:rsidRPr="00DF366A">
        <w:rPr>
          <w:sz w:val="24"/>
          <w:szCs w:val="24"/>
          <w:lang w:val="ru-RU"/>
        </w:rPr>
        <w:t xml:space="preserve"> ІІІ. 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които предлагат иновативни методи в наномедицината, а също и към стимулиране на съвместни дейности на изследователски групи от академичния и клиничния сектор.</w:t>
      </w:r>
    </w:p>
    <w:p w:rsidR="00700FDA" w:rsidRPr="00DF366A" w:rsidRDefault="00700FDA" w:rsidP="00700FDA">
      <w:pPr>
        <w:rPr>
          <w:sz w:val="24"/>
          <w:szCs w:val="24"/>
          <w:lang w:val="ru-RU"/>
        </w:rPr>
      </w:pPr>
      <w:r w:rsidRPr="00DF366A">
        <w:rPr>
          <w:sz w:val="24"/>
          <w:szCs w:val="24"/>
          <w:lang w:val="en-US"/>
        </w:rPr>
        <w:t>EuroNanoMed</w:t>
      </w:r>
      <w:r w:rsidRPr="00DF366A">
        <w:rPr>
          <w:sz w:val="24"/>
          <w:szCs w:val="24"/>
          <w:lang w:val="ru-RU"/>
        </w:rPr>
        <w:t xml:space="preserve"> </w:t>
      </w:r>
      <w:r w:rsidRPr="00DF366A">
        <w:rPr>
          <w:sz w:val="24"/>
          <w:szCs w:val="24"/>
          <w:lang w:val="en-US"/>
        </w:rPr>
        <w:t>III</w:t>
      </w:r>
      <w:r w:rsidRPr="00DF366A">
        <w:rPr>
          <w:sz w:val="24"/>
          <w:szCs w:val="24"/>
          <w:lang w:val="ru-RU"/>
        </w:rPr>
        <w:t xml:space="preserve"> ще подкрепи мултидисциплинарните и транснационалните иновативни проекти в следните области:</w:t>
      </w:r>
    </w:p>
    <w:p w:rsidR="00700FDA" w:rsidRPr="002271CC" w:rsidRDefault="00700FDA" w:rsidP="002271CC">
      <w:pPr>
        <w:pStyle w:val="ListParagraph"/>
        <w:numPr>
          <w:ilvl w:val="0"/>
          <w:numId w:val="29"/>
        </w:numPr>
        <w:rPr>
          <w:sz w:val="24"/>
          <w:szCs w:val="24"/>
          <w:lang w:val="ru-RU"/>
        </w:rPr>
      </w:pPr>
      <w:r w:rsidRPr="002271CC">
        <w:rPr>
          <w:sz w:val="24"/>
          <w:szCs w:val="24"/>
          <w:lang w:val="ru-RU"/>
        </w:rPr>
        <w:t>регенеративна медицина</w:t>
      </w:r>
    </w:p>
    <w:p w:rsidR="00700FDA" w:rsidRPr="002271CC" w:rsidRDefault="00700FDA" w:rsidP="002271CC">
      <w:pPr>
        <w:pStyle w:val="ListParagraph"/>
        <w:numPr>
          <w:ilvl w:val="0"/>
          <w:numId w:val="29"/>
        </w:numPr>
        <w:rPr>
          <w:sz w:val="24"/>
          <w:szCs w:val="24"/>
          <w:lang w:val="ru-RU"/>
        </w:rPr>
      </w:pPr>
      <w:r w:rsidRPr="002271CC">
        <w:rPr>
          <w:sz w:val="24"/>
          <w:szCs w:val="24"/>
          <w:lang w:val="ru-RU"/>
        </w:rPr>
        <w:t>диагностика</w:t>
      </w:r>
      <w:r w:rsidRPr="002271CC">
        <w:rPr>
          <w:sz w:val="24"/>
          <w:szCs w:val="24"/>
          <w:lang w:val="en-US"/>
        </w:rPr>
        <w:t> </w:t>
      </w:r>
      <w:r w:rsidRPr="002271CC">
        <w:rPr>
          <w:sz w:val="24"/>
          <w:szCs w:val="24"/>
          <w:lang w:val="ru-RU"/>
        </w:rPr>
        <w:t>(наночастици, използвани за медицинска диагностика)</w:t>
      </w:r>
    </w:p>
    <w:p w:rsidR="00700FDA" w:rsidRPr="002271CC" w:rsidRDefault="00700FDA" w:rsidP="002271CC">
      <w:pPr>
        <w:pStyle w:val="ListParagraph"/>
        <w:numPr>
          <w:ilvl w:val="0"/>
          <w:numId w:val="29"/>
        </w:numPr>
        <w:rPr>
          <w:sz w:val="24"/>
          <w:szCs w:val="24"/>
          <w:lang w:val="ru-RU"/>
        </w:rPr>
      </w:pPr>
      <w:r w:rsidRPr="002271CC">
        <w:rPr>
          <w:sz w:val="24"/>
          <w:szCs w:val="24"/>
          <w:lang w:val="ru-RU"/>
        </w:rPr>
        <w:t>системи за таргетно доставяне</w:t>
      </w:r>
      <w:r w:rsidRPr="002271CC">
        <w:rPr>
          <w:sz w:val="24"/>
          <w:szCs w:val="24"/>
          <w:lang w:val="en-US"/>
        </w:rPr>
        <w:t> </w:t>
      </w:r>
      <w:r w:rsidRPr="002271CC">
        <w:rPr>
          <w:sz w:val="24"/>
          <w:szCs w:val="24"/>
          <w:lang w:val="ru-RU"/>
        </w:rPr>
        <w:t>(на медикаменти)</w:t>
      </w:r>
    </w:p>
    <w:p w:rsidR="00700FDA" w:rsidRPr="002271CC" w:rsidRDefault="00700FDA" w:rsidP="00700FDA">
      <w:pPr>
        <w:rPr>
          <w:sz w:val="24"/>
          <w:szCs w:val="24"/>
          <w:lang w:val="ru-RU"/>
        </w:rPr>
      </w:pPr>
      <w:r w:rsidRPr="00DF366A">
        <w:rPr>
          <w:sz w:val="24"/>
          <w:szCs w:val="24"/>
          <w:lang w:val="ru-RU"/>
        </w:rPr>
        <w:t>Повече информация можете да откриете тук:</w:t>
      </w:r>
      <w:r w:rsidR="002271CC">
        <w:rPr>
          <w:sz w:val="24"/>
          <w:szCs w:val="24"/>
          <w:lang w:val="ru-RU"/>
        </w:rPr>
        <w:t xml:space="preserve"> </w:t>
      </w:r>
      <w:r w:rsidRPr="00DF366A">
        <w:rPr>
          <w:sz w:val="24"/>
          <w:szCs w:val="24"/>
          <w:lang w:val="en-US"/>
        </w:rPr>
        <w:t> </w:t>
      </w:r>
      <w:hyperlink r:id="rId34" w:history="1">
        <w:r w:rsidRPr="00DF366A">
          <w:rPr>
            <w:rStyle w:val="Hyperlink"/>
            <w:sz w:val="24"/>
            <w:szCs w:val="24"/>
            <w:lang w:val="en-US"/>
          </w:rPr>
          <w:t>https</w:t>
        </w:r>
        <w:r w:rsidRPr="002271CC">
          <w:rPr>
            <w:rStyle w:val="Hyperlink"/>
            <w:sz w:val="24"/>
            <w:szCs w:val="24"/>
            <w:lang w:val="ru-RU"/>
          </w:rPr>
          <w:t>://</w:t>
        </w:r>
        <w:r w:rsidRPr="00DF366A">
          <w:rPr>
            <w:rStyle w:val="Hyperlink"/>
            <w:sz w:val="24"/>
            <w:szCs w:val="24"/>
            <w:lang w:val="en-US"/>
          </w:rPr>
          <w:t>www</w:t>
        </w:r>
        <w:r w:rsidRPr="002271CC">
          <w:rPr>
            <w:rStyle w:val="Hyperlink"/>
            <w:sz w:val="24"/>
            <w:szCs w:val="24"/>
            <w:lang w:val="ru-RU"/>
          </w:rPr>
          <w:t>.</w:t>
        </w:r>
        <w:r w:rsidRPr="00DF366A">
          <w:rPr>
            <w:rStyle w:val="Hyperlink"/>
            <w:sz w:val="24"/>
            <w:szCs w:val="24"/>
            <w:lang w:val="en-US"/>
          </w:rPr>
          <w:t>fni</w:t>
        </w:r>
        <w:r w:rsidRPr="002271CC">
          <w:rPr>
            <w:rStyle w:val="Hyperlink"/>
            <w:sz w:val="24"/>
            <w:szCs w:val="24"/>
            <w:lang w:val="ru-RU"/>
          </w:rPr>
          <w:t>.</w:t>
        </w:r>
        <w:r w:rsidRPr="00DF366A">
          <w:rPr>
            <w:rStyle w:val="Hyperlink"/>
            <w:sz w:val="24"/>
            <w:szCs w:val="24"/>
            <w:lang w:val="en-US"/>
          </w:rPr>
          <w:t>bg</w:t>
        </w:r>
        <w:r w:rsidRPr="002271CC">
          <w:rPr>
            <w:rStyle w:val="Hyperlink"/>
            <w:sz w:val="24"/>
            <w:szCs w:val="24"/>
            <w:lang w:val="ru-RU"/>
          </w:rPr>
          <w:t>/?</w:t>
        </w:r>
        <w:r w:rsidRPr="00DF366A">
          <w:rPr>
            <w:rStyle w:val="Hyperlink"/>
            <w:sz w:val="24"/>
            <w:szCs w:val="24"/>
            <w:lang w:val="en-US"/>
          </w:rPr>
          <w:t>q</w:t>
        </w:r>
        <w:r w:rsidRPr="002271CC">
          <w:rPr>
            <w:rStyle w:val="Hyperlink"/>
            <w:sz w:val="24"/>
            <w:szCs w:val="24"/>
            <w:lang w:val="ru-RU"/>
          </w:rPr>
          <w:t>=</w:t>
        </w:r>
        <w:r w:rsidRPr="00DF366A">
          <w:rPr>
            <w:rStyle w:val="Hyperlink"/>
            <w:sz w:val="24"/>
            <w:szCs w:val="24"/>
            <w:lang w:val="en-US"/>
          </w:rPr>
          <w:t>node</w:t>
        </w:r>
        <w:r w:rsidRPr="002271CC">
          <w:rPr>
            <w:rStyle w:val="Hyperlink"/>
            <w:sz w:val="24"/>
            <w:szCs w:val="24"/>
            <w:lang w:val="ru-RU"/>
          </w:rPr>
          <w:t>/578</w:t>
        </w:r>
      </w:hyperlink>
      <w:r w:rsidRPr="00DF366A">
        <w:rPr>
          <w:sz w:val="24"/>
          <w:szCs w:val="24"/>
          <w:lang w:val="en-US"/>
        </w:rPr>
        <w:t>  </w:t>
      </w:r>
    </w:p>
    <w:p w:rsidR="00700FDA" w:rsidRPr="00DF366A" w:rsidRDefault="00700FDA" w:rsidP="00700FDA">
      <w:pPr>
        <w:rPr>
          <w:sz w:val="24"/>
          <w:szCs w:val="24"/>
          <w:lang w:val="ru-RU"/>
        </w:rPr>
      </w:pPr>
      <w:r w:rsidRPr="00DF366A">
        <w:rPr>
          <w:sz w:val="24"/>
          <w:szCs w:val="24"/>
          <w:lang w:val="ru-RU"/>
        </w:rPr>
        <w:t xml:space="preserve">Пълният текст на поканата и инструкции за кандидатстване можете да намерите тук: </w:t>
      </w:r>
    </w:p>
    <w:p w:rsidR="00700FDA" w:rsidRPr="00DF366A" w:rsidRDefault="00401C29" w:rsidP="00700FDA">
      <w:pPr>
        <w:rPr>
          <w:sz w:val="24"/>
          <w:szCs w:val="24"/>
          <w:lang w:val="ru-RU"/>
        </w:rPr>
      </w:pPr>
      <w:hyperlink r:id="rId35" w:history="1">
        <w:r w:rsidR="00700FDA" w:rsidRPr="00DF366A">
          <w:rPr>
            <w:rStyle w:val="Hyperlink"/>
            <w:sz w:val="24"/>
            <w:szCs w:val="24"/>
            <w:lang w:val="en-US"/>
          </w:rPr>
          <w:t>http</w:t>
        </w:r>
        <w:r w:rsidR="00700FDA" w:rsidRPr="00DF366A">
          <w:rPr>
            <w:rStyle w:val="Hyperlink"/>
            <w:sz w:val="24"/>
            <w:szCs w:val="24"/>
            <w:lang w:val="ru-RU"/>
          </w:rPr>
          <w:t>://</w:t>
        </w:r>
        <w:r w:rsidR="00700FDA" w:rsidRPr="00DF366A">
          <w:rPr>
            <w:rStyle w:val="Hyperlink"/>
            <w:sz w:val="24"/>
            <w:szCs w:val="24"/>
            <w:lang w:val="en-US"/>
          </w:rPr>
          <w:t>euronanomed</w:t>
        </w:r>
        <w:r w:rsidR="00700FDA" w:rsidRPr="00DF366A">
          <w:rPr>
            <w:rStyle w:val="Hyperlink"/>
            <w:sz w:val="24"/>
            <w:szCs w:val="24"/>
            <w:lang w:val="ru-RU"/>
          </w:rPr>
          <w:t>.</w:t>
        </w:r>
        <w:r w:rsidR="00700FDA" w:rsidRPr="00DF366A">
          <w:rPr>
            <w:rStyle w:val="Hyperlink"/>
            <w:sz w:val="24"/>
            <w:szCs w:val="24"/>
            <w:lang w:val="en-US"/>
          </w:rPr>
          <w:t>net</w:t>
        </w:r>
        <w:r w:rsidR="00700FDA" w:rsidRPr="00DF366A">
          <w:rPr>
            <w:rStyle w:val="Hyperlink"/>
            <w:sz w:val="24"/>
            <w:szCs w:val="24"/>
            <w:lang w:val="ru-RU"/>
          </w:rPr>
          <w:t>/</w:t>
        </w:r>
        <w:r w:rsidR="00700FDA" w:rsidRPr="00DF366A">
          <w:rPr>
            <w:rStyle w:val="Hyperlink"/>
            <w:sz w:val="24"/>
            <w:szCs w:val="24"/>
            <w:lang w:val="en-US"/>
          </w:rPr>
          <w:t>joint</w:t>
        </w:r>
        <w:r w:rsidR="00700FDA" w:rsidRPr="00DF366A">
          <w:rPr>
            <w:rStyle w:val="Hyperlink"/>
            <w:sz w:val="24"/>
            <w:szCs w:val="24"/>
            <w:lang w:val="ru-RU"/>
          </w:rPr>
          <w:t>-</w:t>
        </w:r>
        <w:r w:rsidR="00700FDA" w:rsidRPr="00DF366A">
          <w:rPr>
            <w:rStyle w:val="Hyperlink"/>
            <w:sz w:val="24"/>
            <w:szCs w:val="24"/>
            <w:lang w:val="en-US"/>
          </w:rPr>
          <w:t>calls</w:t>
        </w:r>
        <w:r w:rsidR="00700FDA" w:rsidRPr="00DF366A">
          <w:rPr>
            <w:rStyle w:val="Hyperlink"/>
            <w:sz w:val="24"/>
            <w:szCs w:val="24"/>
            <w:lang w:val="ru-RU"/>
          </w:rPr>
          <w:t>/10</w:t>
        </w:r>
        <w:r w:rsidR="00700FDA" w:rsidRPr="00DF366A">
          <w:rPr>
            <w:rStyle w:val="Hyperlink"/>
            <w:sz w:val="24"/>
            <w:szCs w:val="24"/>
            <w:lang w:val="en-US"/>
          </w:rPr>
          <w:t>th</w:t>
        </w:r>
        <w:r w:rsidR="00700FDA" w:rsidRPr="00DF366A">
          <w:rPr>
            <w:rStyle w:val="Hyperlink"/>
            <w:sz w:val="24"/>
            <w:szCs w:val="24"/>
            <w:lang w:val="ru-RU"/>
          </w:rPr>
          <w:t>-</w:t>
        </w:r>
        <w:r w:rsidR="00700FDA" w:rsidRPr="00DF366A">
          <w:rPr>
            <w:rStyle w:val="Hyperlink"/>
            <w:sz w:val="24"/>
            <w:szCs w:val="24"/>
            <w:lang w:val="en-US"/>
          </w:rPr>
          <w:t>joint</w:t>
        </w:r>
        <w:r w:rsidR="00700FDA" w:rsidRPr="00DF366A">
          <w:rPr>
            <w:rStyle w:val="Hyperlink"/>
            <w:sz w:val="24"/>
            <w:szCs w:val="24"/>
            <w:lang w:val="ru-RU"/>
          </w:rPr>
          <w:t>-</w:t>
        </w:r>
        <w:r w:rsidR="00700FDA" w:rsidRPr="00DF366A">
          <w:rPr>
            <w:rStyle w:val="Hyperlink"/>
            <w:sz w:val="24"/>
            <w:szCs w:val="24"/>
            <w:lang w:val="en-US"/>
          </w:rPr>
          <w:t>call</w:t>
        </w:r>
        <w:r w:rsidR="00700FDA" w:rsidRPr="00DF366A">
          <w:rPr>
            <w:rStyle w:val="Hyperlink"/>
            <w:sz w:val="24"/>
            <w:szCs w:val="24"/>
            <w:lang w:val="ru-RU"/>
          </w:rPr>
          <w:t>-2019/</w:t>
        </w:r>
      </w:hyperlink>
    </w:p>
    <w:p w:rsidR="00700FDA" w:rsidRPr="00095214" w:rsidRDefault="00700FDA" w:rsidP="00700FDA">
      <w:pPr>
        <w:rPr>
          <w:b/>
          <w:sz w:val="24"/>
          <w:szCs w:val="24"/>
          <w:lang w:val="ru-RU"/>
        </w:rPr>
      </w:pPr>
      <w:r w:rsidRPr="00095214">
        <w:rPr>
          <w:b/>
          <w:sz w:val="24"/>
          <w:szCs w:val="24"/>
          <w:lang w:val="ru-RU"/>
        </w:rPr>
        <w:t>Допустими кандидати:</w:t>
      </w:r>
    </w:p>
    <w:p w:rsidR="00700FDA" w:rsidRPr="00DF366A" w:rsidRDefault="00700FDA" w:rsidP="00700FDA">
      <w:pPr>
        <w:rPr>
          <w:sz w:val="24"/>
          <w:szCs w:val="24"/>
          <w:lang w:val="ru-RU"/>
        </w:rPr>
      </w:pPr>
      <w:r w:rsidRPr="00DF366A">
        <w:rPr>
          <w:sz w:val="24"/>
          <w:szCs w:val="24"/>
          <w:lang w:val="ru-RU"/>
        </w:rPr>
        <w:t xml:space="preserve">1) Акредитирани висши училища по чл. 85 ал.1 т.7 </w:t>
      </w:r>
      <w:r w:rsidRPr="00DF366A">
        <w:rPr>
          <w:sz w:val="24"/>
          <w:szCs w:val="24"/>
          <w:lang w:val="en-US"/>
        </w:rPr>
        <w:t> </w:t>
      </w:r>
      <w:r w:rsidRPr="00DF366A">
        <w:rPr>
          <w:sz w:val="24"/>
          <w:szCs w:val="24"/>
          <w:lang w:val="ru-RU"/>
        </w:rPr>
        <w:t>от ЗВО, които са акредитирани от НАОА да провеждат обучение по образователна и научна степен "доктор"</w:t>
      </w:r>
    </w:p>
    <w:p w:rsidR="00700FDA" w:rsidRPr="00DF366A" w:rsidRDefault="00700FDA" w:rsidP="00700FDA">
      <w:pPr>
        <w:rPr>
          <w:sz w:val="24"/>
          <w:szCs w:val="24"/>
          <w:lang w:val="ru-RU"/>
        </w:rPr>
      </w:pPr>
      <w:r w:rsidRPr="00DF366A">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rsidR="00700FDA" w:rsidRPr="00DF366A" w:rsidRDefault="00700FDA" w:rsidP="00375C70">
      <w:pPr>
        <w:spacing w:before="120" w:after="120"/>
        <w:rPr>
          <w:sz w:val="24"/>
          <w:szCs w:val="24"/>
          <w:lang w:val="ru-RU"/>
        </w:rPr>
      </w:pPr>
      <w:r w:rsidRPr="00DF366A">
        <w:rPr>
          <w:sz w:val="24"/>
          <w:szCs w:val="24"/>
          <w:lang w:val="ru-RU"/>
        </w:rPr>
        <w:t>Организациите по т. 1 и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w:t>
      </w:r>
    </w:p>
    <w:p w:rsidR="00700FDA" w:rsidRPr="00DF366A" w:rsidRDefault="00700FDA" w:rsidP="00375C70">
      <w:pPr>
        <w:spacing w:before="120" w:after="120"/>
        <w:rPr>
          <w:sz w:val="24"/>
          <w:szCs w:val="24"/>
          <w:lang w:val="ru-RU"/>
        </w:rPr>
      </w:pPr>
      <w:r w:rsidRPr="00DF366A">
        <w:rPr>
          <w:sz w:val="24"/>
          <w:szCs w:val="24"/>
          <w:lang w:val="ru-RU"/>
        </w:rPr>
        <w:t>Фонд „Научни изследвания“ ще приема проектни предложения, подготвени в една от трите обявени тематични области, съгласно следните срокове:</w:t>
      </w:r>
    </w:p>
    <w:p w:rsidR="00700FDA" w:rsidRPr="00DF366A" w:rsidRDefault="00700FDA" w:rsidP="00700FDA">
      <w:pPr>
        <w:rPr>
          <w:sz w:val="24"/>
          <w:szCs w:val="24"/>
          <w:lang w:val="ru-RU"/>
        </w:rPr>
      </w:pPr>
      <w:r w:rsidRPr="00DF366A">
        <w:rPr>
          <w:sz w:val="24"/>
          <w:szCs w:val="24"/>
          <w:lang w:val="ru-RU"/>
        </w:rPr>
        <w:t>Срок за подаване на кратки проектни предложения (</w:t>
      </w:r>
      <w:r w:rsidRPr="00DF366A">
        <w:rPr>
          <w:sz w:val="24"/>
          <w:szCs w:val="24"/>
          <w:lang w:val="en-US"/>
        </w:rPr>
        <w:t>pre</w:t>
      </w:r>
      <w:r w:rsidRPr="00DF366A">
        <w:rPr>
          <w:sz w:val="24"/>
          <w:szCs w:val="24"/>
          <w:lang w:val="ru-RU"/>
        </w:rPr>
        <w:t>-</w:t>
      </w:r>
      <w:r w:rsidRPr="00DF366A">
        <w:rPr>
          <w:sz w:val="24"/>
          <w:szCs w:val="24"/>
          <w:lang w:val="en-US"/>
        </w:rPr>
        <w:t>proposal</w:t>
      </w:r>
      <w:r w:rsidRPr="00DF366A">
        <w:rPr>
          <w:sz w:val="24"/>
          <w:szCs w:val="24"/>
          <w:lang w:val="ru-RU"/>
        </w:rPr>
        <w:t xml:space="preserve"> </w:t>
      </w:r>
      <w:r w:rsidRPr="00DF366A">
        <w:rPr>
          <w:sz w:val="24"/>
          <w:szCs w:val="24"/>
          <w:lang w:val="en-US"/>
        </w:rPr>
        <w:t>phase</w:t>
      </w:r>
      <w:r w:rsidRPr="00DF366A">
        <w:rPr>
          <w:sz w:val="24"/>
          <w:szCs w:val="24"/>
          <w:lang w:val="ru-RU"/>
        </w:rPr>
        <w:t>) – 31 януари 2019 г.</w:t>
      </w:r>
    </w:p>
    <w:p w:rsidR="00700FDA" w:rsidRPr="00DF366A" w:rsidRDefault="00700FDA" w:rsidP="00375C70">
      <w:pPr>
        <w:spacing w:after="120"/>
        <w:rPr>
          <w:sz w:val="24"/>
          <w:szCs w:val="24"/>
          <w:lang w:val="ru-RU"/>
        </w:rPr>
      </w:pPr>
      <w:r w:rsidRPr="00DF366A">
        <w:rPr>
          <w:sz w:val="24"/>
          <w:szCs w:val="24"/>
          <w:lang w:val="ru-RU"/>
        </w:rPr>
        <w:t>Срок за подаване на пълни проектни предложения (</w:t>
      </w:r>
      <w:r w:rsidRPr="00DF366A">
        <w:rPr>
          <w:sz w:val="24"/>
          <w:szCs w:val="24"/>
          <w:lang w:val="en-US"/>
        </w:rPr>
        <w:t>full</w:t>
      </w:r>
      <w:r w:rsidRPr="00DF366A">
        <w:rPr>
          <w:sz w:val="24"/>
          <w:szCs w:val="24"/>
          <w:lang w:val="ru-RU"/>
        </w:rPr>
        <w:t xml:space="preserve"> </w:t>
      </w:r>
      <w:r w:rsidRPr="00DF366A">
        <w:rPr>
          <w:sz w:val="24"/>
          <w:szCs w:val="24"/>
          <w:lang w:val="en-US"/>
        </w:rPr>
        <w:t>proposal</w:t>
      </w:r>
      <w:r w:rsidRPr="00DF366A">
        <w:rPr>
          <w:sz w:val="24"/>
          <w:szCs w:val="24"/>
          <w:lang w:val="ru-RU"/>
        </w:rPr>
        <w:t xml:space="preserve"> </w:t>
      </w:r>
      <w:r w:rsidRPr="00DF366A">
        <w:rPr>
          <w:sz w:val="24"/>
          <w:szCs w:val="24"/>
          <w:lang w:val="en-US"/>
        </w:rPr>
        <w:t>phase</w:t>
      </w:r>
      <w:r w:rsidRPr="00DF366A">
        <w:rPr>
          <w:sz w:val="24"/>
          <w:szCs w:val="24"/>
          <w:lang w:val="ru-RU"/>
        </w:rPr>
        <w:t xml:space="preserve">) – 1 юли 2019 г. </w:t>
      </w:r>
    </w:p>
    <w:p w:rsidR="00700FDA" w:rsidRPr="00DF366A" w:rsidRDefault="00700FDA" w:rsidP="00375C70">
      <w:pPr>
        <w:rPr>
          <w:sz w:val="24"/>
          <w:szCs w:val="24"/>
          <w:lang w:val="ru-RU"/>
        </w:rPr>
      </w:pPr>
      <w:r w:rsidRPr="00DF366A">
        <w:rPr>
          <w:sz w:val="24"/>
          <w:szCs w:val="24"/>
          <w:lang w:val="ru-RU"/>
        </w:rPr>
        <w:t>Бюджетът от страна на Фонд „Научни изследвания“ за предстоящата конкурсна сесия е в размер на 100 000 евро за целия конкурс, като се предвижда да бъдат финансирани до два проекта с българско участие. Максимална сума за един проект е до 50 000 евро и срок на изпълнение три години.</w:t>
      </w:r>
    </w:p>
    <w:p w:rsidR="00700FDA" w:rsidRPr="00DF366A" w:rsidRDefault="00700FDA" w:rsidP="00375C70">
      <w:pPr>
        <w:spacing w:after="120"/>
        <w:rPr>
          <w:sz w:val="24"/>
          <w:szCs w:val="24"/>
          <w:lang w:val="ru-RU"/>
        </w:rPr>
      </w:pPr>
      <w:r w:rsidRPr="00DF366A">
        <w:rPr>
          <w:sz w:val="24"/>
          <w:szCs w:val="24"/>
          <w:lang w:val="ru-RU"/>
        </w:rPr>
        <w:t>Информация, насоки и документация за българските участници, относно подаването на документите във Фонд „Научни изследвания“:</w:t>
      </w:r>
    </w:p>
    <w:p w:rsidR="00700FDA" w:rsidRPr="00DF366A" w:rsidRDefault="00235C47" w:rsidP="00375C70">
      <w:pPr>
        <w:spacing w:before="120" w:after="120"/>
        <w:rPr>
          <w:sz w:val="24"/>
          <w:szCs w:val="24"/>
          <w:lang w:val="ru-RU"/>
        </w:rPr>
      </w:pPr>
      <w:hyperlink r:id="rId36" w:tgtFrame="_blank" w:history="1">
        <w:r w:rsidR="00700FDA" w:rsidRPr="00DF366A">
          <w:rPr>
            <w:rStyle w:val="Hyperlink"/>
            <w:sz w:val="24"/>
            <w:szCs w:val="24"/>
            <w:lang w:val="ru-RU"/>
          </w:rPr>
          <w:t>Национални изисквания и условия за допустимост</w:t>
        </w:r>
      </w:hyperlink>
    </w:p>
    <w:p w:rsidR="00700FDA" w:rsidRPr="00DF366A" w:rsidRDefault="00235C47" w:rsidP="00375C70">
      <w:pPr>
        <w:spacing w:before="120" w:after="120"/>
        <w:rPr>
          <w:sz w:val="24"/>
          <w:szCs w:val="24"/>
          <w:lang w:val="ru-RU"/>
        </w:rPr>
      </w:pPr>
      <w:hyperlink r:id="rId37" w:tgtFrame="_blank" w:history="1">
        <w:r w:rsidR="00700FDA" w:rsidRPr="00DF366A">
          <w:rPr>
            <w:rStyle w:val="Hyperlink"/>
            <w:sz w:val="24"/>
            <w:szCs w:val="24"/>
            <w:lang w:val="ru-RU"/>
          </w:rPr>
          <w:t>Документи към националните изисквания</w:t>
        </w:r>
      </w:hyperlink>
      <w:r w:rsidR="00700FDA" w:rsidRPr="00DF366A">
        <w:rPr>
          <w:sz w:val="24"/>
          <w:szCs w:val="24"/>
          <w:lang w:val="en-US"/>
        </w:rPr>
        <w:t> </w:t>
      </w:r>
    </w:p>
    <w:p w:rsidR="00700FDA" w:rsidRPr="00DF366A" w:rsidRDefault="00700FDA" w:rsidP="00375C70">
      <w:pPr>
        <w:spacing w:before="120" w:after="120"/>
        <w:rPr>
          <w:sz w:val="24"/>
          <w:szCs w:val="24"/>
          <w:lang w:val="ru-RU"/>
        </w:rPr>
      </w:pPr>
      <w:r w:rsidRPr="00DF366A">
        <w:rPr>
          <w:sz w:val="24"/>
          <w:szCs w:val="24"/>
          <w:lang w:val="ru-RU"/>
        </w:rPr>
        <w:t xml:space="preserve">Освен вече посочените документи към Националните изисквания, участниците трябва да представят </w:t>
      </w:r>
      <w:r w:rsidRPr="00DF366A">
        <w:rPr>
          <w:b/>
          <w:bCs/>
          <w:sz w:val="24"/>
          <w:szCs w:val="24"/>
          <w:lang w:val="ru-RU"/>
        </w:rPr>
        <w:t>проект на бюджет и работна програма</w:t>
      </w:r>
      <w:r w:rsidRPr="00DF366A">
        <w:rPr>
          <w:sz w:val="24"/>
          <w:szCs w:val="24"/>
          <w:lang w:val="en-US"/>
        </w:rPr>
        <w:t> </w:t>
      </w:r>
      <w:r w:rsidRPr="00DF366A">
        <w:rPr>
          <w:sz w:val="24"/>
          <w:szCs w:val="24"/>
          <w:lang w:val="ru-RU"/>
        </w:rPr>
        <w:t xml:space="preserve">за пълния срок на изпълнение на проекта и </w:t>
      </w:r>
      <w:r w:rsidRPr="00DF366A">
        <w:rPr>
          <w:b/>
          <w:bCs/>
          <w:sz w:val="24"/>
          <w:szCs w:val="24"/>
          <w:lang w:val="ru-RU"/>
        </w:rPr>
        <w:t>писмо от водещия партньор с потвърждение</w:t>
      </w:r>
      <w:r w:rsidRPr="00DF366A">
        <w:rPr>
          <w:sz w:val="24"/>
          <w:szCs w:val="24"/>
          <w:lang w:val="en-US"/>
        </w:rPr>
        <w:t> </w:t>
      </w:r>
      <w:r w:rsidRPr="00DF366A">
        <w:rPr>
          <w:sz w:val="24"/>
          <w:szCs w:val="24"/>
          <w:lang w:val="ru-RU"/>
        </w:rPr>
        <w:t>за включване на българската организация в съответния консорциум.</w:t>
      </w:r>
    </w:p>
    <w:p w:rsidR="00700FDA" w:rsidRPr="00DF366A" w:rsidRDefault="00700FDA" w:rsidP="00700FDA">
      <w:pPr>
        <w:rPr>
          <w:sz w:val="24"/>
          <w:szCs w:val="24"/>
          <w:lang w:val="ru-RU"/>
        </w:rPr>
      </w:pPr>
      <w:r w:rsidRPr="00DF366A">
        <w:rPr>
          <w:sz w:val="24"/>
          <w:szCs w:val="24"/>
          <w:lang w:val="ru-RU"/>
        </w:rPr>
        <w:t>Участващи страни и финансиращи агенции и министерства в предстоящата конкурсна сесия са:</w:t>
      </w:r>
    </w:p>
    <w:p w:rsidR="00700FDA" w:rsidRPr="00DF366A" w:rsidRDefault="00700FDA" w:rsidP="002271CC">
      <w:pPr>
        <w:spacing w:after="0"/>
        <w:rPr>
          <w:sz w:val="24"/>
          <w:szCs w:val="24"/>
          <w:lang w:val="en-US"/>
        </w:rPr>
      </w:pPr>
      <w:r w:rsidRPr="00DF366A">
        <w:rPr>
          <w:sz w:val="24"/>
          <w:szCs w:val="24"/>
          <w:lang w:val="en-US"/>
        </w:rPr>
        <w:t>Bulgaria – Bulgarian National Science Fund (BNSF)</w:t>
      </w:r>
    </w:p>
    <w:p w:rsidR="00700FDA" w:rsidRPr="00DF366A" w:rsidRDefault="00700FDA" w:rsidP="002271CC">
      <w:pPr>
        <w:spacing w:after="0"/>
        <w:rPr>
          <w:sz w:val="24"/>
          <w:szCs w:val="24"/>
          <w:lang w:val="en-US"/>
        </w:rPr>
      </w:pPr>
      <w:r w:rsidRPr="00DF366A">
        <w:rPr>
          <w:sz w:val="24"/>
          <w:szCs w:val="24"/>
          <w:lang w:val="en-US"/>
        </w:rPr>
        <w:t>Canada (Québec) - Fonds de recherche du Québec – Santé (FRQS)</w:t>
      </w:r>
    </w:p>
    <w:p w:rsidR="00700FDA" w:rsidRPr="00DF366A" w:rsidRDefault="00700FDA" w:rsidP="002271CC">
      <w:pPr>
        <w:spacing w:after="0"/>
        <w:rPr>
          <w:sz w:val="24"/>
          <w:szCs w:val="24"/>
          <w:lang w:val="en-US"/>
        </w:rPr>
      </w:pPr>
      <w:r w:rsidRPr="00DF366A">
        <w:rPr>
          <w:sz w:val="24"/>
          <w:szCs w:val="24"/>
          <w:lang w:val="en-US"/>
        </w:rPr>
        <w:t>Czech Republic -  Technology Agency of the Czech Republic (TACR)</w:t>
      </w:r>
    </w:p>
    <w:p w:rsidR="00700FDA" w:rsidRPr="00DF366A" w:rsidRDefault="00700FDA" w:rsidP="002271CC">
      <w:pPr>
        <w:spacing w:after="0"/>
        <w:rPr>
          <w:sz w:val="24"/>
          <w:szCs w:val="24"/>
          <w:lang w:val="en-US"/>
        </w:rPr>
      </w:pPr>
      <w:r w:rsidRPr="00DF366A">
        <w:rPr>
          <w:sz w:val="24"/>
          <w:szCs w:val="24"/>
          <w:lang w:val="en-US"/>
        </w:rPr>
        <w:t>Estonia - Eesti Teadusagentuur (Estonian Research Council ETAg)</w:t>
      </w:r>
    </w:p>
    <w:p w:rsidR="00700FDA" w:rsidRPr="00DF366A" w:rsidRDefault="00700FDA" w:rsidP="002271CC">
      <w:pPr>
        <w:spacing w:after="0"/>
        <w:rPr>
          <w:sz w:val="24"/>
          <w:szCs w:val="24"/>
          <w:lang w:val="en-US"/>
        </w:rPr>
      </w:pPr>
      <w:r w:rsidRPr="00DF366A">
        <w:rPr>
          <w:sz w:val="24"/>
          <w:szCs w:val="24"/>
          <w:lang w:val="en-US"/>
        </w:rPr>
        <w:t>France ¬- Agence Nationale de la Recherche (ANR)</w:t>
      </w:r>
    </w:p>
    <w:p w:rsidR="00700FDA" w:rsidRPr="00DF366A" w:rsidRDefault="00700FDA" w:rsidP="002271CC">
      <w:pPr>
        <w:spacing w:after="0"/>
        <w:rPr>
          <w:sz w:val="24"/>
          <w:szCs w:val="24"/>
          <w:lang w:val="en-US"/>
        </w:rPr>
      </w:pPr>
      <w:r w:rsidRPr="00DF366A">
        <w:rPr>
          <w:sz w:val="24"/>
          <w:szCs w:val="24"/>
          <w:lang w:val="en-US"/>
        </w:rPr>
        <w:t>Greece – General Secretariat for Research and Technology (GSRT)</w:t>
      </w:r>
    </w:p>
    <w:p w:rsidR="00700FDA" w:rsidRPr="00DF366A" w:rsidRDefault="00700FDA" w:rsidP="002271CC">
      <w:pPr>
        <w:spacing w:after="0"/>
        <w:rPr>
          <w:sz w:val="24"/>
          <w:szCs w:val="24"/>
          <w:lang w:val="en-US"/>
        </w:rPr>
      </w:pPr>
      <w:r w:rsidRPr="00DF366A">
        <w:rPr>
          <w:sz w:val="24"/>
          <w:szCs w:val="24"/>
          <w:lang w:val="en-US"/>
        </w:rPr>
        <w:t xml:space="preserve">Italy - Ministry of Health (IMH) </w:t>
      </w:r>
    </w:p>
    <w:p w:rsidR="00700FDA" w:rsidRPr="00DF366A" w:rsidRDefault="00700FDA" w:rsidP="002271CC">
      <w:pPr>
        <w:spacing w:after="0"/>
        <w:rPr>
          <w:sz w:val="24"/>
          <w:szCs w:val="24"/>
          <w:lang w:val="en-US"/>
        </w:rPr>
      </w:pPr>
      <w:r w:rsidRPr="00DF366A">
        <w:rPr>
          <w:sz w:val="24"/>
          <w:szCs w:val="24"/>
          <w:lang w:val="en-US"/>
        </w:rPr>
        <w:t>Latvia - State Education Development Agency (VIAA)</w:t>
      </w:r>
    </w:p>
    <w:p w:rsidR="00700FDA" w:rsidRPr="00DF366A" w:rsidRDefault="00700FDA" w:rsidP="002271CC">
      <w:pPr>
        <w:spacing w:after="0"/>
        <w:rPr>
          <w:sz w:val="24"/>
          <w:szCs w:val="24"/>
          <w:lang w:val="en-US"/>
        </w:rPr>
      </w:pPr>
      <w:r w:rsidRPr="00DF366A">
        <w:rPr>
          <w:sz w:val="24"/>
          <w:szCs w:val="24"/>
          <w:lang w:val="en-US"/>
        </w:rPr>
        <w:t xml:space="preserve">Lithuania - Research Council of Lithuania (RCL) </w:t>
      </w:r>
    </w:p>
    <w:p w:rsidR="00700FDA" w:rsidRPr="00DF366A" w:rsidRDefault="00700FDA" w:rsidP="002271CC">
      <w:pPr>
        <w:spacing w:after="0"/>
        <w:rPr>
          <w:sz w:val="24"/>
          <w:szCs w:val="24"/>
          <w:lang w:val="en-US"/>
        </w:rPr>
      </w:pPr>
      <w:r w:rsidRPr="00DF366A">
        <w:rPr>
          <w:sz w:val="24"/>
          <w:szCs w:val="24"/>
          <w:lang w:val="en-US"/>
        </w:rPr>
        <w:t>Norway - Research Council of Norway (RCN)</w:t>
      </w:r>
    </w:p>
    <w:p w:rsidR="00700FDA" w:rsidRPr="00DF366A" w:rsidRDefault="00700FDA" w:rsidP="002271CC">
      <w:pPr>
        <w:spacing w:after="0"/>
        <w:rPr>
          <w:sz w:val="24"/>
          <w:szCs w:val="24"/>
          <w:lang w:val="en-US"/>
        </w:rPr>
      </w:pPr>
      <w:r w:rsidRPr="00DF366A">
        <w:rPr>
          <w:sz w:val="24"/>
          <w:szCs w:val="24"/>
          <w:lang w:val="en-US"/>
        </w:rPr>
        <w:t xml:space="preserve">Poland - National Centre for Research and Development (NCBR) </w:t>
      </w:r>
    </w:p>
    <w:p w:rsidR="00700FDA" w:rsidRPr="00DF366A" w:rsidRDefault="00700FDA" w:rsidP="002271CC">
      <w:pPr>
        <w:spacing w:after="0"/>
        <w:rPr>
          <w:sz w:val="24"/>
          <w:szCs w:val="24"/>
          <w:lang w:val="en-US"/>
        </w:rPr>
      </w:pPr>
      <w:r w:rsidRPr="00DF366A">
        <w:rPr>
          <w:sz w:val="24"/>
          <w:szCs w:val="24"/>
          <w:lang w:val="en-US"/>
        </w:rPr>
        <w:t>Romania - Executive Agency for Higher Education, Research, Development and Innovation Funding (UEFISCDI)</w:t>
      </w:r>
    </w:p>
    <w:p w:rsidR="00700FDA" w:rsidRPr="00DF366A" w:rsidRDefault="00700FDA" w:rsidP="002271CC">
      <w:pPr>
        <w:spacing w:after="0"/>
        <w:rPr>
          <w:sz w:val="24"/>
          <w:szCs w:val="24"/>
          <w:lang w:val="en-US"/>
        </w:rPr>
      </w:pPr>
      <w:r w:rsidRPr="00DF366A">
        <w:rPr>
          <w:sz w:val="24"/>
          <w:szCs w:val="24"/>
          <w:lang w:val="en-US"/>
        </w:rPr>
        <w:t xml:space="preserve">Slovakia - Slovak Academy of Sciences (SAS) </w:t>
      </w:r>
    </w:p>
    <w:p w:rsidR="00700FDA" w:rsidRPr="00DF366A" w:rsidRDefault="00700FDA" w:rsidP="002271CC">
      <w:pPr>
        <w:spacing w:after="0"/>
        <w:rPr>
          <w:sz w:val="24"/>
          <w:szCs w:val="24"/>
          <w:lang w:val="en-US"/>
        </w:rPr>
      </w:pPr>
      <w:r w:rsidRPr="00DF366A">
        <w:rPr>
          <w:sz w:val="24"/>
          <w:szCs w:val="24"/>
          <w:lang w:val="en-US"/>
        </w:rPr>
        <w:t>Spain - National Institute of Health Carlos III (ISCIII)</w:t>
      </w:r>
    </w:p>
    <w:p w:rsidR="00700FDA" w:rsidRPr="00DF366A" w:rsidRDefault="00700FDA" w:rsidP="002271CC">
      <w:pPr>
        <w:spacing w:after="0"/>
        <w:rPr>
          <w:sz w:val="24"/>
          <w:szCs w:val="24"/>
          <w:lang w:val="en-US"/>
        </w:rPr>
      </w:pPr>
      <w:r w:rsidRPr="00DF366A">
        <w:rPr>
          <w:sz w:val="24"/>
          <w:szCs w:val="24"/>
          <w:lang w:val="en-US"/>
        </w:rPr>
        <w:t>Spain - Centre for the Development of Industrial Technology (CDTI)</w:t>
      </w:r>
    </w:p>
    <w:p w:rsidR="00700FDA" w:rsidRPr="00DF366A" w:rsidRDefault="00700FDA" w:rsidP="002271CC">
      <w:pPr>
        <w:spacing w:after="0"/>
        <w:rPr>
          <w:sz w:val="24"/>
          <w:szCs w:val="24"/>
          <w:lang w:val="en-US"/>
        </w:rPr>
      </w:pPr>
      <w:r w:rsidRPr="00DF366A">
        <w:rPr>
          <w:sz w:val="24"/>
          <w:szCs w:val="24"/>
          <w:lang w:val="en-US"/>
        </w:rPr>
        <w:t xml:space="preserve">Taiwan - Ministry of Science and Technology (MoST) </w:t>
      </w:r>
    </w:p>
    <w:p w:rsidR="00700FDA" w:rsidRPr="00DF366A" w:rsidRDefault="00700FDA" w:rsidP="002271CC">
      <w:pPr>
        <w:spacing w:after="0"/>
        <w:rPr>
          <w:sz w:val="24"/>
          <w:szCs w:val="24"/>
          <w:lang w:val="en-US"/>
        </w:rPr>
      </w:pPr>
      <w:r w:rsidRPr="00DF366A">
        <w:rPr>
          <w:sz w:val="24"/>
          <w:szCs w:val="24"/>
          <w:lang w:val="en-US"/>
        </w:rPr>
        <w:t>Turkey - Scientific and Technological Research Council of Turkey (TUBITAK)</w:t>
      </w:r>
    </w:p>
    <w:p w:rsidR="00700FDA" w:rsidRPr="00DF366A" w:rsidRDefault="00700FDA" w:rsidP="00375C70">
      <w:pPr>
        <w:spacing w:before="120" w:after="120"/>
        <w:rPr>
          <w:sz w:val="24"/>
          <w:szCs w:val="24"/>
          <w:lang w:val="ru-RU"/>
        </w:rPr>
      </w:pPr>
      <w:r w:rsidRPr="00DF366A">
        <w:rPr>
          <w:sz w:val="24"/>
          <w:szCs w:val="24"/>
          <w:lang w:val="ru-RU"/>
        </w:rPr>
        <w:t>За допълнителна информация:</w:t>
      </w:r>
    </w:p>
    <w:p w:rsidR="00700FDA" w:rsidRPr="00DF366A" w:rsidRDefault="00700FDA" w:rsidP="00700FDA">
      <w:pPr>
        <w:rPr>
          <w:sz w:val="24"/>
          <w:szCs w:val="24"/>
          <w:lang w:val="ru-RU"/>
        </w:rPr>
      </w:pPr>
      <w:r w:rsidRPr="00DF366A">
        <w:rPr>
          <w:sz w:val="24"/>
          <w:szCs w:val="24"/>
          <w:lang w:val="ru-RU"/>
        </w:rPr>
        <w:t>д-р Милена Александрова,</w:t>
      </w:r>
      <w:r w:rsidR="002271CC">
        <w:rPr>
          <w:sz w:val="24"/>
          <w:szCs w:val="24"/>
          <w:lang w:val="ru-RU"/>
        </w:rPr>
        <w:t xml:space="preserve"> </w:t>
      </w:r>
      <w:r w:rsidRPr="00DF366A">
        <w:rPr>
          <w:sz w:val="24"/>
          <w:szCs w:val="24"/>
          <w:lang w:val="en-US"/>
        </w:rPr>
        <w:t> </w:t>
      </w:r>
      <w:r w:rsidRPr="00DF366A">
        <w:rPr>
          <w:sz w:val="24"/>
          <w:szCs w:val="24"/>
          <w:lang w:val="ru-RU"/>
        </w:rPr>
        <w:t>Фонд „Научни изследвания“,</w:t>
      </w:r>
      <w:r w:rsidR="002271CC">
        <w:rPr>
          <w:sz w:val="24"/>
          <w:szCs w:val="24"/>
          <w:lang w:val="ru-RU"/>
        </w:rPr>
        <w:t xml:space="preserve"> </w:t>
      </w:r>
      <w:r w:rsidRPr="00DF366A">
        <w:rPr>
          <w:sz w:val="24"/>
          <w:szCs w:val="24"/>
          <w:lang w:val="ru-RU"/>
        </w:rPr>
        <w:t>тел: +359 884 171</w:t>
      </w:r>
      <w:r w:rsidR="002271CC">
        <w:rPr>
          <w:sz w:val="24"/>
          <w:szCs w:val="24"/>
          <w:lang w:val="ru-RU"/>
        </w:rPr>
        <w:t> </w:t>
      </w:r>
      <w:r w:rsidRPr="00DF366A">
        <w:rPr>
          <w:sz w:val="24"/>
          <w:szCs w:val="24"/>
          <w:lang w:val="ru-RU"/>
        </w:rPr>
        <w:t>363</w:t>
      </w:r>
      <w:r w:rsidR="002271CC">
        <w:rPr>
          <w:sz w:val="24"/>
          <w:szCs w:val="24"/>
          <w:lang w:val="ru-RU"/>
        </w:rPr>
        <w:t xml:space="preserve">, </w:t>
      </w:r>
      <w:r w:rsidRPr="00DF366A">
        <w:rPr>
          <w:sz w:val="24"/>
          <w:szCs w:val="24"/>
          <w:lang w:val="en-US"/>
        </w:rPr>
        <w:t>Email</w:t>
      </w:r>
      <w:r w:rsidRPr="00DF366A">
        <w:rPr>
          <w:sz w:val="24"/>
          <w:szCs w:val="24"/>
          <w:lang w:val="ru-RU"/>
        </w:rPr>
        <w:t xml:space="preserve">: </w:t>
      </w:r>
      <w:hyperlink r:id="rId38" w:history="1">
        <w:r w:rsidRPr="00DF366A">
          <w:rPr>
            <w:rStyle w:val="Hyperlink"/>
            <w:sz w:val="24"/>
            <w:szCs w:val="24"/>
            <w:lang w:val="en-US"/>
          </w:rPr>
          <w:t>aleksandrova</w:t>
        </w:r>
        <w:r w:rsidRPr="00DF366A">
          <w:rPr>
            <w:rStyle w:val="Hyperlink"/>
            <w:sz w:val="24"/>
            <w:szCs w:val="24"/>
            <w:lang w:val="ru-RU"/>
          </w:rPr>
          <w:t>@</w:t>
        </w:r>
        <w:r w:rsidRPr="00DF366A">
          <w:rPr>
            <w:rStyle w:val="Hyperlink"/>
            <w:sz w:val="24"/>
            <w:szCs w:val="24"/>
            <w:lang w:val="en-US"/>
          </w:rPr>
          <w:t>mon</w:t>
        </w:r>
        <w:r w:rsidRPr="00DF366A">
          <w:rPr>
            <w:rStyle w:val="Hyperlink"/>
            <w:sz w:val="24"/>
            <w:szCs w:val="24"/>
            <w:lang w:val="ru-RU"/>
          </w:rPr>
          <w:t>.</w:t>
        </w:r>
        <w:r w:rsidRPr="00DF366A">
          <w:rPr>
            <w:rStyle w:val="Hyperlink"/>
            <w:sz w:val="24"/>
            <w:szCs w:val="24"/>
            <w:lang w:val="en-US"/>
          </w:rPr>
          <w:t>bg</w:t>
        </w:r>
      </w:hyperlink>
    </w:p>
    <w:p w:rsidR="00700FDA" w:rsidRPr="002271CC" w:rsidRDefault="002271CC" w:rsidP="002271CC">
      <w:pPr>
        <w:spacing w:after="480"/>
        <w:rPr>
          <w:b/>
          <w:sz w:val="24"/>
          <w:szCs w:val="24"/>
        </w:rPr>
      </w:pPr>
      <w:r w:rsidRPr="002271CC">
        <w:rPr>
          <w:b/>
          <w:sz w:val="24"/>
          <w:szCs w:val="24"/>
        </w:rPr>
        <w:t xml:space="preserve">Краен срок </w:t>
      </w:r>
      <w:r w:rsidRPr="002271CC">
        <w:rPr>
          <w:b/>
          <w:sz w:val="24"/>
          <w:szCs w:val="24"/>
          <w:lang w:val="ru-RU"/>
        </w:rPr>
        <w:t>за подаване на кратки проектни предложения (</w:t>
      </w:r>
      <w:r w:rsidRPr="002271CC">
        <w:rPr>
          <w:b/>
          <w:sz w:val="24"/>
          <w:szCs w:val="24"/>
          <w:lang w:val="en-US"/>
        </w:rPr>
        <w:t>pre</w:t>
      </w:r>
      <w:r w:rsidRPr="002271CC">
        <w:rPr>
          <w:b/>
          <w:sz w:val="24"/>
          <w:szCs w:val="24"/>
          <w:lang w:val="ru-RU"/>
        </w:rPr>
        <w:t>-</w:t>
      </w:r>
      <w:r w:rsidRPr="002271CC">
        <w:rPr>
          <w:b/>
          <w:sz w:val="24"/>
          <w:szCs w:val="24"/>
          <w:lang w:val="en-US"/>
        </w:rPr>
        <w:t>proposal</w:t>
      </w:r>
      <w:r w:rsidRPr="002271CC">
        <w:rPr>
          <w:b/>
          <w:sz w:val="24"/>
          <w:szCs w:val="24"/>
          <w:lang w:val="ru-RU"/>
        </w:rPr>
        <w:t xml:space="preserve"> </w:t>
      </w:r>
      <w:r w:rsidRPr="002271CC">
        <w:rPr>
          <w:b/>
          <w:sz w:val="24"/>
          <w:szCs w:val="24"/>
          <w:lang w:val="en-US"/>
        </w:rPr>
        <w:t>phase</w:t>
      </w:r>
      <w:r w:rsidRPr="002271CC">
        <w:rPr>
          <w:b/>
          <w:sz w:val="24"/>
          <w:szCs w:val="24"/>
          <w:lang w:val="ru-RU"/>
        </w:rPr>
        <w:t>): 31 януари 2019 г.</w:t>
      </w:r>
    </w:p>
    <w:p w:rsidR="00951752" w:rsidRPr="00DF366A" w:rsidRDefault="00951752" w:rsidP="002271CC">
      <w:pPr>
        <w:pStyle w:val="Heading2"/>
        <w:ind w:left="426"/>
        <w:rPr>
          <w:lang w:val="ru-RU"/>
        </w:rPr>
      </w:pPr>
      <w:bookmarkStart w:id="24" w:name="_Toc535323846"/>
      <w:r w:rsidRPr="00DF366A">
        <w:rPr>
          <w:lang w:val="ru-RU"/>
        </w:rPr>
        <w:t>Покана за подаване на предложения по Програма „Еразъм+ 2019“</w:t>
      </w:r>
      <w:bookmarkEnd w:id="24"/>
    </w:p>
    <w:p w:rsidR="00951752" w:rsidRPr="00DF366A" w:rsidRDefault="00951752" w:rsidP="00951752">
      <w:pPr>
        <w:rPr>
          <w:sz w:val="24"/>
          <w:szCs w:val="24"/>
          <w:lang w:val="ru-RU"/>
        </w:rPr>
      </w:pPr>
      <w:r w:rsidRPr="00DF366A">
        <w:rPr>
          <w:sz w:val="24"/>
          <w:szCs w:val="24"/>
          <w:lang w:val="ru-RU"/>
        </w:rPr>
        <w:t>Изпълнителната агенция за образование, аудиовизия и култура публикува покана по Ключова дейност 2: Сътрудничество за иновации и обмен на добри практики – „Алианси на знанието - Европейски университети“</w:t>
      </w:r>
      <w:r w:rsidRPr="00DF366A">
        <w:rPr>
          <w:sz w:val="24"/>
          <w:szCs w:val="24"/>
          <w:lang w:val="en-US"/>
        </w:rPr>
        <w:t> </w:t>
      </w:r>
      <w:r w:rsidRPr="00DF366A">
        <w:rPr>
          <w:sz w:val="24"/>
          <w:szCs w:val="24"/>
          <w:lang w:val="ru-RU"/>
        </w:rPr>
        <w:t>(</w:t>
      </w:r>
      <w:hyperlink r:id="rId39" w:tgtFrame="_blank" w:tooltip="https://eacea.ec.europa.eu/erasmus-plus/funding/key-action2-european-universities-2019_en" w:history="1">
        <w:r w:rsidRPr="00DF366A">
          <w:rPr>
            <w:rStyle w:val="Hyperlink"/>
            <w:sz w:val="24"/>
            <w:szCs w:val="24"/>
            <w:lang w:val="en-US"/>
          </w:rPr>
          <w:t>https</w:t>
        </w:r>
        <w:r w:rsidRPr="00DF366A">
          <w:rPr>
            <w:rStyle w:val="Hyperlink"/>
            <w:sz w:val="24"/>
            <w:szCs w:val="24"/>
            <w:lang w:val="ru-RU"/>
          </w:rPr>
          <w:t>://</w:t>
        </w:r>
        <w:r w:rsidRPr="00DF366A">
          <w:rPr>
            <w:rStyle w:val="Hyperlink"/>
            <w:sz w:val="24"/>
            <w:szCs w:val="24"/>
            <w:lang w:val="en-US"/>
          </w:rPr>
          <w:t>eacea</w:t>
        </w:r>
        <w:r w:rsidRPr="00DF366A">
          <w:rPr>
            <w:rStyle w:val="Hyperlink"/>
            <w:sz w:val="24"/>
            <w:szCs w:val="24"/>
            <w:lang w:val="ru-RU"/>
          </w:rPr>
          <w:t>.</w:t>
        </w:r>
        <w:r w:rsidRPr="00DF366A">
          <w:rPr>
            <w:rStyle w:val="Hyperlink"/>
            <w:sz w:val="24"/>
            <w:szCs w:val="24"/>
            <w:lang w:val="en-US"/>
          </w:rPr>
          <w:t>ec</w:t>
        </w:r>
        <w:r w:rsidRPr="00DF366A">
          <w:rPr>
            <w:rStyle w:val="Hyperlink"/>
            <w:sz w:val="24"/>
            <w:szCs w:val="24"/>
            <w:lang w:val="ru-RU"/>
          </w:rPr>
          <w:t>.</w:t>
        </w:r>
        <w:r w:rsidRPr="00DF366A">
          <w:rPr>
            <w:rStyle w:val="Hyperlink"/>
            <w:sz w:val="24"/>
            <w:szCs w:val="24"/>
            <w:lang w:val="en-US"/>
          </w:rPr>
          <w:t>europa</w:t>
        </w:r>
        <w:r w:rsidRPr="00DF366A">
          <w:rPr>
            <w:rStyle w:val="Hyperlink"/>
            <w:sz w:val="24"/>
            <w:szCs w:val="24"/>
            <w:lang w:val="ru-RU"/>
          </w:rPr>
          <w:t>.</w:t>
        </w:r>
        <w:r w:rsidRPr="00DF366A">
          <w:rPr>
            <w:rStyle w:val="Hyperlink"/>
            <w:sz w:val="24"/>
            <w:szCs w:val="24"/>
            <w:lang w:val="en-US"/>
          </w:rPr>
          <w:t>eu</w:t>
        </w:r>
        <w:r w:rsidRPr="00DF366A">
          <w:rPr>
            <w:rStyle w:val="Hyperlink"/>
            <w:sz w:val="24"/>
            <w:szCs w:val="24"/>
            <w:lang w:val="ru-RU"/>
          </w:rPr>
          <w:t>/</w:t>
        </w:r>
        <w:r w:rsidRPr="00DF366A">
          <w:rPr>
            <w:rStyle w:val="Hyperlink"/>
            <w:sz w:val="24"/>
            <w:szCs w:val="24"/>
            <w:lang w:val="en-US"/>
          </w:rPr>
          <w:t>erasmus</w:t>
        </w:r>
        <w:r w:rsidRPr="00DF366A">
          <w:rPr>
            <w:rStyle w:val="Hyperlink"/>
            <w:sz w:val="24"/>
            <w:szCs w:val="24"/>
            <w:lang w:val="ru-RU"/>
          </w:rPr>
          <w:t>-</w:t>
        </w:r>
        <w:r w:rsidRPr="00DF366A">
          <w:rPr>
            <w:rStyle w:val="Hyperlink"/>
            <w:sz w:val="24"/>
            <w:szCs w:val="24"/>
            <w:lang w:val="en-US"/>
          </w:rPr>
          <w:t>plus</w:t>
        </w:r>
        <w:r w:rsidRPr="00DF366A">
          <w:rPr>
            <w:rStyle w:val="Hyperlink"/>
            <w:sz w:val="24"/>
            <w:szCs w:val="24"/>
            <w:lang w:val="ru-RU"/>
          </w:rPr>
          <w:t>/</w:t>
        </w:r>
        <w:r w:rsidRPr="00DF366A">
          <w:rPr>
            <w:rStyle w:val="Hyperlink"/>
            <w:sz w:val="24"/>
            <w:szCs w:val="24"/>
            <w:lang w:val="en-US"/>
          </w:rPr>
          <w:t>funding</w:t>
        </w:r>
        <w:r w:rsidRPr="00DF366A">
          <w:rPr>
            <w:rStyle w:val="Hyperlink"/>
            <w:sz w:val="24"/>
            <w:szCs w:val="24"/>
            <w:lang w:val="ru-RU"/>
          </w:rPr>
          <w:t>/</w:t>
        </w:r>
        <w:r w:rsidRPr="00DF366A">
          <w:rPr>
            <w:rStyle w:val="Hyperlink"/>
            <w:sz w:val="24"/>
            <w:szCs w:val="24"/>
            <w:lang w:val="en-US"/>
          </w:rPr>
          <w:t>key</w:t>
        </w:r>
        <w:r w:rsidRPr="00DF366A">
          <w:rPr>
            <w:rStyle w:val="Hyperlink"/>
            <w:sz w:val="24"/>
            <w:szCs w:val="24"/>
            <w:lang w:val="ru-RU"/>
          </w:rPr>
          <w:t>-</w:t>
        </w:r>
        <w:r w:rsidRPr="00DF366A">
          <w:rPr>
            <w:rStyle w:val="Hyperlink"/>
            <w:sz w:val="24"/>
            <w:szCs w:val="24"/>
            <w:lang w:val="en-US"/>
          </w:rPr>
          <w:t>action</w:t>
        </w:r>
        <w:r w:rsidRPr="00DF366A">
          <w:rPr>
            <w:rStyle w:val="Hyperlink"/>
            <w:sz w:val="24"/>
            <w:szCs w:val="24"/>
            <w:lang w:val="ru-RU"/>
          </w:rPr>
          <w:t>2-</w:t>
        </w:r>
        <w:r w:rsidRPr="00DF366A">
          <w:rPr>
            <w:rStyle w:val="Hyperlink"/>
            <w:sz w:val="24"/>
            <w:szCs w:val="24"/>
            <w:lang w:val="en-US"/>
          </w:rPr>
          <w:t>european</w:t>
        </w:r>
        <w:r w:rsidRPr="00DF366A">
          <w:rPr>
            <w:rStyle w:val="Hyperlink"/>
            <w:sz w:val="24"/>
            <w:szCs w:val="24"/>
            <w:lang w:val="ru-RU"/>
          </w:rPr>
          <w:t>-</w:t>
        </w:r>
        <w:r w:rsidRPr="00DF366A">
          <w:rPr>
            <w:rStyle w:val="Hyperlink"/>
            <w:sz w:val="24"/>
            <w:szCs w:val="24"/>
            <w:lang w:val="en-US"/>
          </w:rPr>
          <w:t>universities</w:t>
        </w:r>
        <w:r w:rsidRPr="00DF366A">
          <w:rPr>
            <w:rStyle w:val="Hyperlink"/>
            <w:sz w:val="24"/>
            <w:szCs w:val="24"/>
            <w:lang w:val="ru-RU"/>
          </w:rPr>
          <w:t>-2019_</w:t>
        </w:r>
        <w:r w:rsidRPr="00DF366A">
          <w:rPr>
            <w:rStyle w:val="Hyperlink"/>
            <w:sz w:val="24"/>
            <w:szCs w:val="24"/>
            <w:lang w:val="en-US"/>
          </w:rPr>
          <w:t>en</w:t>
        </w:r>
      </w:hyperlink>
      <w:r w:rsidRPr="00DF366A">
        <w:rPr>
          <w:sz w:val="24"/>
          <w:szCs w:val="24"/>
          <w:lang w:val="ru-RU"/>
        </w:rPr>
        <w:t>).</w:t>
      </w:r>
    </w:p>
    <w:p w:rsidR="00951752" w:rsidRPr="00DF366A" w:rsidRDefault="00951752" w:rsidP="00951752">
      <w:pPr>
        <w:rPr>
          <w:sz w:val="24"/>
          <w:szCs w:val="24"/>
          <w:lang w:val="ru-RU"/>
        </w:rPr>
      </w:pPr>
      <w:r w:rsidRPr="00DF366A">
        <w:rPr>
          <w:sz w:val="24"/>
          <w:szCs w:val="24"/>
          <w:lang w:val="ru-RU"/>
        </w:rPr>
        <w:t>Основната цел е да се „насърчи появата на около двадесет европейски университета до 2024 г.“, представляващи мрежа от поне три институции за висше образование, изградени отдолу нагоре, което ще даде възможност на студентите да получат степен, като съчетаят учене в няколко държави от ЕС и допринесат за международната конкурентоспособност на европейските университети.“</w:t>
      </w:r>
    </w:p>
    <w:p w:rsidR="00951752" w:rsidRPr="00095214" w:rsidRDefault="00951752" w:rsidP="00951752">
      <w:pPr>
        <w:rPr>
          <w:sz w:val="24"/>
          <w:szCs w:val="24"/>
          <w:lang w:val="ru-RU"/>
        </w:rPr>
      </w:pPr>
      <w:r w:rsidRPr="00095214">
        <w:rPr>
          <w:b/>
          <w:bCs/>
          <w:sz w:val="24"/>
          <w:szCs w:val="24"/>
          <w:lang w:val="ru-RU"/>
        </w:rPr>
        <w:t xml:space="preserve">Допустими участващи организации: </w:t>
      </w:r>
    </w:p>
    <w:p w:rsidR="00951752" w:rsidRPr="00DF366A" w:rsidRDefault="00951752" w:rsidP="00951752">
      <w:pPr>
        <w:rPr>
          <w:sz w:val="24"/>
          <w:szCs w:val="24"/>
          <w:lang w:val="ru-RU"/>
        </w:rPr>
      </w:pPr>
      <w:r w:rsidRPr="00DF366A">
        <w:rPr>
          <w:sz w:val="24"/>
          <w:szCs w:val="24"/>
          <w:lang w:val="ru-RU"/>
        </w:rPr>
        <w:t>Всяка институция за висше образование, притежаваща валидна Харта за висше образование „Еразъм“ (</w:t>
      </w:r>
      <w:r w:rsidRPr="00DF366A">
        <w:rPr>
          <w:sz w:val="24"/>
          <w:szCs w:val="24"/>
          <w:lang w:val="en-US"/>
        </w:rPr>
        <w:t>ECHE</w:t>
      </w:r>
      <w:r w:rsidRPr="00DF366A">
        <w:rPr>
          <w:sz w:val="24"/>
          <w:szCs w:val="24"/>
          <w:lang w:val="ru-RU"/>
        </w:rPr>
        <w:t>), със свързаните с нея организации (ако има такива).</w:t>
      </w:r>
    </w:p>
    <w:p w:rsidR="00951752" w:rsidRPr="00DF366A" w:rsidRDefault="00951752" w:rsidP="00951752">
      <w:pPr>
        <w:rPr>
          <w:sz w:val="24"/>
          <w:szCs w:val="24"/>
          <w:lang w:val="ru-RU"/>
        </w:rPr>
      </w:pPr>
      <w:r w:rsidRPr="00DF366A">
        <w:rPr>
          <w:b/>
          <w:bCs/>
          <w:sz w:val="24"/>
          <w:szCs w:val="24"/>
          <w:lang w:val="ru-RU"/>
        </w:rPr>
        <w:t>Кой може да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Всяка допустима участваща институция за висше образование, установена в държава членка на ЕС или друга държава по програмата. Кандидатстващата организация подава предложение от името на всички организации, участващи в Европейския университет.</w:t>
      </w:r>
    </w:p>
    <w:p w:rsidR="00951752" w:rsidRPr="00DF366A" w:rsidRDefault="00951752" w:rsidP="00951752">
      <w:pPr>
        <w:rPr>
          <w:sz w:val="24"/>
          <w:szCs w:val="24"/>
          <w:lang w:val="ru-RU"/>
        </w:rPr>
      </w:pPr>
      <w:r w:rsidRPr="00DF366A">
        <w:rPr>
          <w:b/>
          <w:bCs/>
          <w:sz w:val="24"/>
          <w:szCs w:val="24"/>
          <w:lang w:val="ru-RU"/>
        </w:rPr>
        <w:t>Брой и профил на участващите организации:</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Европейският университет трябва да се състои от поне три институции за висше образование от най-малко три държави членки на ЕС или други държави по програмата. Освен това всяка публична/частна институция, активна в областта на образованието и обучението, научните изследвания и иновациите или работодателска организация, може да бъде част (като асоцииран партньор) от алианса.</w:t>
      </w:r>
    </w:p>
    <w:p w:rsidR="00951752" w:rsidRPr="00DF366A" w:rsidRDefault="00951752" w:rsidP="00951752">
      <w:pPr>
        <w:rPr>
          <w:sz w:val="24"/>
          <w:szCs w:val="24"/>
          <w:lang w:val="ru-RU"/>
        </w:rPr>
      </w:pPr>
      <w:r w:rsidRPr="00DF366A">
        <w:rPr>
          <w:b/>
          <w:bCs/>
          <w:sz w:val="24"/>
          <w:szCs w:val="24"/>
          <w:lang w:val="ru-RU"/>
        </w:rPr>
        <w:t>Продължителност:</w:t>
      </w:r>
      <w:r w:rsidRPr="00DF366A">
        <w:rPr>
          <w:sz w:val="24"/>
          <w:szCs w:val="24"/>
          <w:lang w:val="ru-RU"/>
        </w:rPr>
        <w:t xml:space="preserve"> 3 години</w:t>
      </w:r>
    </w:p>
    <w:p w:rsidR="00951752" w:rsidRPr="00DF366A" w:rsidRDefault="00951752" w:rsidP="00951752">
      <w:pPr>
        <w:rPr>
          <w:sz w:val="24"/>
          <w:szCs w:val="24"/>
          <w:lang w:val="ru-RU"/>
        </w:rPr>
      </w:pPr>
      <w:r w:rsidRPr="00DF366A">
        <w:rPr>
          <w:b/>
          <w:bCs/>
          <w:sz w:val="24"/>
          <w:szCs w:val="24"/>
          <w:lang w:val="ru-RU"/>
        </w:rPr>
        <w:t>Къде се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 xml:space="preserve">Пред Изпълнителната агенция за образование, аудиовизия и култура в Брюксел. </w:t>
      </w:r>
    </w:p>
    <w:p w:rsidR="00951752" w:rsidRPr="00DF366A" w:rsidRDefault="00951752" w:rsidP="00951752">
      <w:pPr>
        <w:rPr>
          <w:sz w:val="24"/>
          <w:szCs w:val="24"/>
          <w:lang w:val="ru-RU"/>
        </w:rPr>
      </w:pPr>
      <w:r w:rsidRPr="00DF366A">
        <w:rPr>
          <w:b/>
          <w:bCs/>
          <w:sz w:val="24"/>
          <w:szCs w:val="24"/>
          <w:lang w:val="ru-RU"/>
        </w:rPr>
        <w:t>Кога се кандидатства?</w:t>
      </w:r>
      <w:r w:rsidRPr="00DF366A">
        <w:rPr>
          <w:sz w:val="24"/>
          <w:szCs w:val="24"/>
          <w:lang w:val="ru-RU"/>
        </w:rPr>
        <w:t xml:space="preserve"> </w:t>
      </w:r>
    </w:p>
    <w:p w:rsidR="00951752" w:rsidRPr="00DF366A" w:rsidRDefault="00951752" w:rsidP="00951752">
      <w:pPr>
        <w:rPr>
          <w:sz w:val="24"/>
          <w:szCs w:val="24"/>
          <w:lang w:val="ru-RU"/>
        </w:rPr>
      </w:pPr>
      <w:r w:rsidRPr="00DF366A">
        <w:rPr>
          <w:sz w:val="24"/>
          <w:szCs w:val="24"/>
          <w:lang w:val="ru-RU"/>
        </w:rPr>
        <w:t xml:space="preserve">Кандидатите трябва да подадат своите заявления за безвъзмездна помощ не по-късно от 28 февруари 2019 г. до 12:00 ч. (на обяд, брюкселско време) за проекти на алианси, стартиращи между 1 септември и 1 декември същата година. </w:t>
      </w:r>
    </w:p>
    <w:p w:rsidR="00951752" w:rsidRPr="00DF366A" w:rsidRDefault="00951752" w:rsidP="00951752">
      <w:pPr>
        <w:rPr>
          <w:sz w:val="24"/>
          <w:szCs w:val="24"/>
          <w:lang w:val="ru-RU"/>
        </w:rPr>
      </w:pPr>
      <w:r w:rsidRPr="00DF366A">
        <w:rPr>
          <w:b/>
          <w:bCs/>
          <w:sz w:val="24"/>
          <w:szCs w:val="24"/>
          <w:lang w:val="ru-RU"/>
        </w:rPr>
        <w:t>Как се кандидатства?</w:t>
      </w:r>
    </w:p>
    <w:p w:rsidR="00951752" w:rsidRPr="00DF366A" w:rsidRDefault="00951752" w:rsidP="00951752">
      <w:pPr>
        <w:rPr>
          <w:sz w:val="24"/>
          <w:szCs w:val="24"/>
          <w:lang w:val="ru-RU"/>
        </w:rPr>
      </w:pPr>
      <w:r w:rsidRPr="00DF366A">
        <w:rPr>
          <w:sz w:val="24"/>
          <w:szCs w:val="24"/>
          <w:lang w:val="ru-RU"/>
        </w:rPr>
        <w:t xml:space="preserve">Подробна информация за процедурата за кандидатстване можете да намерите в Част В от </w:t>
      </w:r>
      <w:hyperlink r:id="rId40" w:tgtFrame="_blank" w:tooltip="Ръководство за програма " w:history="1">
        <w:r w:rsidRPr="00DF366A">
          <w:rPr>
            <w:rStyle w:val="Hyperlink"/>
            <w:sz w:val="24"/>
            <w:szCs w:val="24"/>
            <w:lang w:val="ru-RU"/>
          </w:rPr>
          <w:t>Ръководство за програма „Еразъм+“</w:t>
        </w:r>
      </w:hyperlink>
      <w:r w:rsidRPr="00DF366A">
        <w:rPr>
          <w:sz w:val="24"/>
          <w:szCs w:val="24"/>
          <w:lang w:val="ru-RU"/>
        </w:rPr>
        <w:t>.</w:t>
      </w:r>
    </w:p>
    <w:p w:rsidR="00951752" w:rsidRPr="00DF366A" w:rsidRDefault="00951752" w:rsidP="00951752">
      <w:pPr>
        <w:rPr>
          <w:sz w:val="24"/>
          <w:szCs w:val="24"/>
          <w:lang w:val="ru-RU"/>
        </w:rPr>
      </w:pPr>
      <w:r w:rsidRPr="00DF366A">
        <w:rPr>
          <w:sz w:val="24"/>
          <w:szCs w:val="24"/>
          <w:lang w:val="ru-RU"/>
        </w:rPr>
        <w:t>Заедно с поканата за представяне на предложения Комисията публикува и Ръководство за програма „Еразъм +“ на всички официални езици на ЕС, с което предоставя на кандидатите подробности за възможностите, налични в програмата за 2019 г.</w:t>
      </w:r>
    </w:p>
    <w:p w:rsidR="00951752" w:rsidRPr="00DF366A" w:rsidRDefault="00951752" w:rsidP="00951752">
      <w:pPr>
        <w:rPr>
          <w:sz w:val="24"/>
          <w:szCs w:val="24"/>
          <w:lang w:val="ru-RU"/>
        </w:rPr>
      </w:pPr>
      <w:r w:rsidRPr="00DF366A">
        <w:rPr>
          <w:sz w:val="24"/>
          <w:szCs w:val="24"/>
          <w:lang w:val="ru-RU"/>
        </w:rPr>
        <w:t>Повече информация може да се намери на следните линкове:</w:t>
      </w:r>
    </w:p>
    <w:p w:rsidR="00584DFE" w:rsidRPr="00DF366A" w:rsidRDefault="00951752" w:rsidP="00951752">
      <w:pPr>
        <w:rPr>
          <w:sz w:val="24"/>
          <w:szCs w:val="24"/>
          <w:lang w:val="ru-RU"/>
        </w:rPr>
      </w:pPr>
      <w:r w:rsidRPr="00DF366A">
        <w:rPr>
          <w:sz w:val="24"/>
          <w:szCs w:val="24"/>
          <w:lang w:val="ru-RU"/>
        </w:rPr>
        <w:t>•</w:t>
      </w:r>
      <w:r w:rsidRPr="00DF366A">
        <w:rPr>
          <w:sz w:val="24"/>
          <w:szCs w:val="24"/>
          <w:lang w:val="en-US"/>
        </w:rPr>
        <w:t> </w:t>
      </w:r>
      <w:hyperlink r:id="rId41" w:tgtFrame="_blank" w:tooltip="Покана за представяне на предложения" w:history="1">
        <w:r w:rsidRPr="00DF366A">
          <w:rPr>
            <w:rStyle w:val="Hyperlink"/>
            <w:sz w:val="24"/>
            <w:szCs w:val="24"/>
            <w:lang w:val="ru-RU"/>
          </w:rPr>
          <w:t>Покана за представяне на предложения</w:t>
        </w:r>
      </w:hyperlink>
      <w:r w:rsidRPr="00DF366A">
        <w:rPr>
          <w:sz w:val="24"/>
          <w:szCs w:val="24"/>
          <w:lang w:val="ru-RU"/>
        </w:rPr>
        <w:t xml:space="preserve"> </w:t>
      </w:r>
    </w:p>
    <w:p w:rsidR="00584DFE" w:rsidRPr="00DF366A" w:rsidRDefault="00951752" w:rsidP="00951752">
      <w:pPr>
        <w:rPr>
          <w:sz w:val="24"/>
          <w:szCs w:val="24"/>
          <w:lang w:val="ru-RU"/>
        </w:rPr>
      </w:pPr>
      <w:r w:rsidRPr="00DF366A">
        <w:rPr>
          <w:sz w:val="24"/>
          <w:szCs w:val="24"/>
          <w:lang w:val="ru-RU"/>
        </w:rPr>
        <w:t>•</w:t>
      </w:r>
      <w:r w:rsidRPr="00DF366A">
        <w:rPr>
          <w:sz w:val="24"/>
          <w:szCs w:val="24"/>
          <w:lang w:val="en-US"/>
        </w:rPr>
        <w:t> </w:t>
      </w:r>
      <w:hyperlink r:id="rId42" w:tgtFrame="_blank" w:tooltip="Ръководство на програма " w:history="1">
        <w:r w:rsidRPr="00DF366A">
          <w:rPr>
            <w:rStyle w:val="Hyperlink"/>
            <w:sz w:val="24"/>
            <w:szCs w:val="24"/>
            <w:lang w:val="ru-RU"/>
          </w:rPr>
          <w:t>Ръководство на програма „Еразъм+“ за 2019</w:t>
        </w:r>
      </w:hyperlink>
      <w:r w:rsidRPr="00DF366A">
        <w:rPr>
          <w:sz w:val="24"/>
          <w:szCs w:val="24"/>
          <w:lang w:val="ru-RU"/>
        </w:rPr>
        <w:t xml:space="preserve"> </w:t>
      </w:r>
    </w:p>
    <w:p w:rsidR="00584DFE" w:rsidRPr="00DF366A" w:rsidRDefault="00951752" w:rsidP="00951752">
      <w:pPr>
        <w:rPr>
          <w:sz w:val="24"/>
          <w:szCs w:val="24"/>
          <w:lang w:val="ru-RU"/>
        </w:rPr>
      </w:pPr>
      <w:r w:rsidRPr="00DF366A">
        <w:rPr>
          <w:sz w:val="24"/>
          <w:szCs w:val="24"/>
          <w:lang w:val="ru-RU"/>
        </w:rPr>
        <w:t xml:space="preserve">• Обща </w:t>
      </w:r>
      <w:hyperlink r:id="rId43" w:tgtFrame="_blank" w:tooltip="информация" w:history="1">
        <w:r w:rsidRPr="00DF366A">
          <w:rPr>
            <w:rStyle w:val="Hyperlink"/>
            <w:sz w:val="24"/>
            <w:szCs w:val="24"/>
            <w:lang w:val="ru-RU"/>
          </w:rPr>
          <w:t>информация</w:t>
        </w:r>
      </w:hyperlink>
      <w:r w:rsidRPr="00DF366A">
        <w:rPr>
          <w:sz w:val="24"/>
          <w:szCs w:val="24"/>
          <w:lang w:val="ru-RU"/>
        </w:rPr>
        <w:t xml:space="preserve"> за програмата „Еразъм+“ </w:t>
      </w:r>
    </w:p>
    <w:p w:rsidR="00951752" w:rsidRPr="002271CC" w:rsidRDefault="00951752" w:rsidP="00951752">
      <w:pPr>
        <w:rPr>
          <w:sz w:val="24"/>
          <w:szCs w:val="24"/>
          <w:lang w:val="ru-RU"/>
        </w:rPr>
      </w:pPr>
      <w:r w:rsidRPr="002271CC">
        <w:rPr>
          <w:sz w:val="24"/>
          <w:szCs w:val="24"/>
          <w:lang w:val="ru-RU"/>
        </w:rPr>
        <w:t xml:space="preserve">• </w:t>
      </w:r>
      <w:hyperlink r:id="rId44" w:tgtFrame="_blank" w:tooltip="Прессъобщение" w:history="1">
        <w:r w:rsidRPr="002271CC">
          <w:rPr>
            <w:rStyle w:val="Hyperlink"/>
            <w:sz w:val="24"/>
            <w:szCs w:val="24"/>
            <w:lang w:val="ru-RU"/>
          </w:rPr>
          <w:t>Прессъобщение</w:t>
        </w:r>
      </w:hyperlink>
      <w:r w:rsidRPr="002271CC">
        <w:rPr>
          <w:sz w:val="24"/>
          <w:szCs w:val="24"/>
          <w:lang w:val="ru-RU"/>
        </w:rPr>
        <w:t xml:space="preserve"> на Европейската комисия.</w:t>
      </w:r>
    </w:p>
    <w:p w:rsidR="00700FDA" w:rsidRPr="002271CC" w:rsidRDefault="002271CC" w:rsidP="000203E1">
      <w:pPr>
        <w:spacing w:after="480"/>
        <w:rPr>
          <w:b/>
        </w:rPr>
      </w:pPr>
      <w:r w:rsidRPr="002271CC">
        <w:rPr>
          <w:b/>
          <w:sz w:val="24"/>
          <w:szCs w:val="24"/>
        </w:rPr>
        <w:t xml:space="preserve">Краен срок: </w:t>
      </w:r>
      <w:r w:rsidRPr="002271CC">
        <w:rPr>
          <w:b/>
          <w:sz w:val="24"/>
          <w:szCs w:val="24"/>
          <w:lang w:val="ru-RU"/>
        </w:rPr>
        <w:t>28 февруари 2019 г. до 12:00 ч. (на обяд, брюкселско време)</w:t>
      </w:r>
    </w:p>
    <w:p w:rsidR="00320936" w:rsidRPr="00F75DDE" w:rsidRDefault="00147A72" w:rsidP="00F75DDE">
      <w:pPr>
        <w:pStyle w:val="Heading2"/>
        <w:ind w:left="426"/>
      </w:pPr>
      <w:bookmarkStart w:id="25" w:name="_Toc535323847"/>
      <w:r w:rsidRPr="00F75DDE">
        <w:t>Четвърта тръжна процедура на Европейската космическа агенция</w:t>
      </w:r>
      <w:bookmarkEnd w:id="25"/>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Процедурата е насочена към български фирми и организации. Допуска се участие в консорциуми със страни пълноправни членки на ЕКА, ако участието им не надвишава 20% от общо поисканият бюджет за изпълнение на проекта. Тази рестрикция не се отнася към доставяне или закупуване на оборудване;</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u w:val="single"/>
        </w:rPr>
        <w:t>Видове дейности, към които се отнася процедурата</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свързани с летателният сегмент</w:t>
      </w:r>
      <w:r w:rsidRPr="00F75DDE">
        <w:rPr>
          <w:rFonts w:cs="Times New Roman"/>
          <w:color w:val="000000"/>
          <w:sz w:val="24"/>
          <w:szCs w:val="24"/>
        </w:rPr>
        <w:t xml:space="preserve"> с потенциал за повторна употреба в мисиите на ЕКА; </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научноизследователска и развойна дейност</w:t>
      </w:r>
      <w:r w:rsidRPr="00F75DDE">
        <w:rPr>
          <w:rFonts w:cs="Times New Roman"/>
          <w:color w:val="000000"/>
          <w:sz w:val="24"/>
          <w:szCs w:val="24"/>
        </w:rPr>
        <w:t xml:space="preserve"> (включително технологични демонстрации, разработване на промишлени процеси, квалификация / сертифициране на процеси), водещи до продукти или генерични технологии с потенциал за повторна употреба;</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Космически приложения</w:t>
      </w:r>
      <w:r w:rsidRPr="00F75DDE">
        <w:rPr>
          <w:rFonts w:cs="Times New Roman"/>
          <w:color w:val="000000"/>
          <w:sz w:val="24"/>
          <w:szCs w:val="24"/>
        </w:rPr>
        <w:t xml:space="preserve"> – продукти и услуги отнасящи се към съществуващата европейска космическа инфраструктура/ инфраструктурата на ЕКА</w:t>
      </w:r>
      <w:r w:rsidR="00F75DDE" w:rsidRPr="00F75DDE">
        <w:rPr>
          <w:rFonts w:cs="Times New Roman"/>
          <w:color w:val="000000"/>
          <w:sz w:val="24"/>
          <w:szCs w:val="24"/>
        </w:rPr>
        <w:t>;</w:t>
      </w:r>
    </w:p>
    <w:p w:rsid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 xml:space="preserve">Подготвителни дейности </w:t>
      </w:r>
      <w:r w:rsidRPr="00F75DDE">
        <w:rPr>
          <w:rFonts w:cs="Times New Roman"/>
          <w:color w:val="000000"/>
          <w:sz w:val="24"/>
          <w:szCs w:val="24"/>
        </w:rPr>
        <w:t>свързани с проучване на пазара, изисквания на потребителите и др., които да насърчават националната конкурентоспособност отнасяща се към програмите на ЕКА, или дейности към които България би могла да има ин</w:t>
      </w:r>
      <w:r w:rsidR="00F75DDE" w:rsidRPr="00F75DDE">
        <w:rPr>
          <w:rFonts w:cs="Times New Roman"/>
          <w:color w:val="000000"/>
          <w:sz w:val="24"/>
          <w:szCs w:val="24"/>
        </w:rPr>
        <w:t>терес да се включи за в бъдеще;</w:t>
      </w:r>
    </w:p>
    <w:p w:rsidR="00C05B0A" w:rsidRPr="00F75DDE" w:rsidRDefault="00C05B0A" w:rsidP="00B67654">
      <w:pPr>
        <w:pStyle w:val="ListParagraph"/>
        <w:numPr>
          <w:ilvl w:val="0"/>
          <w:numId w:val="16"/>
        </w:numPr>
        <w:autoSpaceDE w:val="0"/>
        <w:autoSpaceDN w:val="0"/>
        <w:adjustRightInd w:val="0"/>
        <w:spacing w:before="120" w:after="120"/>
        <w:rPr>
          <w:rFonts w:cs="Times New Roman"/>
          <w:color w:val="000000"/>
          <w:sz w:val="24"/>
          <w:szCs w:val="24"/>
        </w:rPr>
      </w:pPr>
      <w:r w:rsidRPr="00F75DDE">
        <w:rPr>
          <w:rFonts w:cs="Times New Roman"/>
          <w:bCs/>
          <w:color w:val="000000"/>
          <w:sz w:val="24"/>
          <w:szCs w:val="24"/>
        </w:rPr>
        <w:t>Дейности за осведомяване и образование</w:t>
      </w:r>
      <w:r w:rsidRPr="00F75DDE">
        <w:rPr>
          <w:rFonts w:cs="Times New Roman"/>
          <w:color w:val="000000"/>
          <w:sz w:val="24"/>
          <w:szCs w:val="24"/>
        </w:rPr>
        <w:t>, които да повишат осведомеността относно космическите технологии и практическото им приложение (включително демонстрационни дейности в институциите за средно образование и научните центрове); да се увеличи мотивацията на младите хора да изберат космическо образование и космическа индустрията като сфера на професионална реализация.</w:t>
      </w:r>
    </w:p>
    <w:p w:rsidR="00C05B0A" w:rsidRDefault="00C05B0A" w:rsidP="00C05B0A">
      <w:pPr>
        <w:autoSpaceDE w:val="0"/>
        <w:autoSpaceDN w:val="0"/>
        <w:adjustRightInd w:val="0"/>
        <w:spacing w:before="120" w:after="120"/>
        <w:rPr>
          <w:rFonts w:cs="Times New Roman"/>
          <w:color w:val="000000"/>
          <w:sz w:val="24"/>
          <w:szCs w:val="24"/>
        </w:rPr>
      </w:pPr>
      <w:r w:rsidRPr="00C05B0A">
        <w:rPr>
          <w:rFonts w:cs="Times New Roman"/>
          <w:color w:val="000000"/>
          <w:sz w:val="24"/>
          <w:szCs w:val="24"/>
        </w:rPr>
        <w:t>В зависимост от категориите дейности, както и технологичната готовност на проектите те могат да бъдат финансирани след оценка от ЕКА в рамките на</w:t>
      </w:r>
      <w:r w:rsidR="00F75DDE">
        <w:rPr>
          <w:rFonts w:cs="Times New Roman"/>
          <w:color w:val="000000"/>
          <w:sz w:val="24"/>
          <w:szCs w:val="24"/>
        </w:rPr>
        <w:t xml:space="preserve"> </w:t>
      </w:r>
      <w:r w:rsidRPr="00F75DDE">
        <w:rPr>
          <w:rFonts w:cs="Times New Roman"/>
          <w:color w:val="000000"/>
          <w:sz w:val="24"/>
          <w:szCs w:val="24"/>
        </w:rPr>
        <w:t>50 000 до 400 000 евро.</w:t>
      </w:r>
      <w:r w:rsidRPr="00C05B0A">
        <w:rPr>
          <w:rFonts w:cs="Times New Roman"/>
          <w:color w:val="000000"/>
          <w:sz w:val="24"/>
          <w:szCs w:val="24"/>
          <w:u w:val="single"/>
        </w:rPr>
        <w:t xml:space="preserve"> </w:t>
      </w:r>
      <w:r w:rsidRPr="00C05B0A">
        <w:rPr>
          <w:rFonts w:cs="Times New Roman"/>
          <w:color w:val="000000"/>
          <w:sz w:val="24"/>
          <w:szCs w:val="24"/>
        </w:rPr>
        <w:t>Сред критериите за оценка най-голяма тежест има тази за ясно определяне на техническите цели и ясно дефиниране на работните задачи, качество и опит на персонал и др. Освен това, критериите включват и оценки на проекта спрямо отношението му към бъдещо приложение в програмите на ЕКА и дългосрочна полза за България; адекватност на управленския подход и достоверност на оценката на разходите и предложения график,</w:t>
      </w:r>
      <w:r w:rsidR="00832D8F">
        <w:rPr>
          <w:rFonts w:cs="Times New Roman"/>
          <w:color w:val="000000"/>
          <w:sz w:val="24"/>
          <w:szCs w:val="24"/>
        </w:rPr>
        <w:t xml:space="preserve"> </w:t>
      </w:r>
      <w:r w:rsidRPr="00C05B0A">
        <w:rPr>
          <w:rFonts w:cs="Times New Roman"/>
          <w:color w:val="000000"/>
          <w:sz w:val="24"/>
          <w:szCs w:val="24"/>
        </w:rPr>
        <w:t xml:space="preserve">както и съответствие с условията на административния търг. </w:t>
      </w:r>
    </w:p>
    <w:p w:rsidR="00832D8F" w:rsidRPr="00832D8F" w:rsidRDefault="00832D8F" w:rsidP="00832D8F">
      <w:pPr>
        <w:autoSpaceDE w:val="0"/>
        <w:autoSpaceDN w:val="0"/>
        <w:adjustRightInd w:val="0"/>
        <w:spacing w:before="120" w:after="120"/>
        <w:rPr>
          <w:rFonts w:cs="Times New Roman"/>
          <w:color w:val="000000"/>
          <w:sz w:val="24"/>
          <w:szCs w:val="24"/>
          <w:lang w:val="ru-RU"/>
        </w:rPr>
      </w:pPr>
      <w:r w:rsidRPr="00C05B0A">
        <w:rPr>
          <w:rFonts w:cs="Times New Roman"/>
          <w:color w:val="000000"/>
          <w:sz w:val="24"/>
          <w:szCs w:val="24"/>
        </w:rPr>
        <w:t>Проектните предложения се подават в електронен формат на страницата на Европейската космическа агенция (</w:t>
      </w:r>
      <w:r w:rsidRPr="00C05B0A">
        <w:rPr>
          <w:rFonts w:cs="Times New Roman"/>
          <w:bCs/>
          <w:color w:val="000000"/>
          <w:sz w:val="24"/>
          <w:szCs w:val="24"/>
        </w:rPr>
        <w:t xml:space="preserve">EMITS - </w:t>
      </w:r>
      <w:hyperlink r:id="rId45" w:tgtFrame="_blank" w:history="1">
        <w:r w:rsidRPr="00C05B0A">
          <w:rPr>
            <w:rStyle w:val="Hyperlink"/>
            <w:rFonts w:cs="Times New Roman"/>
            <w:bCs/>
            <w:sz w:val="24"/>
            <w:szCs w:val="24"/>
          </w:rPr>
          <w:t>http://emits.sso.esa.int/emits/owa/emits.main</w:t>
        </w:r>
      </w:hyperlink>
      <w:r w:rsidRPr="00832D8F">
        <w:rPr>
          <w:rFonts w:cs="Times New Roman"/>
          <w:color w:val="000000"/>
          <w:sz w:val="24"/>
          <w:szCs w:val="24"/>
          <w:lang w:val="ru-RU"/>
        </w:rPr>
        <w:t>)</w:t>
      </w:r>
    </w:p>
    <w:p w:rsidR="00C05B0A" w:rsidRPr="00C05B0A" w:rsidRDefault="00C05B0A" w:rsidP="00C05B0A">
      <w:pPr>
        <w:autoSpaceDE w:val="0"/>
        <w:autoSpaceDN w:val="0"/>
        <w:adjustRightInd w:val="0"/>
        <w:spacing w:before="120" w:after="120"/>
        <w:rPr>
          <w:rFonts w:cs="Times New Roman"/>
          <w:color w:val="000000"/>
          <w:sz w:val="24"/>
          <w:szCs w:val="24"/>
        </w:rPr>
      </w:pPr>
      <w:r w:rsidRPr="00C05B0A">
        <w:rPr>
          <w:rFonts w:cs="Times New Roman"/>
          <w:bCs/>
          <w:color w:val="000000"/>
          <w:sz w:val="24"/>
          <w:szCs w:val="24"/>
        </w:rPr>
        <w:t xml:space="preserve">Повече информация относно участието на България по Плана за европейска кооперираща държава, може да получите от дирекция “Икономическа политика“, Министерство на икономиката или на е-mail: </w:t>
      </w:r>
      <w:hyperlink r:id="rId46" w:history="1">
        <w:r w:rsidRPr="00C05B0A">
          <w:rPr>
            <w:rStyle w:val="Hyperlink"/>
            <w:rFonts w:cs="Times New Roman"/>
            <w:bCs/>
            <w:sz w:val="24"/>
            <w:szCs w:val="24"/>
          </w:rPr>
          <w:t>p.piperkova@mi.government.bg</w:t>
        </w:r>
      </w:hyperlink>
    </w:p>
    <w:p w:rsidR="00C05B0A" w:rsidRPr="00C05B0A" w:rsidRDefault="00C05B0A" w:rsidP="00C05B0A">
      <w:pPr>
        <w:autoSpaceDE w:val="0"/>
        <w:autoSpaceDN w:val="0"/>
        <w:adjustRightInd w:val="0"/>
        <w:spacing w:before="120" w:after="480"/>
        <w:rPr>
          <w:rFonts w:cs="Times New Roman"/>
          <w:b/>
          <w:color w:val="000000"/>
          <w:sz w:val="24"/>
          <w:szCs w:val="24"/>
        </w:rPr>
      </w:pPr>
      <w:r>
        <w:rPr>
          <w:rFonts w:cs="Times New Roman"/>
          <w:b/>
          <w:color w:val="000000"/>
          <w:sz w:val="24"/>
          <w:szCs w:val="24"/>
        </w:rPr>
        <w:t xml:space="preserve">Краен срок: </w:t>
      </w:r>
      <w:r w:rsidRPr="00C05B0A">
        <w:rPr>
          <w:rFonts w:cs="Times New Roman"/>
          <w:b/>
          <w:color w:val="000000"/>
          <w:sz w:val="24"/>
          <w:szCs w:val="24"/>
        </w:rPr>
        <w:t xml:space="preserve">27.03.2019 г. (13:00 часа </w:t>
      </w:r>
      <w:r w:rsidRPr="00F75DDE">
        <w:rPr>
          <w:rFonts w:cs="Times New Roman"/>
          <w:b/>
          <w:iCs/>
          <w:color w:val="000000"/>
          <w:sz w:val="24"/>
          <w:szCs w:val="24"/>
        </w:rPr>
        <w:t>централно европейско време).</w:t>
      </w:r>
    </w:p>
    <w:p w:rsidR="00476F9B" w:rsidRPr="0006717A" w:rsidRDefault="00476F9B" w:rsidP="00476F9B">
      <w:pPr>
        <w:pStyle w:val="Heading2"/>
        <w:ind w:left="426"/>
        <w:rPr>
          <w:rFonts w:eastAsia="Times New Roman"/>
          <w:lang w:eastAsia="bg-BG"/>
        </w:rPr>
      </w:pPr>
      <w:bookmarkStart w:id="26" w:name="_Toc503363226"/>
      <w:bookmarkStart w:id="27" w:name="_Toc535323848"/>
      <w:r w:rsidRPr="0006717A">
        <w:rPr>
          <w:rFonts w:eastAsia="Times New Roman"/>
          <w:lang w:eastAsia="bg-BG"/>
        </w:rPr>
        <w:t>Подкрепа на международни научни форуми, провеждани в Република България</w:t>
      </w:r>
      <w:bookmarkEnd w:id="26"/>
      <w:bookmarkEnd w:id="27"/>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7"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B67654">
      <w:pPr>
        <w:pStyle w:val="ListParagraph"/>
        <w:numPr>
          <w:ilvl w:val="0"/>
          <w:numId w:val="17"/>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B67654">
      <w:pPr>
        <w:pStyle w:val="ListParagraph"/>
        <w:numPr>
          <w:ilvl w:val="0"/>
          <w:numId w:val="17"/>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48"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1803A0" w:rsidRPr="00A063F2" w:rsidRDefault="001803A0" w:rsidP="00A063F2">
      <w:pPr>
        <w:pStyle w:val="Heading2"/>
        <w:ind w:left="426"/>
        <w:rPr>
          <w:rFonts w:eastAsia="Times New Roman"/>
          <w:lang w:val="en-US" w:eastAsia="bg-BG"/>
        </w:rPr>
      </w:pPr>
      <w:bookmarkStart w:id="28" w:name="_Toc535323849"/>
      <w:r w:rsidRPr="00A063F2">
        <w:rPr>
          <w:rFonts w:eastAsia="Times New Roman"/>
          <w:lang w:val="en-US" w:eastAsia="bg-BG"/>
        </w:rPr>
        <w:t>Call for COST Action proposals</w:t>
      </w:r>
      <w:bookmarkEnd w:id="28"/>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Participants are invited to submit COST Action proposals contributing to the scientific, technological, economic, cultural or societal knowledge advancement and development of Europe. Multi- and interdisciplinary proposals are encouraged.</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Participants planning to submit a proposal for a COST Action will need to refer to the </w:t>
      </w:r>
      <w:hyperlink r:id="rId49" w:history="1">
        <w:r w:rsidRPr="001803A0">
          <w:rPr>
            <w:rStyle w:val="Hyperlink"/>
            <w:rFonts w:eastAsia="Times New Roman" w:cs="Times New Roman"/>
            <w:sz w:val="24"/>
            <w:szCs w:val="24"/>
            <w:lang w:val="en-US" w:eastAsia="bg-BG"/>
          </w:rPr>
          <w:t>SESA guidelines</w:t>
        </w:r>
      </w:hyperlink>
      <w:r w:rsidRPr="001803A0">
        <w:rPr>
          <w:rFonts w:eastAsia="Times New Roman" w:cs="Times New Roman"/>
          <w:color w:val="000000"/>
          <w:sz w:val="24"/>
          <w:szCs w:val="24"/>
          <w:lang w:val="en-US" w:eastAsia="bg-BG"/>
        </w:rPr>
        <w: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For any questions related to the open call and how to get funding, please contact </w:t>
      </w:r>
      <w:r w:rsidRPr="001803A0">
        <w:rPr>
          <w:rFonts w:eastAsia="Times New Roman" w:cs="Times New Roman"/>
          <w:bCs/>
          <w:color w:val="000000"/>
          <w:sz w:val="24"/>
          <w:szCs w:val="24"/>
          <w:lang w:val="en-US" w:eastAsia="bg-BG"/>
        </w:rPr>
        <w:t> </w:t>
      </w:r>
      <w:hyperlink r:id="rId50" w:history="1">
        <w:r w:rsidRPr="001803A0">
          <w:rPr>
            <w:rStyle w:val="Hyperlink"/>
            <w:rFonts w:eastAsia="Times New Roman" w:cs="Times New Roman"/>
            <w:bCs/>
            <w:sz w:val="24"/>
            <w:szCs w:val="24"/>
            <w:lang w:val="en-US" w:eastAsia="bg-BG"/>
          </w:rPr>
          <w:t>opencall@cost.eu</w:t>
        </w:r>
      </w:hyperlink>
    </w:p>
    <w:p w:rsidR="001803A0" w:rsidRPr="001803A0" w:rsidRDefault="001803A0" w:rsidP="000203E1">
      <w:pPr>
        <w:shd w:val="clear" w:color="auto" w:fill="FFFFFF"/>
        <w:spacing w:before="120" w:after="480"/>
        <w:rPr>
          <w:rFonts w:eastAsia="Times New Roman" w:cs="Times New Roman"/>
          <w:color w:val="000000"/>
          <w:sz w:val="24"/>
          <w:szCs w:val="24"/>
          <w:lang w:val="en-US" w:eastAsia="bg-BG"/>
        </w:rPr>
      </w:pPr>
      <w:r w:rsidRPr="00CD22CE">
        <w:rPr>
          <w:rFonts w:eastAsia="Times New Roman" w:cs="Times New Roman"/>
          <w:b/>
          <w:color w:val="000000"/>
          <w:sz w:val="24"/>
          <w:szCs w:val="24"/>
          <w:lang w:val="en-US" w:eastAsia="bg-BG"/>
        </w:rPr>
        <w:t>Deadline</w:t>
      </w:r>
      <w:r w:rsidR="00CD22CE" w:rsidRPr="00CD22CE">
        <w:rPr>
          <w:rFonts w:eastAsia="Times New Roman" w:cs="Times New Roman"/>
          <w:b/>
          <w:color w:val="000000"/>
          <w:sz w:val="24"/>
          <w:szCs w:val="24"/>
          <w:lang w:val="en-US" w:eastAsia="bg-BG"/>
        </w:rPr>
        <w:t xml:space="preserve"> </w:t>
      </w:r>
      <w:r w:rsidRPr="00CD22CE">
        <w:rPr>
          <w:rFonts w:eastAsia="Times New Roman" w:cs="Times New Roman"/>
          <w:b/>
          <w:color w:val="000000"/>
          <w:sz w:val="24"/>
          <w:szCs w:val="24"/>
          <w:lang w:val="en-US" w:eastAsia="bg-BG"/>
        </w:rPr>
        <w:t>for proposal collection:</w:t>
      </w:r>
      <w:r w:rsidRPr="001803A0">
        <w:rPr>
          <w:rFonts w:eastAsia="Times New Roman" w:cs="Times New Roman"/>
          <w:color w:val="000000"/>
          <w:sz w:val="24"/>
          <w:szCs w:val="24"/>
          <w:lang w:val="en-US" w:eastAsia="bg-BG"/>
        </w:rPr>
        <w:t xml:space="preserve"> </w:t>
      </w:r>
      <w:r w:rsidRPr="001803A0">
        <w:rPr>
          <w:rFonts w:eastAsia="Times New Roman" w:cs="Times New Roman"/>
          <w:b/>
          <w:bCs/>
          <w:color w:val="000000"/>
          <w:sz w:val="24"/>
          <w:szCs w:val="24"/>
          <w:lang w:val="en-US" w:eastAsia="bg-BG"/>
        </w:rPr>
        <w:t>5 September 2019 at 12:00 noon (CET)</w:t>
      </w:r>
    </w:p>
    <w:p w:rsidR="00476F9B" w:rsidRPr="00AB0EFA" w:rsidRDefault="00476F9B" w:rsidP="00476F9B">
      <w:pPr>
        <w:pStyle w:val="Heading2"/>
        <w:ind w:left="426"/>
        <w:rPr>
          <w:rFonts w:eastAsia="Times New Roman"/>
          <w:lang w:eastAsia="bg-BG"/>
        </w:rPr>
      </w:pPr>
      <w:bookmarkStart w:id="29" w:name="_Toc503363227"/>
      <w:bookmarkStart w:id="30" w:name="_Toc535323850"/>
      <w:r w:rsidRPr="00AB0EFA">
        <w:rPr>
          <w:rFonts w:eastAsia="Times New Roman"/>
          <w:lang w:eastAsia="bg-BG"/>
        </w:rPr>
        <w:t>Национално съфинансиране за участие на български колективи в утвърдени проекти по COST</w:t>
      </w:r>
      <w:bookmarkEnd w:id="29"/>
      <w:bookmarkEnd w:id="30"/>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235C47" w:rsidP="00476F9B">
      <w:pPr>
        <w:rPr>
          <w:rFonts w:cs="Times New Roman"/>
          <w:color w:val="000000"/>
          <w:sz w:val="24"/>
          <w:szCs w:val="24"/>
        </w:rPr>
      </w:pPr>
      <w:hyperlink r:id="rId51"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52" w:history="1">
        <w:r w:rsidRPr="00E1455C">
          <w:rPr>
            <w:rFonts w:eastAsia="Calibri" w:cs="Times New Roman"/>
            <w:color w:val="0000FF" w:themeColor="hyperlink"/>
            <w:sz w:val="24"/>
            <w:szCs w:val="24"/>
            <w:u w:val="single"/>
            <w:lang w:eastAsia="bg-BG"/>
          </w:rPr>
          <w:t>fni-konkursi@mon.bg</w:t>
        </w:r>
      </w:hyperlink>
    </w:p>
    <w:p w:rsidR="00476F9B" w:rsidRDefault="00476F9B" w:rsidP="001B0974">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235C47" w:rsidP="001B0974">
      <w:pPr>
        <w:spacing w:after="360"/>
        <w:rPr>
          <w:b/>
          <w:color w:val="0000FF" w:themeColor="hyperlink"/>
          <w:sz w:val="24"/>
          <w:szCs w:val="24"/>
          <w:u w:val="single"/>
        </w:rPr>
      </w:pPr>
      <w:hyperlink r:id="rId53" w:history="1">
        <w:bookmarkStart w:id="31" w:name="_Toc428806822"/>
        <w:r w:rsidR="002E339B" w:rsidRPr="00476F9B">
          <w:rPr>
            <w:b/>
            <w:color w:val="0000FF" w:themeColor="hyperlink"/>
            <w:sz w:val="24"/>
            <w:szCs w:val="24"/>
            <w:u w:val="single"/>
            <w:lang w:val="en-US"/>
          </w:rPr>
          <w:t>R&amp;D Calls HORIZON 2020</w:t>
        </w:r>
        <w:bookmarkEnd w:id="31"/>
      </w:hyperlink>
    </w:p>
    <w:p w:rsidR="004B75C6" w:rsidRPr="00F12A88" w:rsidRDefault="004B75C6" w:rsidP="004B75C6">
      <w:pPr>
        <w:pStyle w:val="Heading2"/>
        <w:ind w:left="426"/>
      </w:pPr>
      <w:bookmarkStart w:id="32" w:name="_Toc535323851"/>
      <w:r w:rsidRPr="00F12A88">
        <w:t>Конкурс за научни изследвания на Кралската академия на Белгия</w:t>
      </w:r>
      <w:bookmarkEnd w:id="32"/>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Кралската академия на Белгия за науки организира ежегоден конкурс, с цел стимулиране на висококачествени научни изследвания, свързани с проблемите на отвъдморските региони.</w:t>
      </w:r>
    </w:p>
    <w:p w:rsidR="004B75C6" w:rsidRPr="00F12A88" w:rsidRDefault="004B75C6" w:rsidP="004B75C6">
      <w:pPr>
        <w:autoSpaceDE w:val="0"/>
        <w:autoSpaceDN w:val="0"/>
        <w:adjustRightInd w:val="0"/>
        <w:spacing w:before="120" w:after="120"/>
        <w:rPr>
          <w:rFonts w:cs="Times New Roman"/>
          <w:bCs/>
          <w:color w:val="000000"/>
          <w:sz w:val="24"/>
          <w:szCs w:val="24"/>
        </w:rPr>
      </w:pPr>
      <w:r w:rsidRPr="00F12A88">
        <w:rPr>
          <w:rFonts w:cs="Times New Roman"/>
          <w:bCs/>
          <w:color w:val="000000"/>
          <w:sz w:val="24"/>
          <w:szCs w:val="24"/>
        </w:rPr>
        <w:t>За участие в конкурса е необходимо да бъде представен оригинален и скорошен (максимум петгодишен) научен ръкопис по определените теми.</w:t>
      </w:r>
    </w:p>
    <w:p w:rsidR="004B75C6" w:rsidRPr="00F12A88" w:rsidRDefault="004B75C6" w:rsidP="004B75C6">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 xml:space="preserve">Темите на конкурса през 2019 г. са свързани с проучване на устойчивостта на местните традиции в съвременния глобален свят; проучване </w:t>
      </w:r>
      <w:r>
        <w:rPr>
          <w:rFonts w:cs="Times New Roman"/>
          <w:bCs/>
          <w:color w:val="000000"/>
          <w:sz w:val="24"/>
          <w:szCs w:val="24"/>
        </w:rPr>
        <w:t xml:space="preserve">на </w:t>
      </w:r>
      <w:r w:rsidRPr="00F12A88">
        <w:rPr>
          <w:rFonts w:cs="Times New Roman"/>
          <w:bCs/>
          <w:color w:val="000000"/>
          <w:sz w:val="24"/>
          <w:szCs w:val="24"/>
        </w:rPr>
        <w:t>въздействието на урбанизацията, селскостопанското стопанство и/или индустриалното развитие върху природните екосистеми и биоразнообразието в тропическите страни и проучване относно техническото, научното или икономическото въздействие на развиващите се страни върху събирането и рециклирането на остатъци, съдържащи метали. Изследванията трябва да бъдат изпратени до секретариата на Академията преди 1 март 2019 г.</w:t>
      </w:r>
    </w:p>
    <w:p w:rsidR="004B75C6" w:rsidRPr="00F12A88" w:rsidRDefault="004B75C6" w:rsidP="001B0974">
      <w:pPr>
        <w:autoSpaceDE w:val="0"/>
        <w:autoSpaceDN w:val="0"/>
        <w:adjustRightInd w:val="0"/>
        <w:spacing w:after="120"/>
        <w:rPr>
          <w:rFonts w:cs="Times New Roman"/>
          <w:bCs/>
          <w:color w:val="000000"/>
          <w:sz w:val="24"/>
          <w:szCs w:val="24"/>
        </w:rPr>
      </w:pPr>
      <w:r w:rsidRPr="00F12A88">
        <w:rPr>
          <w:rFonts w:cs="Times New Roman"/>
          <w:bCs/>
          <w:color w:val="000000"/>
          <w:sz w:val="24"/>
          <w:szCs w:val="24"/>
        </w:rPr>
        <w:t>Темите на конкурса през 2020 г. са свързани с антропологично проучване свързано с трансформацията на половите връзки в настоящия контекст на икономическата промяна в отвъдморско пространство; проучване относно въздействието на изменението на климата в тропиците върху екосистемните услуги, като част от предоставянето, регулирането или подпомагането на услугите и проучване относно управлението на енергията, храните, водата и връзката им за постигане на целите за устойчиво развитие в развиващите се страни. Изследванията трябва да бъдат изпратени до секретариата на Академията преди 1 март 2020 г.</w:t>
      </w:r>
      <w:r w:rsidR="001B0974" w:rsidRPr="001B0974">
        <w:rPr>
          <w:rFonts w:cs="Times New Roman"/>
          <w:bCs/>
          <w:color w:val="000000"/>
          <w:sz w:val="24"/>
          <w:szCs w:val="24"/>
          <w:lang w:val="ru-RU"/>
        </w:rPr>
        <w:t xml:space="preserve"> </w:t>
      </w:r>
      <w:r w:rsidRPr="00F12A88">
        <w:rPr>
          <w:rFonts w:cs="Times New Roman"/>
          <w:bCs/>
          <w:color w:val="000000"/>
          <w:sz w:val="24"/>
          <w:szCs w:val="24"/>
        </w:rPr>
        <w:t xml:space="preserve">Повече информация може да бъде намерена на сайта на Кралската академия на Белгия за науки: </w:t>
      </w:r>
      <w:hyperlink r:id="rId54" w:tgtFrame="_blank" w:history="1">
        <w:r w:rsidRPr="00F12A88">
          <w:rPr>
            <w:rStyle w:val="Hyperlink"/>
            <w:rFonts w:cs="Times New Roman"/>
            <w:bCs/>
            <w:sz w:val="24"/>
            <w:szCs w:val="24"/>
          </w:rPr>
          <w:t>http://www.kaowarsom.be</w:t>
        </w:r>
      </w:hyperlink>
      <w:r w:rsidRPr="00F12A88">
        <w:rPr>
          <w:rFonts w:cs="Times New Roman"/>
          <w:bCs/>
          <w:color w:val="000000"/>
          <w:sz w:val="24"/>
          <w:szCs w:val="24"/>
        </w:rPr>
        <w:t>.</w:t>
      </w:r>
    </w:p>
    <w:p w:rsidR="004B75C6" w:rsidRPr="00F12A88" w:rsidRDefault="004B75C6" w:rsidP="004B75C6">
      <w:pPr>
        <w:autoSpaceDE w:val="0"/>
        <w:autoSpaceDN w:val="0"/>
        <w:adjustRightInd w:val="0"/>
        <w:spacing w:after="480"/>
        <w:rPr>
          <w:rFonts w:cs="Times New Roman"/>
          <w:bCs/>
          <w:color w:val="000000"/>
          <w:sz w:val="24"/>
          <w:szCs w:val="24"/>
        </w:rPr>
      </w:pPr>
      <w:r>
        <w:rPr>
          <w:rFonts w:cs="Times New Roman"/>
          <w:b/>
          <w:bCs/>
          <w:color w:val="000000"/>
          <w:sz w:val="24"/>
          <w:szCs w:val="24"/>
        </w:rPr>
        <w:t xml:space="preserve">Краен срок: </w:t>
      </w:r>
      <w:r w:rsidRPr="0051662A">
        <w:rPr>
          <w:rFonts w:cs="Times New Roman"/>
          <w:b/>
          <w:bCs/>
          <w:color w:val="000000"/>
          <w:sz w:val="24"/>
          <w:szCs w:val="24"/>
        </w:rPr>
        <w:t>1 март 2019 г</w:t>
      </w:r>
      <w:r>
        <w:rPr>
          <w:rFonts w:cs="Times New Roman"/>
          <w:b/>
          <w:bCs/>
          <w:color w:val="000000"/>
          <w:sz w:val="24"/>
          <w:szCs w:val="24"/>
        </w:rPr>
        <w:t>.</w:t>
      </w:r>
    </w:p>
    <w:p w:rsidR="002E339B" w:rsidRDefault="002E339B" w:rsidP="002E339B">
      <w:pPr>
        <w:pStyle w:val="Heading2"/>
        <w:ind w:left="357" w:hanging="357"/>
      </w:pPr>
      <w:bookmarkStart w:id="33" w:name="_Toc535323852"/>
      <w:r w:rsidRPr="0052108C">
        <w:t>Програма: „Америка за България”</w:t>
      </w:r>
      <w:bookmarkEnd w:id="33"/>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55"/>
          <w:pgSz w:w="11906" w:h="16838"/>
          <w:pgMar w:top="1417" w:right="1133" w:bottom="1417" w:left="1417" w:header="708" w:footer="708" w:gutter="0"/>
          <w:cols w:space="708"/>
          <w:docGrid w:linePitch="360"/>
        </w:sectPr>
      </w:pPr>
    </w:p>
    <w:p w:rsidR="00AC582E" w:rsidRPr="00544F92" w:rsidRDefault="00912146" w:rsidP="00510D99">
      <w:pPr>
        <w:pStyle w:val="Events"/>
      </w:pPr>
      <w:bookmarkStart w:id="34" w:name="_Toc535323853"/>
      <w:r>
        <w:t>СЪБИТИЯ</w:t>
      </w:r>
      <w:bookmarkEnd w:id="34"/>
    </w:p>
    <w:p w:rsidR="000D4EB0" w:rsidRPr="000D4EB0" w:rsidRDefault="000D4EB0" w:rsidP="000D4EB0">
      <w:pPr>
        <w:spacing w:after="240"/>
        <w:rPr>
          <w:rFonts w:cs="Times New Roman"/>
          <w:b/>
          <w:bCs/>
          <w:color w:val="E36C0A" w:themeColor="accent6" w:themeShade="BF"/>
          <w:sz w:val="24"/>
          <w:szCs w:val="24"/>
          <w:u w:val="single"/>
          <w:lang w:val="en"/>
        </w:rPr>
      </w:pPr>
      <w:r w:rsidRPr="000D4EB0">
        <w:rPr>
          <w:rFonts w:cs="Times New Roman"/>
          <w:b/>
          <w:bCs/>
          <w:color w:val="E36C0A" w:themeColor="accent6" w:themeShade="BF"/>
          <w:sz w:val="24"/>
          <w:szCs w:val="24"/>
          <w:u w:val="single"/>
          <w:lang w:val="en"/>
        </w:rPr>
        <w:t>European Societal Challenges: The Future of Human-Robot Interaction</w:t>
      </w:r>
      <w:r>
        <w:rPr>
          <w:rFonts w:cs="Times New Roman"/>
          <w:b/>
          <w:bCs/>
          <w:color w:val="E36C0A" w:themeColor="accent6" w:themeShade="BF"/>
          <w:sz w:val="24"/>
          <w:szCs w:val="24"/>
          <w:u w:val="single"/>
          <w:lang w:val="en"/>
        </w:rPr>
        <w:t xml:space="preserve">, </w:t>
      </w:r>
      <w:r w:rsidRPr="000D4EB0">
        <w:rPr>
          <w:rFonts w:cs="Times New Roman"/>
          <w:b/>
          <w:bCs/>
          <w:color w:val="E36C0A" w:themeColor="accent6" w:themeShade="BF"/>
          <w:sz w:val="24"/>
          <w:szCs w:val="24"/>
          <w:u w:val="single"/>
          <w:lang w:val="en"/>
        </w:rPr>
        <w:t>6 February 2019, Brussels, Belgium</w:t>
      </w:r>
    </w:p>
    <w:p w:rsidR="000D4EB0" w:rsidRPr="000D4EB0" w:rsidRDefault="000D4EB0" w:rsidP="00C84DAE">
      <w:pPr>
        <w:spacing w:after="120"/>
        <w:rPr>
          <w:rFonts w:cs="Times New Roman"/>
          <w:bCs/>
          <w:sz w:val="24"/>
          <w:szCs w:val="24"/>
          <w:lang w:val="en"/>
        </w:rPr>
      </w:pPr>
      <w:r w:rsidRPr="000D4EB0">
        <w:rPr>
          <w:rFonts w:cs="Times New Roman"/>
          <w:bCs/>
          <w:sz w:val="24"/>
          <w:szCs w:val="24"/>
          <w:lang w:val="en"/>
        </w:rPr>
        <w:t xml:space="preserve">White Rose Brussels will be holding a robotics event on 6 February 2019, at 15:30-18:30, followed by a networking reception at the European Parliament. </w:t>
      </w:r>
    </w:p>
    <w:p w:rsidR="000D4EB0" w:rsidRPr="000D4EB0" w:rsidRDefault="000D4EB0" w:rsidP="00C84DAE">
      <w:pPr>
        <w:spacing w:before="120" w:after="120"/>
        <w:rPr>
          <w:rFonts w:cs="Times New Roman"/>
          <w:bCs/>
          <w:sz w:val="24"/>
          <w:szCs w:val="24"/>
          <w:lang w:val="en"/>
        </w:rPr>
      </w:pPr>
      <w:r w:rsidRPr="000D4EB0">
        <w:rPr>
          <w:rFonts w:cs="Times New Roman"/>
          <w:bCs/>
          <w:sz w:val="24"/>
          <w:szCs w:val="24"/>
          <w:lang w:val="en"/>
        </w:rPr>
        <w:t xml:space="preserve">The Universities of Leeds, Sheffield and York (UK) will showcase their excellent research around the potential future of human and robot interaction. Drawing upon expertise from multiple disciplines, we will examine the exciting possibilities of rapid advances in autonomous technology. </w:t>
      </w:r>
    </w:p>
    <w:p w:rsidR="000D4EB0" w:rsidRPr="000D4EB0" w:rsidRDefault="000D4EB0" w:rsidP="00C84DAE">
      <w:pPr>
        <w:spacing w:before="120" w:after="120"/>
        <w:rPr>
          <w:rFonts w:cs="Times New Roman"/>
          <w:bCs/>
          <w:sz w:val="24"/>
          <w:szCs w:val="24"/>
          <w:lang w:val="en"/>
        </w:rPr>
      </w:pPr>
      <w:r w:rsidRPr="000D4EB0">
        <w:rPr>
          <w:rFonts w:cs="Times New Roman"/>
          <w:bCs/>
          <w:sz w:val="24"/>
          <w:szCs w:val="24"/>
          <w:lang w:val="en"/>
        </w:rPr>
        <w:t xml:space="preserve">Experts in the field will facilitate policy-relevant discussions about the need for a standardised, legal framework to ensure ethical, safe and appropriate deployment of robots and autonomous systems. </w:t>
      </w:r>
    </w:p>
    <w:p w:rsidR="000D4EB0" w:rsidRPr="00F63A6E" w:rsidRDefault="00235C47" w:rsidP="000D4EB0">
      <w:pPr>
        <w:spacing w:after="240"/>
        <w:rPr>
          <w:rFonts w:cs="Times New Roman"/>
          <w:bCs/>
          <w:color w:val="0070C0"/>
          <w:sz w:val="24"/>
          <w:szCs w:val="24"/>
          <w:u w:val="single"/>
          <w:lang w:val="en"/>
        </w:rPr>
      </w:pPr>
      <w:hyperlink r:id="rId56" w:tgtFrame="_blank" w:history="1">
        <w:r w:rsidR="000D4EB0" w:rsidRPr="00F63A6E">
          <w:rPr>
            <w:rStyle w:val="Hyperlink"/>
            <w:rFonts w:cs="Times New Roman"/>
            <w:bCs/>
            <w:color w:val="0070C0"/>
            <w:sz w:val="24"/>
            <w:szCs w:val="24"/>
            <w:lang w:val="en"/>
          </w:rPr>
          <w:t>More information and registration</w:t>
        </w:r>
      </w:hyperlink>
      <w:r w:rsidR="000D4EB0" w:rsidRPr="00F63A6E">
        <w:rPr>
          <w:rFonts w:cs="Times New Roman"/>
          <w:bCs/>
          <w:color w:val="0070C0"/>
          <w:sz w:val="24"/>
          <w:szCs w:val="24"/>
          <w:u w:val="single"/>
          <w:lang w:val="en"/>
        </w:rPr>
        <w:t xml:space="preserve"> </w:t>
      </w:r>
    </w:p>
    <w:p w:rsidR="00A532A9" w:rsidRPr="006F1F67" w:rsidRDefault="00A532A9" w:rsidP="00EB4446">
      <w:pPr>
        <w:spacing w:after="240"/>
        <w:rPr>
          <w:rFonts w:cs="Times New Roman"/>
          <w:b/>
          <w:bCs/>
          <w:color w:val="E36C0A" w:themeColor="accent6" w:themeShade="BF"/>
          <w:sz w:val="24"/>
          <w:szCs w:val="24"/>
          <w:u w:val="single"/>
          <w:lang w:val="en"/>
        </w:rPr>
      </w:pPr>
      <w:r w:rsidRPr="006F1F67">
        <w:rPr>
          <w:rFonts w:cs="Times New Roman"/>
          <w:b/>
          <w:bCs/>
          <w:color w:val="E36C0A" w:themeColor="accent6" w:themeShade="BF"/>
          <w:sz w:val="24"/>
          <w:szCs w:val="24"/>
          <w:u w:val="single"/>
          <w:lang w:val="en"/>
        </w:rPr>
        <w:t>3rd HBP Student Conference On Interdisciplinary Brain Research, 6</w:t>
      </w:r>
      <w:r w:rsidR="006F1F67">
        <w:rPr>
          <w:rFonts w:cs="Times New Roman"/>
          <w:b/>
          <w:bCs/>
          <w:color w:val="E36C0A" w:themeColor="accent6" w:themeShade="BF"/>
          <w:sz w:val="24"/>
          <w:szCs w:val="24"/>
          <w:u w:val="single"/>
          <w:lang w:val="en"/>
        </w:rPr>
        <w:t xml:space="preserve"> </w:t>
      </w:r>
      <w:r w:rsidRPr="006F1F67">
        <w:rPr>
          <w:rFonts w:cs="Times New Roman"/>
          <w:b/>
          <w:bCs/>
          <w:color w:val="E36C0A" w:themeColor="accent6" w:themeShade="BF"/>
          <w:sz w:val="24"/>
          <w:szCs w:val="24"/>
          <w:u w:val="single"/>
          <w:lang w:val="en"/>
        </w:rPr>
        <w:t>-</w:t>
      </w:r>
      <w:r w:rsidR="006F1F67">
        <w:rPr>
          <w:rFonts w:cs="Times New Roman"/>
          <w:b/>
          <w:bCs/>
          <w:color w:val="E36C0A" w:themeColor="accent6" w:themeShade="BF"/>
          <w:sz w:val="24"/>
          <w:szCs w:val="24"/>
          <w:u w:val="single"/>
          <w:lang w:val="en"/>
        </w:rPr>
        <w:t xml:space="preserve"> </w:t>
      </w:r>
      <w:r w:rsidRPr="006F1F67">
        <w:rPr>
          <w:rFonts w:cs="Times New Roman"/>
          <w:b/>
          <w:bCs/>
          <w:color w:val="E36C0A" w:themeColor="accent6" w:themeShade="BF"/>
          <w:sz w:val="24"/>
          <w:szCs w:val="24"/>
          <w:u w:val="single"/>
          <w:lang w:val="en"/>
        </w:rPr>
        <w:t>7 February 2019, Ghent, Belgium</w:t>
      </w:r>
    </w:p>
    <w:p w:rsidR="00A532A9" w:rsidRPr="00EB4446" w:rsidRDefault="00A532A9" w:rsidP="00EB4446">
      <w:pPr>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human brain is such a complex system that it can only be understood by combining knowledge and practices from multiple scientific fields.</w:t>
      </w:r>
    </w:p>
    <w:p w:rsidR="00A532A9" w:rsidRPr="00EB4446" w:rsidRDefault="00A532A9" w:rsidP="00EB4446">
      <w:pPr>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3rd HBP Student Conference provides an open forum for the exchange of new ideas among young researchers working across various aspects of science relevant to the Human Brain Project (HBP).</w:t>
      </w:r>
    </w:p>
    <w:p w:rsidR="00A532A9" w:rsidRPr="00EB4446" w:rsidRDefault="00A532A9" w:rsidP="00EB4446">
      <w:pPr>
        <w:tabs>
          <w:tab w:val="num" w:pos="720"/>
        </w:tabs>
        <w:spacing w:before="120" w:after="120"/>
        <w:rPr>
          <w:rFonts w:eastAsia="Times New Roman" w:cs="Times New Roman"/>
          <w:sz w:val="24"/>
          <w:szCs w:val="24"/>
          <w:lang w:val="en" w:eastAsia="bg-BG"/>
        </w:rPr>
      </w:pPr>
      <w:r w:rsidRPr="00EB4446">
        <w:rPr>
          <w:rFonts w:eastAsia="Times New Roman" w:cs="Times New Roman"/>
          <w:sz w:val="24"/>
          <w:szCs w:val="24"/>
          <w:lang w:val="en" w:eastAsia="bg-BG"/>
        </w:rPr>
        <w:t>The conference offers a space for extensive scientific dialogue, both intra- and interdisciplinary, among peers and faculty through a variety of discussion sessio</w:t>
      </w:r>
      <w:r w:rsidR="00EB4446">
        <w:rPr>
          <w:rFonts w:eastAsia="Times New Roman" w:cs="Times New Roman"/>
          <w:sz w:val="24"/>
          <w:szCs w:val="24"/>
          <w:lang w:val="en" w:eastAsia="bg-BG"/>
        </w:rPr>
        <w:t>ns, lectures and social events.</w:t>
      </w:r>
    </w:p>
    <w:p w:rsidR="003A5C64" w:rsidRDefault="00235C47" w:rsidP="00D27BCA">
      <w:pPr>
        <w:tabs>
          <w:tab w:val="num" w:pos="720"/>
        </w:tabs>
        <w:spacing w:before="120" w:after="240" w:line="240" w:lineRule="auto"/>
        <w:rPr>
          <w:rFonts w:eastAsia="Times New Roman" w:cs="Times New Roman"/>
          <w:color w:val="4D4D4D"/>
          <w:sz w:val="24"/>
          <w:szCs w:val="24"/>
          <w:lang w:val="en" w:eastAsia="bg-BG"/>
        </w:rPr>
      </w:pPr>
      <w:hyperlink r:id="rId57" w:tgtFrame="_blank" w:history="1">
        <w:r w:rsidR="00A532A9" w:rsidRPr="00A532A9">
          <w:rPr>
            <w:rStyle w:val="Hyperlink"/>
            <w:rFonts w:eastAsia="Times New Roman" w:cs="Times New Roman"/>
            <w:sz w:val="24"/>
            <w:szCs w:val="24"/>
            <w:lang w:val="en" w:eastAsia="bg-BG"/>
          </w:rPr>
          <w:t>More information and registration</w:t>
        </w:r>
      </w:hyperlink>
      <w:r w:rsidR="00A532A9" w:rsidRPr="00A532A9">
        <w:rPr>
          <w:rFonts w:eastAsia="Times New Roman" w:cs="Times New Roman"/>
          <w:color w:val="4D4D4D"/>
          <w:sz w:val="24"/>
          <w:szCs w:val="24"/>
          <w:lang w:val="en" w:eastAsia="bg-BG"/>
        </w:rPr>
        <w:t xml:space="preserve"> </w:t>
      </w:r>
    </w:p>
    <w:p w:rsidR="00AF4EFC" w:rsidRPr="00D27BCA" w:rsidRDefault="00AF4EFC" w:rsidP="00D27BCA">
      <w:pPr>
        <w:tabs>
          <w:tab w:val="num" w:pos="720"/>
        </w:tabs>
        <w:spacing w:before="240" w:after="100" w:afterAutospacing="1" w:line="240" w:lineRule="auto"/>
        <w:rPr>
          <w:rFonts w:eastAsia="Times New Roman" w:cs="Times New Roman"/>
          <w:b/>
          <w:color w:val="E36C0A" w:themeColor="accent6" w:themeShade="BF"/>
          <w:sz w:val="24"/>
          <w:szCs w:val="24"/>
          <w:u w:val="single"/>
          <w:lang w:eastAsia="bg-BG"/>
        </w:rPr>
      </w:pPr>
      <w:r w:rsidRPr="00D27BCA">
        <w:rPr>
          <w:rFonts w:eastAsia="Times New Roman" w:cs="Times New Roman"/>
          <w:b/>
          <w:bCs/>
          <w:color w:val="E36C0A" w:themeColor="accent6" w:themeShade="BF"/>
          <w:sz w:val="24"/>
          <w:szCs w:val="24"/>
          <w:u w:val="single"/>
          <w:lang w:eastAsia="bg-BG"/>
        </w:rPr>
        <w:t>Horizon 2020 Project Management and Finance</w:t>
      </w:r>
      <w:r w:rsidRPr="00D27BCA">
        <w:rPr>
          <w:rFonts w:eastAsia="Times New Roman" w:cs="Times New Roman"/>
          <w:b/>
          <w:bCs/>
          <w:color w:val="E36C0A" w:themeColor="accent6" w:themeShade="BF"/>
          <w:sz w:val="24"/>
          <w:szCs w:val="24"/>
          <w:u w:val="single"/>
          <w:lang w:val="en-US" w:eastAsia="bg-BG"/>
        </w:rPr>
        <w:t xml:space="preserve">, 7 – 8 February 2019, </w:t>
      </w:r>
      <w:r w:rsidRPr="00D27BCA">
        <w:rPr>
          <w:rFonts w:eastAsia="Times New Roman" w:cs="Times New Roman"/>
          <w:b/>
          <w:color w:val="E36C0A" w:themeColor="accent6" w:themeShade="BF"/>
          <w:sz w:val="24"/>
          <w:szCs w:val="24"/>
          <w:u w:val="single"/>
          <w:lang w:eastAsia="bg-BG"/>
        </w:rPr>
        <w:t>Austria</w:t>
      </w:r>
    </w:p>
    <w:p w:rsidR="00D27BCA" w:rsidRPr="004D75C6" w:rsidRDefault="00AF4EFC" w:rsidP="004D75C6">
      <w:p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This 2-day training course will introduce the first crucial steps for getting a Horizon 2020 project started on the right foot, provide practical tips to ensure a sound technical implementation of your project, and go into the issues of financial management and reporting.</w:t>
      </w:r>
      <w:r w:rsidR="00D27BCA" w:rsidRPr="004D75C6">
        <w:rPr>
          <w:rFonts w:eastAsia="Times New Roman" w:cs="Times New Roman"/>
          <w:sz w:val="24"/>
          <w:szCs w:val="24"/>
          <w:lang w:eastAsia="bg-BG"/>
        </w:rPr>
        <w:t xml:space="preserve"> </w:t>
      </w:r>
      <w:r w:rsidRPr="004D75C6">
        <w:rPr>
          <w:rFonts w:eastAsia="Times New Roman" w:cs="Times New Roman"/>
          <w:sz w:val="24"/>
          <w:szCs w:val="24"/>
          <w:lang w:eastAsia="bg-BG"/>
        </w:rPr>
        <w:t>Here are the typical challenges you need to tackle while implementing your Horizon 2020 project:</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Going through the Grant Agreement Preparation (GAP) process and meeting deadlines;</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Preparing an effective Consortium Agreement, handling IPR issues, and getting your project started on the right foot;</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Managing non-performing partners, creating a team from individual partners, dealing with conflicts, managing internal reports, submitting official reports to the EC;</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Keeping your books and records in order, administering your costs and time spent on the project accurately;</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Handling financial issues related to cost eligibility, budget transfers, and payment arrangements;</w:t>
      </w:r>
    </w:p>
    <w:p w:rsidR="00D27BCA" w:rsidRPr="004D75C6" w:rsidRDefault="00AF4EFC" w:rsidP="004D75C6">
      <w:pPr>
        <w:pStyle w:val="ListParagraph"/>
        <w:numPr>
          <w:ilvl w:val="0"/>
          <w:numId w:val="30"/>
        </w:numPr>
        <w:tabs>
          <w:tab w:val="num" w:pos="720"/>
        </w:tabs>
        <w:spacing w:before="120" w:after="100" w:afterAutospacing="1"/>
        <w:rPr>
          <w:rFonts w:eastAsia="Times New Roman" w:cs="Times New Roman"/>
          <w:sz w:val="24"/>
          <w:szCs w:val="24"/>
          <w:lang w:eastAsia="bg-BG"/>
        </w:rPr>
      </w:pPr>
      <w:r w:rsidRPr="004D75C6">
        <w:rPr>
          <w:rFonts w:eastAsia="Times New Roman" w:cs="Times New Roman"/>
          <w:sz w:val="24"/>
          <w:szCs w:val="24"/>
          <w:lang w:eastAsia="bg-BG"/>
        </w:rPr>
        <w:t>Conducting effective communication and PR internally, with the European Commission, the research community, the industry and the wider public.</w:t>
      </w:r>
    </w:p>
    <w:p w:rsidR="00AF4EFC" w:rsidRDefault="00AF4EFC" w:rsidP="004D75C6">
      <w:pPr>
        <w:tabs>
          <w:tab w:val="num" w:pos="720"/>
        </w:tabs>
        <w:spacing w:before="120" w:after="240"/>
        <w:rPr>
          <w:rFonts w:eastAsia="Times New Roman" w:cs="Times New Roman"/>
          <w:color w:val="4D4D4D"/>
          <w:sz w:val="24"/>
          <w:szCs w:val="24"/>
          <w:lang w:eastAsia="bg-BG"/>
        </w:rPr>
      </w:pPr>
      <w:r w:rsidRPr="00AF4EFC">
        <w:rPr>
          <w:rFonts w:eastAsia="Times New Roman" w:cs="Times New Roman"/>
          <w:color w:val="4D4D4D"/>
          <w:sz w:val="24"/>
          <w:szCs w:val="24"/>
          <w:lang w:eastAsia="bg-BG"/>
        </w:rPr>
        <w:t xml:space="preserve">Please find the agenda and more info here: </w:t>
      </w:r>
      <w:hyperlink r:id="rId58" w:history="1">
        <w:r w:rsidRPr="00AF4EFC">
          <w:rPr>
            <w:rStyle w:val="Hyperlink"/>
            <w:rFonts w:eastAsia="Times New Roman" w:cs="Times New Roman"/>
            <w:sz w:val="24"/>
            <w:szCs w:val="24"/>
            <w:lang w:eastAsia="bg-BG"/>
          </w:rPr>
          <w:t>https://www.eutrainingsite.com/training-courses/278/horizon-2020-project-management-and-finance</w:t>
        </w:r>
      </w:hyperlink>
    </w:p>
    <w:p w:rsidR="003F7B80" w:rsidRPr="004D75C6" w:rsidRDefault="003F7B80" w:rsidP="004D75C6">
      <w:pPr>
        <w:tabs>
          <w:tab w:val="num" w:pos="720"/>
        </w:tabs>
        <w:spacing w:before="240" w:after="100" w:afterAutospacing="1"/>
        <w:rPr>
          <w:rFonts w:eastAsia="Times New Roman" w:cs="Times New Roman"/>
          <w:b/>
          <w:bCs/>
          <w:color w:val="E36C0A" w:themeColor="accent6" w:themeShade="BF"/>
          <w:sz w:val="24"/>
          <w:szCs w:val="24"/>
          <w:u w:val="single"/>
          <w:lang w:val="en" w:eastAsia="bg-BG"/>
        </w:rPr>
      </w:pPr>
      <w:r w:rsidRPr="004D75C6">
        <w:rPr>
          <w:rFonts w:eastAsia="Times New Roman" w:cs="Times New Roman"/>
          <w:b/>
          <w:bCs/>
          <w:color w:val="E36C0A" w:themeColor="accent6" w:themeShade="BF"/>
          <w:sz w:val="24"/>
          <w:szCs w:val="24"/>
          <w:u w:val="single"/>
          <w:lang w:val="en" w:eastAsia="bg-BG"/>
        </w:rPr>
        <w:t>New developments in Industrial Biocatalysis, 14 February 2019, Frankfurt am Main, Germany</w:t>
      </w:r>
    </w:p>
    <w:p w:rsidR="003F7B80" w:rsidRPr="003F7B80" w:rsidRDefault="003F7B80" w:rsidP="00C84DAE">
      <w:pPr>
        <w:tabs>
          <w:tab w:val="num" w:pos="720"/>
        </w:tabs>
        <w:spacing w:before="120" w:after="120" w:line="240" w:lineRule="auto"/>
        <w:rPr>
          <w:rFonts w:eastAsia="Times New Roman" w:cs="Times New Roman"/>
          <w:color w:val="4D4D4D"/>
          <w:sz w:val="24"/>
          <w:szCs w:val="24"/>
          <w:lang w:val="en" w:eastAsia="bg-BG"/>
        </w:rPr>
      </w:pPr>
      <w:r w:rsidRPr="00C84DAE">
        <w:rPr>
          <w:rFonts w:eastAsia="Times New Roman" w:cs="Times New Roman"/>
          <w:sz w:val="24"/>
          <w:szCs w:val="24"/>
          <w:lang w:val="en" w:eastAsia="bg-BG"/>
        </w:rPr>
        <w:t>This workshop will explore the state of the art in industrial biocatalysis through the new technologies developed in the EU Horizon 2020 projects ROBOX and CARBAZYMES</w:t>
      </w:r>
    </w:p>
    <w:p w:rsidR="003F7B80" w:rsidRPr="003F7B80" w:rsidRDefault="003F7B80" w:rsidP="00C84DAE">
      <w:pPr>
        <w:tabs>
          <w:tab w:val="num" w:pos="720"/>
        </w:tabs>
        <w:spacing w:before="120" w:after="100" w:afterAutospacing="1" w:line="240" w:lineRule="auto"/>
        <w:rPr>
          <w:rFonts w:eastAsia="Times New Roman" w:cs="Times New Roman"/>
          <w:color w:val="4D4D4D"/>
          <w:sz w:val="24"/>
          <w:szCs w:val="24"/>
          <w:lang w:val="en" w:eastAsia="bg-BG"/>
        </w:rPr>
      </w:pPr>
      <w:r w:rsidRPr="003F7B80">
        <w:rPr>
          <w:rFonts w:eastAsia="Times New Roman" w:cs="Times New Roman"/>
          <w:b/>
          <w:bCs/>
          <w:color w:val="4D4D4D"/>
          <w:sz w:val="24"/>
          <w:szCs w:val="24"/>
          <w:lang w:val="en" w:eastAsia="bg-BG"/>
        </w:rPr>
        <w:t>Further information</w:t>
      </w:r>
      <w:r>
        <w:rPr>
          <w:rFonts w:eastAsia="Times New Roman" w:cs="Times New Roman"/>
          <w:b/>
          <w:bCs/>
          <w:color w:val="4D4D4D"/>
          <w:sz w:val="24"/>
          <w:szCs w:val="24"/>
          <w:lang w:val="en" w:eastAsia="bg-BG"/>
        </w:rPr>
        <w:t xml:space="preserve"> </w:t>
      </w:r>
      <w:hyperlink r:id="rId59" w:tgtFrame="_blank" w:history="1">
        <w:r w:rsidRPr="003F7B80">
          <w:rPr>
            <w:rStyle w:val="Hyperlink"/>
            <w:rFonts w:eastAsia="Times New Roman" w:cs="Times New Roman"/>
            <w:sz w:val="24"/>
            <w:szCs w:val="24"/>
            <w:lang w:val="en" w:eastAsia="bg-BG"/>
          </w:rPr>
          <w:t xml:space="preserve"> and registration</w:t>
        </w:r>
      </w:hyperlink>
      <w:r w:rsidRPr="003F7B80">
        <w:rPr>
          <w:rFonts w:eastAsia="Times New Roman" w:cs="Times New Roman"/>
          <w:color w:val="4D4D4D"/>
          <w:sz w:val="24"/>
          <w:szCs w:val="24"/>
          <w:lang w:val="en" w:eastAsia="bg-BG"/>
        </w:rPr>
        <w:t xml:space="preserve"> </w:t>
      </w:r>
    </w:p>
    <w:p w:rsidR="00502B11" w:rsidRPr="009E3BC5" w:rsidRDefault="00235C47" w:rsidP="00644F5B">
      <w:pPr>
        <w:rPr>
          <w:b/>
          <w:color w:val="E36C0A" w:themeColor="accent6" w:themeShade="BF"/>
          <w:sz w:val="24"/>
          <w:szCs w:val="24"/>
          <w:u w:val="single"/>
          <w:lang w:val="en-GB"/>
        </w:rPr>
      </w:pPr>
      <w:hyperlink r:id="rId60" w:history="1">
        <w:r w:rsidR="00502B11" w:rsidRPr="009E3BC5">
          <w:rPr>
            <w:rStyle w:val="Hyperlink"/>
            <w:rFonts w:cs="Times New Roman"/>
            <w:b/>
            <w:color w:val="E36C0A" w:themeColor="accent6" w:themeShade="BF"/>
            <w:sz w:val="24"/>
            <w:szCs w:val="24"/>
            <w:lang w:val="en-GB"/>
          </w:rPr>
          <w:t>2019 European Learning &amp; Teaching Forum</w:t>
        </w:r>
      </w:hyperlink>
      <w:r w:rsidR="00502B11" w:rsidRPr="009E3BC5">
        <w:rPr>
          <w:b/>
          <w:color w:val="E36C0A" w:themeColor="accent6" w:themeShade="BF"/>
          <w:sz w:val="24"/>
          <w:szCs w:val="24"/>
          <w:u w:val="single"/>
        </w:rPr>
        <w:t xml:space="preserve"> </w:t>
      </w:r>
      <w:r w:rsidR="00502B11" w:rsidRPr="009E3BC5">
        <w:rPr>
          <w:b/>
          <w:color w:val="E36C0A" w:themeColor="accent6" w:themeShade="BF"/>
          <w:sz w:val="24"/>
          <w:szCs w:val="24"/>
          <w:u w:val="single"/>
          <w:lang w:val="en-GB"/>
        </w:rPr>
        <w:t xml:space="preserve">Towards successful learning: Controversies and common ground, </w:t>
      </w:r>
      <w:r w:rsidR="00502B11" w:rsidRPr="009E3BC5">
        <w:rPr>
          <w:rStyle w:val="metadate2"/>
          <w:rFonts w:cs="Times New Roman"/>
          <w:b/>
          <w:caps/>
          <w:color w:val="E36C0A" w:themeColor="accent6" w:themeShade="BF"/>
          <w:sz w:val="24"/>
          <w:szCs w:val="24"/>
          <w:u w:val="single"/>
          <w:lang w:val="en-GB"/>
        </w:rPr>
        <w:t xml:space="preserve">14 - 15 </w:t>
      </w:r>
      <w:r w:rsidR="00502B11" w:rsidRPr="009E3BC5">
        <w:rPr>
          <w:rStyle w:val="metadate2"/>
          <w:rFonts w:cs="Times New Roman"/>
          <w:b/>
          <w:color w:val="E36C0A" w:themeColor="accent6" w:themeShade="BF"/>
          <w:sz w:val="24"/>
          <w:szCs w:val="24"/>
          <w:u w:val="single"/>
          <w:lang w:val="en-GB"/>
        </w:rPr>
        <w:t xml:space="preserve">February 2019, </w:t>
      </w:r>
      <w:r w:rsidR="00502B11" w:rsidRPr="009E3BC5">
        <w:rPr>
          <w:rStyle w:val="metalocation3"/>
          <w:rFonts w:cs="Times New Roman"/>
          <w:b/>
          <w:color w:val="E36C0A" w:themeColor="accent6" w:themeShade="BF"/>
          <w:sz w:val="24"/>
          <w:szCs w:val="24"/>
          <w:u w:val="single"/>
          <w:lang w:val="en-GB"/>
        </w:rPr>
        <w:t xml:space="preserve">Warsaw , Poland </w:t>
      </w:r>
    </w:p>
    <w:p w:rsidR="00502B11" w:rsidRPr="00502B11" w:rsidRDefault="00502B11" w:rsidP="00EB4446">
      <w:pPr>
        <w:spacing w:before="120" w:after="120"/>
        <w:rPr>
          <w:rFonts w:cs="Times New Roman"/>
          <w:sz w:val="24"/>
          <w:szCs w:val="24"/>
          <w:lang w:val="en-GB"/>
        </w:rPr>
      </w:pPr>
      <w:r w:rsidRPr="00502B11">
        <w:rPr>
          <w:rFonts w:cs="Times New Roman"/>
          <w:sz w:val="24"/>
          <w:szCs w:val="24"/>
          <w:lang w:val="en-GB"/>
        </w:rPr>
        <w:t>The 2019 European Learning &amp; Teaching Forum ‘Towards successful learning: Controversies and common ground’ builds on the recognition that there is no one-size-fits-all solution for successful learning and and teaching.</w:t>
      </w:r>
    </w:p>
    <w:p w:rsidR="00502B11" w:rsidRPr="00502B11" w:rsidRDefault="00502B11" w:rsidP="00502B11">
      <w:pPr>
        <w:spacing w:after="150" w:line="300" w:lineRule="atLeast"/>
        <w:rPr>
          <w:rFonts w:eastAsia="Times New Roman" w:cs="Times New Roman"/>
          <w:sz w:val="24"/>
          <w:szCs w:val="24"/>
          <w:lang w:val="en-GB" w:eastAsia="bg-BG"/>
        </w:rPr>
      </w:pPr>
      <w:r w:rsidRPr="00502B11">
        <w:rPr>
          <w:rFonts w:eastAsia="Times New Roman" w:cs="Times New Roman"/>
          <w:sz w:val="24"/>
          <w:szCs w:val="24"/>
          <w:lang w:val="en-GB" w:eastAsia="bg-BG"/>
        </w:rPr>
        <w:t>Through a mix of plenary and parallel sessions, the Forum seeks to explore controversies and find common ground on how to engage and empower students and teachers in developing their learning and teaching. More specifically, drawing on the work of the EUA thematic peer groups in 2018, participants will be invited to reflect on how to facilitate better learning in European universities through institutional promotion of active learning; support for teachers to develop their teaching skills and engage in exchange of experience; promotion of career progression in teaching; and rethinking how learning and teaching is evaluated.</w:t>
      </w:r>
    </w:p>
    <w:p w:rsidR="00502B11" w:rsidRDefault="00502B11" w:rsidP="00EB4446">
      <w:pPr>
        <w:spacing w:after="100" w:afterAutospacing="1" w:line="300" w:lineRule="atLeast"/>
        <w:rPr>
          <w:rFonts w:eastAsia="Times New Roman" w:cs="Times New Roman"/>
          <w:sz w:val="24"/>
          <w:szCs w:val="24"/>
          <w:lang w:val="en-GB" w:eastAsia="bg-BG"/>
        </w:rPr>
      </w:pPr>
      <w:r w:rsidRPr="00502B11">
        <w:rPr>
          <w:rFonts w:eastAsia="Times New Roman" w:cs="Times New Roman"/>
          <w:sz w:val="24"/>
          <w:szCs w:val="24"/>
          <w:lang w:val="en-GB" w:eastAsia="bg-BG"/>
        </w:rPr>
        <w:t>The 2019 Forum will be hosted by the University of Warsaw, Poland on 14-15 February 2019. Its primary target audience are vice-rectors for academic affairs, deans, programme directors, academic staff and researchers interested in learning and teaching. The Forum also welcomes the participation of students, policy-makers and other stakeholders in higher education.</w:t>
      </w:r>
    </w:p>
    <w:p w:rsidR="002A3530" w:rsidRPr="00921864" w:rsidRDefault="002A3530" w:rsidP="002A3530">
      <w:pPr>
        <w:spacing w:after="100" w:afterAutospacing="1" w:line="300" w:lineRule="atLeast"/>
        <w:rPr>
          <w:rFonts w:eastAsia="Times New Roman" w:cs="Times New Roman"/>
          <w:b/>
          <w:bCs/>
          <w:color w:val="E36C0A" w:themeColor="accent6" w:themeShade="BF"/>
          <w:sz w:val="24"/>
          <w:szCs w:val="24"/>
          <w:u w:val="single"/>
          <w:lang w:val="en" w:eastAsia="bg-BG"/>
        </w:rPr>
      </w:pPr>
      <w:r w:rsidRPr="00921864">
        <w:rPr>
          <w:rFonts w:eastAsia="Times New Roman" w:cs="Times New Roman"/>
          <w:b/>
          <w:bCs/>
          <w:color w:val="E36C0A" w:themeColor="accent6" w:themeShade="BF"/>
          <w:sz w:val="24"/>
          <w:szCs w:val="24"/>
          <w:u w:val="single"/>
          <w:lang w:val="en" w:eastAsia="bg-BG"/>
        </w:rPr>
        <w:t>Successful R&amp;I in Europe 2019 - 10th European Networking Event, 14-15 February 2019, Düsseldorf, Germany</w:t>
      </w:r>
    </w:p>
    <w:p w:rsidR="002A3530" w:rsidRPr="002A3530" w:rsidRDefault="002A3530" w:rsidP="002A3530">
      <w:p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 xml:space="preserve">For the tenth time, the conference invites researchers and entrepreneurs from North Rhine-Westphalia and regions in Europe to find new European research and innovation (R&amp;I) partners for Horizon 2020 projects. </w:t>
      </w:r>
    </w:p>
    <w:p w:rsidR="002A3530" w:rsidRPr="002A3530" w:rsidRDefault="002A3530" w:rsidP="002A3530">
      <w:p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 xml:space="preserve">The series of events has been a great success with over 2600 participants since 2009. The networking event will be structured in parallel workshops focussing on seven topics: </w:t>
      </w:r>
    </w:p>
    <w:p w:rsidR="002A3530" w:rsidRPr="002A3530" w:rsidRDefault="002A3530" w:rsidP="002A3530">
      <w:pPr>
        <w:numPr>
          <w:ilvl w:val="0"/>
          <w:numId w:val="36"/>
        </w:num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Information and Communication Technologies (ICT)</w:t>
      </w:r>
    </w:p>
    <w:p w:rsidR="002A3530" w:rsidRPr="002A3530" w:rsidRDefault="002A3530" w:rsidP="002A3530">
      <w:pPr>
        <w:numPr>
          <w:ilvl w:val="0"/>
          <w:numId w:val="36"/>
        </w:num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Nanotechnology, Materials and Manufacturing (NMM)</w:t>
      </w:r>
    </w:p>
    <w:p w:rsidR="002A3530" w:rsidRPr="002A3530" w:rsidRDefault="002A3530" w:rsidP="002A3530">
      <w:pPr>
        <w:numPr>
          <w:ilvl w:val="0"/>
          <w:numId w:val="36"/>
        </w:num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Energy</w:t>
      </w:r>
    </w:p>
    <w:p w:rsidR="002A3530" w:rsidRPr="002A3530" w:rsidRDefault="002A3530" w:rsidP="002A3530">
      <w:pPr>
        <w:numPr>
          <w:ilvl w:val="0"/>
          <w:numId w:val="36"/>
        </w:num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Circular Economy</w:t>
      </w:r>
    </w:p>
    <w:p w:rsidR="002A3530" w:rsidRPr="002A3530" w:rsidRDefault="002A3530" w:rsidP="002A3530">
      <w:pPr>
        <w:numPr>
          <w:ilvl w:val="0"/>
          <w:numId w:val="36"/>
        </w:num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Life Sciences</w:t>
      </w:r>
    </w:p>
    <w:p w:rsidR="002A3530" w:rsidRPr="002A3530" w:rsidRDefault="002A3530" w:rsidP="002A3530">
      <w:pPr>
        <w:numPr>
          <w:ilvl w:val="0"/>
          <w:numId w:val="36"/>
        </w:num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Transport</w:t>
      </w:r>
    </w:p>
    <w:p w:rsidR="002A3530" w:rsidRPr="002A3530" w:rsidRDefault="002A3530" w:rsidP="002A3530">
      <w:pPr>
        <w:numPr>
          <w:ilvl w:val="0"/>
          <w:numId w:val="36"/>
        </w:numPr>
        <w:spacing w:after="100" w:afterAutospacing="1"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Innovative Public Procurement (PCP/PPI)</w:t>
      </w:r>
    </w:p>
    <w:p w:rsidR="002A3530" w:rsidRPr="002A3530" w:rsidRDefault="002A3530" w:rsidP="00C84DAE">
      <w:pPr>
        <w:spacing w:after="120" w:line="300" w:lineRule="atLeast"/>
        <w:rPr>
          <w:rFonts w:eastAsia="Times New Roman" w:cs="Times New Roman"/>
          <w:sz w:val="24"/>
          <w:szCs w:val="24"/>
          <w:lang w:val="en" w:eastAsia="bg-BG"/>
        </w:rPr>
      </w:pPr>
      <w:r w:rsidRPr="002A3530">
        <w:rPr>
          <w:rFonts w:eastAsia="Times New Roman" w:cs="Times New Roman"/>
          <w:sz w:val="24"/>
          <w:szCs w:val="24"/>
          <w:lang w:val="en" w:eastAsia="bg-BG"/>
        </w:rPr>
        <w:t xml:space="preserve">Giving a short presentation (ideas and/or results) or finding a partner by talking to decision-makers opens doors for new research and innovation projects in Europe with a focus on Horizon 2020. </w:t>
      </w:r>
    </w:p>
    <w:p w:rsidR="002A3530" w:rsidRPr="002A3530" w:rsidRDefault="00235C47" w:rsidP="002A3530">
      <w:pPr>
        <w:spacing w:after="100" w:afterAutospacing="1" w:line="300" w:lineRule="atLeast"/>
        <w:rPr>
          <w:rFonts w:eastAsia="Times New Roman" w:cs="Times New Roman"/>
          <w:sz w:val="24"/>
          <w:szCs w:val="24"/>
          <w:lang w:val="en" w:eastAsia="bg-BG"/>
        </w:rPr>
      </w:pPr>
      <w:hyperlink r:id="rId61" w:tgtFrame="_blank" w:history="1">
        <w:r w:rsidR="002A3530" w:rsidRPr="002A3530">
          <w:rPr>
            <w:rStyle w:val="Hyperlink"/>
            <w:rFonts w:eastAsia="Times New Roman" w:cs="Times New Roman"/>
            <w:sz w:val="24"/>
            <w:szCs w:val="24"/>
            <w:lang w:val="en" w:eastAsia="bg-BG"/>
          </w:rPr>
          <w:t>More information and registration</w:t>
        </w:r>
      </w:hyperlink>
      <w:r w:rsidR="002A3530" w:rsidRPr="002A3530">
        <w:rPr>
          <w:rFonts w:eastAsia="Times New Roman" w:cs="Times New Roman"/>
          <w:sz w:val="24"/>
          <w:szCs w:val="24"/>
          <w:lang w:val="en" w:eastAsia="bg-BG"/>
        </w:rPr>
        <w:t xml:space="preserve"> </w:t>
      </w:r>
    </w:p>
    <w:p w:rsidR="00AF4544" w:rsidRPr="00591270" w:rsidRDefault="00AF4544" w:rsidP="00AF4544">
      <w:pPr>
        <w:spacing w:after="100" w:afterAutospacing="1" w:line="300" w:lineRule="atLeast"/>
        <w:rPr>
          <w:rFonts w:eastAsia="Times New Roman" w:cs="Times New Roman"/>
          <w:b/>
          <w:bCs/>
          <w:color w:val="E36C0A" w:themeColor="accent6" w:themeShade="BF"/>
          <w:sz w:val="24"/>
          <w:szCs w:val="24"/>
          <w:u w:val="single"/>
          <w:lang w:val="en" w:eastAsia="bg-BG"/>
        </w:rPr>
      </w:pPr>
      <w:r w:rsidRPr="00591270">
        <w:rPr>
          <w:rFonts w:eastAsia="Times New Roman" w:cs="Times New Roman"/>
          <w:b/>
          <w:bCs/>
          <w:color w:val="E36C0A" w:themeColor="accent6" w:themeShade="BF"/>
          <w:sz w:val="24"/>
          <w:szCs w:val="24"/>
          <w:u w:val="single"/>
          <w:lang w:val="en" w:eastAsia="bg-BG"/>
        </w:rPr>
        <w:t>Raw Materials &amp; Environment Conference 2019, 19-20 February 2019, Berlin, Germany</w:t>
      </w:r>
    </w:p>
    <w:p w:rsidR="00AF4544" w:rsidRPr="00AF4544" w:rsidRDefault="00AF4544" w:rsidP="00AF4544">
      <w:pPr>
        <w:spacing w:after="100" w:afterAutospacing="1" w:line="300" w:lineRule="atLeast"/>
        <w:rPr>
          <w:rFonts w:eastAsia="Times New Roman" w:cs="Times New Roman"/>
          <w:sz w:val="24"/>
          <w:szCs w:val="24"/>
          <w:lang w:val="en" w:eastAsia="bg-BG"/>
        </w:rPr>
      </w:pPr>
      <w:r w:rsidRPr="00AF4544">
        <w:rPr>
          <w:rFonts w:eastAsia="Times New Roman" w:cs="Times New Roman"/>
          <w:sz w:val="24"/>
          <w:szCs w:val="24"/>
          <w:lang w:val="en" w:eastAsia="bg-BG"/>
        </w:rPr>
        <w:t xml:space="preserve">Minerals and metals form the backbone of modern economies and are key to providing services to citizens around the globe such as housing, mobility and communications. Sustainability transitions such as the energy system transformation and megatrends such as digitization pose extra requirements on the world economy’s raw material supply. Ensuring sustainable access to abiotic raw materials on a global level for the decades to come requires discussions on how to internalize the external environmental and social costs of raw material production and a fair and just distribution of responsibilities, costs and benefits along global supply chains. </w:t>
      </w:r>
    </w:p>
    <w:p w:rsidR="00AF4544" w:rsidRPr="00AF4544" w:rsidRDefault="00AF4544" w:rsidP="00591270">
      <w:pPr>
        <w:spacing w:before="120" w:after="120" w:line="300" w:lineRule="atLeast"/>
        <w:rPr>
          <w:rFonts w:eastAsia="Times New Roman" w:cs="Times New Roman"/>
          <w:sz w:val="24"/>
          <w:szCs w:val="24"/>
          <w:lang w:val="en" w:eastAsia="bg-BG"/>
        </w:rPr>
      </w:pPr>
      <w:r w:rsidRPr="00AF4544">
        <w:rPr>
          <w:rFonts w:eastAsia="Times New Roman" w:cs="Times New Roman"/>
          <w:sz w:val="24"/>
          <w:szCs w:val="24"/>
          <w:lang w:val="en" w:eastAsia="bg-BG"/>
        </w:rPr>
        <w:t xml:space="preserve">Against this background, the international conference “Raw materials &amp; Environment 2019” aims to foster awareness of environmental issues in the national, European and international debates on responsible sourcing and responsible mining. It will feature analyses, challenges and solutions in the thematic areas of mining, raw material supply and sustainable development. </w:t>
      </w:r>
    </w:p>
    <w:p w:rsidR="00AF4544" w:rsidRPr="00AF4544" w:rsidRDefault="00AF4544" w:rsidP="00591270">
      <w:pPr>
        <w:spacing w:before="120" w:after="120" w:line="300" w:lineRule="atLeast"/>
        <w:rPr>
          <w:rFonts w:eastAsia="Times New Roman" w:cs="Times New Roman"/>
          <w:sz w:val="24"/>
          <w:szCs w:val="24"/>
          <w:lang w:val="en" w:eastAsia="bg-BG"/>
        </w:rPr>
      </w:pPr>
      <w:r w:rsidRPr="00AF4544">
        <w:rPr>
          <w:rFonts w:eastAsia="Times New Roman" w:cs="Times New Roman"/>
          <w:sz w:val="24"/>
          <w:szCs w:val="24"/>
          <w:lang w:val="en" w:eastAsia="bg-BG"/>
        </w:rPr>
        <w:t xml:space="preserve">Focus shall lie on environmental aspects of extracting and producing minerals and metals. Linkages to related thematic areas will be addressed so that the interdependencies between environmental protection, human rights, security of supply, distributional justice, global responsibility can be elaborated. Possibly conflicting objectives will be pointed out and discussed in order to contribute to the achievement of the integrated and indivisible sustainable development goals. </w:t>
      </w:r>
    </w:p>
    <w:p w:rsidR="00591270" w:rsidRDefault="00235C47" w:rsidP="00401C29">
      <w:pPr>
        <w:spacing w:after="100" w:afterAutospacing="1" w:line="300" w:lineRule="atLeast"/>
        <w:rPr>
          <w:rFonts w:eastAsia="Times New Roman" w:cs="Times New Roman"/>
          <w:sz w:val="24"/>
          <w:szCs w:val="24"/>
          <w:lang w:val="en" w:eastAsia="bg-BG"/>
        </w:rPr>
      </w:pPr>
      <w:hyperlink r:id="rId62" w:tgtFrame="_blank" w:history="1">
        <w:r w:rsidR="00AF4544" w:rsidRPr="00AF4544">
          <w:rPr>
            <w:rStyle w:val="Hyperlink"/>
            <w:rFonts w:eastAsia="Times New Roman" w:cs="Times New Roman"/>
            <w:sz w:val="24"/>
            <w:szCs w:val="24"/>
            <w:lang w:val="en" w:eastAsia="bg-BG"/>
          </w:rPr>
          <w:t>More information and registration</w:t>
        </w:r>
      </w:hyperlink>
      <w:r w:rsidR="00AF4544" w:rsidRPr="00AF4544">
        <w:rPr>
          <w:rFonts w:eastAsia="Times New Roman" w:cs="Times New Roman"/>
          <w:sz w:val="24"/>
          <w:szCs w:val="24"/>
          <w:lang w:val="en" w:eastAsia="bg-BG"/>
        </w:rPr>
        <w:t xml:space="preserve"> </w:t>
      </w:r>
    </w:p>
    <w:p w:rsidR="00401C29" w:rsidRPr="008D3E0A" w:rsidRDefault="00401C29" w:rsidP="00401C29">
      <w:pPr>
        <w:spacing w:after="100" w:afterAutospacing="1" w:line="300" w:lineRule="atLeast"/>
        <w:rPr>
          <w:rFonts w:eastAsia="Times New Roman" w:cs="Times New Roman"/>
          <w:b/>
          <w:bCs/>
          <w:color w:val="E36C0A" w:themeColor="accent6" w:themeShade="BF"/>
          <w:sz w:val="24"/>
          <w:szCs w:val="24"/>
          <w:u w:val="single"/>
          <w:lang w:val="en" w:eastAsia="bg-BG"/>
        </w:rPr>
      </w:pPr>
      <w:r w:rsidRPr="008D3E0A">
        <w:rPr>
          <w:rFonts w:eastAsia="Times New Roman" w:cs="Times New Roman"/>
          <w:b/>
          <w:bCs/>
          <w:color w:val="E36C0A" w:themeColor="accent6" w:themeShade="BF"/>
          <w:sz w:val="24"/>
          <w:szCs w:val="24"/>
          <w:u w:val="single"/>
          <w:lang w:val="en" w:eastAsia="bg-BG"/>
        </w:rPr>
        <w:t>8th International Conference on Pattern Recognition Applications and Methods - ICPRAM 2019</w:t>
      </w:r>
      <w:r w:rsidR="00AB4C1D" w:rsidRPr="008D3E0A">
        <w:rPr>
          <w:rFonts w:eastAsia="Times New Roman" w:cs="Times New Roman"/>
          <w:b/>
          <w:bCs/>
          <w:color w:val="E36C0A" w:themeColor="accent6" w:themeShade="BF"/>
          <w:sz w:val="24"/>
          <w:szCs w:val="24"/>
          <w:u w:val="single"/>
          <w:lang w:val="en" w:eastAsia="bg-BG"/>
        </w:rPr>
        <w:t xml:space="preserve">, </w:t>
      </w:r>
      <w:r w:rsidR="00AB4C1D" w:rsidRPr="008D3E0A">
        <w:rPr>
          <w:rFonts w:eastAsia="Times New Roman" w:cs="Times New Roman"/>
          <w:b/>
          <w:color w:val="E36C0A" w:themeColor="accent6" w:themeShade="BF"/>
          <w:sz w:val="24"/>
          <w:szCs w:val="24"/>
          <w:u w:val="single"/>
          <w:lang w:val="en" w:eastAsia="bg-BG"/>
        </w:rPr>
        <w:t>19 - 21 February 2019, Prague, Czech Republic</w:t>
      </w:r>
    </w:p>
    <w:p w:rsidR="00401C29" w:rsidRPr="00401C29" w:rsidRDefault="00401C29" w:rsidP="00401C29">
      <w:pPr>
        <w:spacing w:after="100" w:afterAutospacing="1" w:line="300" w:lineRule="atLeast"/>
        <w:rPr>
          <w:rFonts w:eastAsia="Times New Roman" w:cs="Times New Roman"/>
          <w:sz w:val="24"/>
          <w:szCs w:val="24"/>
          <w:lang w:val="en" w:eastAsia="bg-BG"/>
        </w:rPr>
      </w:pPr>
      <w:r w:rsidRPr="00401C29">
        <w:rPr>
          <w:rFonts w:eastAsia="Times New Roman" w:cs="Times New Roman"/>
          <w:sz w:val="24"/>
          <w:szCs w:val="24"/>
          <w:lang w:val="en" w:eastAsia="bg-BG"/>
        </w:rPr>
        <w:t>The International Conference on Pattern Recognition Applications and Methods would like to become a major point of contact between researchers, engineers and practitioners on the areas of Pattern Recognition, both from theoretical and application perspectives.</w:t>
      </w:r>
    </w:p>
    <w:p w:rsidR="00401C29" w:rsidRPr="00401C29" w:rsidRDefault="00AB4C1D" w:rsidP="00401C29">
      <w:pPr>
        <w:spacing w:after="100" w:afterAutospacing="1" w:line="300" w:lineRule="atLeast"/>
        <w:rPr>
          <w:rFonts w:eastAsia="Times New Roman" w:cs="Times New Roman"/>
          <w:sz w:val="24"/>
          <w:szCs w:val="24"/>
          <w:lang w:val="en" w:eastAsia="bg-BG"/>
        </w:rPr>
      </w:pPr>
      <w:r>
        <w:rPr>
          <w:rFonts w:eastAsia="Times New Roman" w:cs="Times New Roman"/>
          <w:sz w:val="24"/>
          <w:szCs w:val="24"/>
          <w:lang w:val="en" w:eastAsia="bg-BG"/>
        </w:rPr>
        <w:t xml:space="preserve">More information: </w:t>
      </w:r>
      <w:hyperlink r:id="rId63" w:history="1">
        <w:r w:rsidR="00401C29" w:rsidRPr="00401C29">
          <w:rPr>
            <w:rStyle w:val="Hyperlink"/>
            <w:rFonts w:eastAsia="Times New Roman" w:cs="Times New Roman"/>
            <w:sz w:val="24"/>
            <w:szCs w:val="24"/>
            <w:lang w:val="en" w:eastAsia="bg-BG"/>
          </w:rPr>
          <w:t>http://www.icpram.org/</w:t>
        </w:r>
      </w:hyperlink>
      <w:r w:rsidR="00401C29" w:rsidRPr="00401C29">
        <w:rPr>
          <w:rFonts w:eastAsia="Times New Roman" w:cs="Times New Roman"/>
          <w:sz w:val="24"/>
          <w:szCs w:val="24"/>
          <w:lang w:val="en" w:eastAsia="bg-BG"/>
        </w:rPr>
        <w:t xml:space="preserve"> </w:t>
      </w:r>
    </w:p>
    <w:p w:rsidR="00A94A8D" w:rsidRDefault="008F1311" w:rsidP="00A94A8D">
      <w:pPr>
        <w:spacing w:after="0" w:line="300" w:lineRule="atLeast"/>
        <w:rPr>
          <w:rFonts w:eastAsia="Times New Roman" w:cs="Times New Roman"/>
          <w:b/>
          <w:bCs/>
          <w:color w:val="E36C0A" w:themeColor="accent6" w:themeShade="BF"/>
          <w:sz w:val="24"/>
          <w:szCs w:val="24"/>
          <w:u w:val="single"/>
          <w:lang w:val="en" w:eastAsia="bg-BG"/>
        </w:rPr>
      </w:pPr>
      <w:r w:rsidRPr="008D3E0A">
        <w:rPr>
          <w:rFonts w:eastAsia="Times New Roman" w:cs="Times New Roman"/>
          <w:b/>
          <w:bCs/>
          <w:color w:val="E36C0A" w:themeColor="accent6" w:themeShade="BF"/>
          <w:sz w:val="24"/>
          <w:szCs w:val="24"/>
          <w:u w:val="single"/>
          <w:lang w:val="en" w:eastAsia="bg-BG"/>
        </w:rPr>
        <w:t xml:space="preserve">11th International Conference on Agents and Artificial Intelligence - ICAART 2019, </w:t>
      </w:r>
    </w:p>
    <w:p w:rsidR="008F1311" w:rsidRPr="008D3E0A" w:rsidRDefault="008F1311" w:rsidP="008F1311">
      <w:pPr>
        <w:spacing w:after="100" w:afterAutospacing="1" w:line="300" w:lineRule="atLeast"/>
        <w:rPr>
          <w:rFonts w:eastAsia="Times New Roman" w:cs="Times New Roman"/>
          <w:b/>
          <w:bCs/>
          <w:color w:val="E36C0A" w:themeColor="accent6" w:themeShade="BF"/>
          <w:sz w:val="24"/>
          <w:szCs w:val="24"/>
          <w:u w:val="single"/>
          <w:lang w:val="en" w:eastAsia="bg-BG"/>
        </w:rPr>
      </w:pPr>
      <w:r w:rsidRPr="008D3E0A">
        <w:rPr>
          <w:rFonts w:eastAsia="Times New Roman" w:cs="Times New Roman"/>
          <w:b/>
          <w:color w:val="E36C0A" w:themeColor="accent6" w:themeShade="BF"/>
          <w:sz w:val="24"/>
          <w:szCs w:val="24"/>
          <w:u w:val="single"/>
          <w:lang w:val="en" w:eastAsia="bg-BG"/>
        </w:rPr>
        <w:t>19 - 21 February 2019, Prague, Czech Republic</w:t>
      </w:r>
    </w:p>
    <w:p w:rsidR="008F1311" w:rsidRPr="008F1311" w:rsidRDefault="008F1311" w:rsidP="00C84DAE">
      <w:pPr>
        <w:spacing w:after="120" w:line="300" w:lineRule="atLeast"/>
        <w:rPr>
          <w:rFonts w:eastAsia="Times New Roman" w:cs="Times New Roman"/>
          <w:sz w:val="24"/>
          <w:szCs w:val="24"/>
          <w:lang w:val="en" w:eastAsia="bg-BG"/>
        </w:rPr>
      </w:pPr>
      <w:r w:rsidRPr="008F1311">
        <w:rPr>
          <w:rFonts w:eastAsia="Times New Roman" w:cs="Times New Roman"/>
          <w:sz w:val="24"/>
          <w:szCs w:val="24"/>
          <w:lang w:val="en" w:eastAsia="bg-BG"/>
        </w:rPr>
        <w:t>The purpose of the International Conference on Agents and Artificial Intelligence is to bring together researchers, engineers and practitioners interested in the theory and applications in the areas of Agents and Artificial Intelligence. Two simultaneous related tracks will be held, covering both applications and current research work. One track focuses on Agents, Multi-Agent Systems and Software Platforms, Distributed Problem Solving and Distributed AI in general.</w:t>
      </w:r>
    </w:p>
    <w:p w:rsidR="008F1311" w:rsidRPr="008F1311" w:rsidRDefault="008F1311" w:rsidP="008F1311">
      <w:pPr>
        <w:spacing w:after="100" w:afterAutospacing="1" w:line="300" w:lineRule="atLeast"/>
        <w:rPr>
          <w:rFonts w:eastAsia="Times New Roman" w:cs="Times New Roman"/>
          <w:sz w:val="24"/>
          <w:szCs w:val="24"/>
          <w:lang w:val="en" w:eastAsia="bg-BG"/>
        </w:rPr>
      </w:pPr>
      <w:r>
        <w:rPr>
          <w:rFonts w:eastAsia="Times New Roman" w:cs="Times New Roman"/>
          <w:sz w:val="24"/>
          <w:szCs w:val="24"/>
          <w:lang w:val="en" w:eastAsia="bg-BG"/>
        </w:rPr>
        <w:t xml:space="preserve">More information&amp; </w:t>
      </w:r>
      <w:hyperlink r:id="rId64" w:history="1">
        <w:r w:rsidRPr="008F1311">
          <w:rPr>
            <w:rStyle w:val="Hyperlink"/>
            <w:rFonts w:eastAsia="Times New Roman" w:cs="Times New Roman"/>
            <w:sz w:val="24"/>
            <w:szCs w:val="24"/>
            <w:lang w:val="en" w:eastAsia="bg-BG"/>
          </w:rPr>
          <w:t>http://www.icaart.org/</w:t>
        </w:r>
      </w:hyperlink>
      <w:r w:rsidRPr="008F1311">
        <w:rPr>
          <w:rFonts w:eastAsia="Times New Roman" w:cs="Times New Roman"/>
          <w:sz w:val="24"/>
          <w:szCs w:val="24"/>
          <w:lang w:val="en" w:eastAsia="bg-BG"/>
        </w:rPr>
        <w:t xml:space="preserve"> </w:t>
      </w:r>
    </w:p>
    <w:p w:rsidR="00141E06" w:rsidRPr="00591270" w:rsidRDefault="00141E06" w:rsidP="00141E06">
      <w:pPr>
        <w:spacing w:after="100" w:afterAutospacing="1" w:line="300" w:lineRule="atLeast"/>
        <w:rPr>
          <w:rFonts w:eastAsia="Times New Roman" w:cs="Times New Roman"/>
          <w:b/>
          <w:bCs/>
          <w:color w:val="E36C0A" w:themeColor="accent6" w:themeShade="BF"/>
          <w:sz w:val="24"/>
          <w:szCs w:val="24"/>
          <w:u w:val="single"/>
          <w:lang w:val="en" w:eastAsia="bg-BG"/>
        </w:rPr>
      </w:pPr>
      <w:r w:rsidRPr="00591270">
        <w:rPr>
          <w:rFonts w:eastAsia="Times New Roman" w:cs="Times New Roman"/>
          <w:b/>
          <w:bCs/>
          <w:color w:val="E36C0A" w:themeColor="accent6" w:themeShade="BF"/>
          <w:sz w:val="24"/>
          <w:szCs w:val="24"/>
          <w:u w:val="single"/>
          <w:lang w:val="en" w:eastAsia="bg-BG"/>
        </w:rPr>
        <w:t>Adapting to Climate Change: are our solutions working, 20 February 2019, Brussels, Belgium</w:t>
      </w:r>
    </w:p>
    <w:p w:rsidR="00141E06" w:rsidRPr="00141E06" w:rsidRDefault="00141E06" w:rsidP="00591270">
      <w:pPr>
        <w:spacing w:before="120" w:after="120"/>
        <w:rPr>
          <w:rFonts w:eastAsia="Times New Roman" w:cs="Times New Roman"/>
          <w:sz w:val="24"/>
          <w:szCs w:val="24"/>
          <w:lang w:val="en" w:eastAsia="bg-BG"/>
        </w:rPr>
      </w:pPr>
      <w:r w:rsidRPr="00141E06">
        <w:rPr>
          <w:rFonts w:eastAsia="Times New Roman" w:cs="Times New Roman"/>
          <w:sz w:val="24"/>
          <w:szCs w:val="24"/>
          <w:lang w:val="en" w:eastAsia="bg-BG"/>
        </w:rPr>
        <w:t xml:space="preserve">Climate change and its impact on society and ecosystems is a global challenge and the White Rose Universities of Leeds, Sheffield and York aim to provide effective policy and solutions to these problems. </w:t>
      </w:r>
    </w:p>
    <w:p w:rsidR="00141E06" w:rsidRPr="00141E06" w:rsidRDefault="00141E06" w:rsidP="00591270">
      <w:pPr>
        <w:spacing w:before="120" w:after="120"/>
        <w:rPr>
          <w:rFonts w:eastAsia="Times New Roman" w:cs="Times New Roman"/>
          <w:sz w:val="24"/>
          <w:szCs w:val="24"/>
          <w:lang w:val="en" w:eastAsia="bg-BG"/>
        </w:rPr>
      </w:pPr>
      <w:r w:rsidRPr="00141E06">
        <w:rPr>
          <w:rFonts w:eastAsia="Times New Roman" w:cs="Times New Roman"/>
          <w:sz w:val="24"/>
          <w:szCs w:val="24"/>
          <w:lang w:val="en" w:eastAsia="bg-BG"/>
        </w:rPr>
        <w:t xml:space="preserve">Underpinned by robust research, our speakers will focus on key climate change policy areas and the work being conducted over our global networks to enhance our physical, technological, economic and social understanding of climate change with strategies for mitigation and adaptation. </w:t>
      </w:r>
    </w:p>
    <w:p w:rsidR="00141E06" w:rsidRPr="00141E06" w:rsidRDefault="00235C47" w:rsidP="00591270">
      <w:pPr>
        <w:spacing w:before="120" w:after="240"/>
        <w:rPr>
          <w:rFonts w:eastAsia="Times New Roman" w:cs="Times New Roman"/>
          <w:sz w:val="24"/>
          <w:szCs w:val="24"/>
          <w:lang w:val="en" w:eastAsia="bg-BG"/>
        </w:rPr>
      </w:pPr>
      <w:hyperlink r:id="rId65" w:tgtFrame="_blank" w:history="1">
        <w:r w:rsidR="00141E06" w:rsidRPr="00141E06">
          <w:rPr>
            <w:rStyle w:val="Hyperlink"/>
            <w:rFonts w:eastAsia="Times New Roman" w:cs="Times New Roman"/>
            <w:sz w:val="24"/>
            <w:szCs w:val="24"/>
            <w:lang w:val="en" w:eastAsia="bg-BG"/>
          </w:rPr>
          <w:t>More information and registration</w:t>
        </w:r>
      </w:hyperlink>
      <w:r w:rsidR="00141E06" w:rsidRPr="00141E06">
        <w:rPr>
          <w:rFonts w:eastAsia="Times New Roman" w:cs="Times New Roman"/>
          <w:sz w:val="24"/>
          <w:szCs w:val="24"/>
          <w:lang w:val="en" w:eastAsia="bg-BG"/>
        </w:rPr>
        <w:t xml:space="preserve"> </w:t>
      </w:r>
    </w:p>
    <w:p w:rsidR="00831B75" w:rsidRPr="00EB4446" w:rsidRDefault="00831B75" w:rsidP="00831B75">
      <w:pPr>
        <w:spacing w:after="240"/>
        <w:rPr>
          <w:b/>
          <w:bCs/>
          <w:color w:val="E36C0A" w:themeColor="accent6" w:themeShade="BF"/>
          <w:sz w:val="24"/>
          <w:szCs w:val="24"/>
          <w:u w:val="single"/>
        </w:rPr>
      </w:pPr>
      <w:r w:rsidRPr="00EB4446">
        <w:rPr>
          <w:b/>
          <w:bCs/>
          <w:color w:val="E36C0A" w:themeColor="accent6" w:themeShade="BF"/>
          <w:sz w:val="24"/>
          <w:szCs w:val="24"/>
          <w:u w:val="single"/>
        </w:rPr>
        <w:t>Immunology Conferences</w:t>
      </w:r>
      <w:r w:rsidRPr="00EB4446">
        <w:rPr>
          <w:b/>
          <w:bCs/>
          <w:color w:val="E36C0A" w:themeColor="accent6" w:themeShade="BF"/>
          <w:sz w:val="24"/>
          <w:szCs w:val="24"/>
          <w:u w:val="single"/>
          <w:lang w:val="en-US"/>
        </w:rPr>
        <w:t xml:space="preserve">, 04 – 05 March 2019, </w:t>
      </w:r>
      <w:r w:rsidRPr="00EB4446">
        <w:rPr>
          <w:b/>
          <w:bCs/>
          <w:color w:val="E36C0A" w:themeColor="accent6" w:themeShade="BF"/>
          <w:sz w:val="24"/>
          <w:szCs w:val="24"/>
          <w:u w:val="single"/>
        </w:rPr>
        <w:t xml:space="preserve"> </w:t>
      </w:r>
      <w:r w:rsidRPr="00EB4446">
        <w:rPr>
          <w:b/>
          <w:bCs/>
          <w:iCs/>
          <w:color w:val="E36C0A" w:themeColor="accent6" w:themeShade="BF"/>
          <w:sz w:val="24"/>
          <w:szCs w:val="24"/>
          <w:u w:val="single"/>
        </w:rPr>
        <w:t>Barcelona, Spain</w:t>
      </w:r>
    </w:p>
    <w:p w:rsidR="00831B75" w:rsidRDefault="00831B75" w:rsidP="00EB4446">
      <w:pPr>
        <w:spacing w:after="120"/>
        <w:rPr>
          <w:sz w:val="24"/>
          <w:szCs w:val="24"/>
          <w:lang w:val="en-US"/>
        </w:rPr>
      </w:pPr>
      <w:r w:rsidRPr="00831B75">
        <w:rPr>
          <w:sz w:val="24"/>
          <w:szCs w:val="24"/>
        </w:rPr>
        <w:t>Conference Series LLC LTD takes immense pleasure in inviting scientists, researchers, professors, delegates across the continents to its upcoming “10th Molecular Immunology &amp; Immunogenetics Congress”</w:t>
      </w:r>
      <w:r>
        <w:rPr>
          <w:sz w:val="24"/>
          <w:szCs w:val="24"/>
          <w:lang w:val="en-US"/>
        </w:rPr>
        <w:t xml:space="preserve">. </w:t>
      </w:r>
    </w:p>
    <w:p w:rsidR="00831B75" w:rsidRDefault="00831B75" w:rsidP="00EB4446">
      <w:pPr>
        <w:spacing w:before="120" w:after="120"/>
        <w:rPr>
          <w:sz w:val="24"/>
          <w:szCs w:val="24"/>
          <w:lang w:val="en-US"/>
        </w:rPr>
      </w:pPr>
      <w:r w:rsidRPr="00831B75">
        <w:rPr>
          <w:sz w:val="24"/>
          <w:szCs w:val="24"/>
        </w:rPr>
        <w:t xml:space="preserve">Molecular Immunology 2019 is a two-day programme event that offers a much-needed global platform to bring together researchers in all fields of Immunology, including Molecular Biology, Genetics, Clinical &amp; Cellular Immunology, Microbiology, Vaccines, Biochemistry, and young researchers, students, and industrialists to exchange ideas, communicate and discuss research findings on new advancements in various fields of Immunology. Molecular Immunology will be available to discuss with you the latest issues and Novel Approaches for Immune-mediated Diseases &amp; Advancements in Existing Therapies. </w:t>
      </w:r>
    </w:p>
    <w:p w:rsidR="00831B75" w:rsidRPr="00831B75" w:rsidRDefault="00831B75" w:rsidP="00831B75">
      <w:pPr>
        <w:spacing w:after="240"/>
        <w:rPr>
          <w:sz w:val="24"/>
          <w:szCs w:val="24"/>
        </w:rPr>
      </w:pPr>
      <w:r>
        <w:rPr>
          <w:sz w:val="24"/>
          <w:szCs w:val="24"/>
          <w:lang w:val="en-US"/>
        </w:rPr>
        <w:t xml:space="preserve">Registration: </w:t>
      </w:r>
      <w:hyperlink r:id="rId66" w:history="1">
        <w:r w:rsidRPr="00831B75">
          <w:rPr>
            <w:rStyle w:val="Hyperlink"/>
            <w:sz w:val="24"/>
            <w:szCs w:val="24"/>
          </w:rPr>
          <w:t>https://molecularimmunology.conferenceseries.com/registration.php</w:t>
        </w:r>
      </w:hyperlink>
    </w:p>
    <w:p w:rsidR="002C3A86" w:rsidRPr="00091FEB" w:rsidRDefault="00235C47" w:rsidP="00AC4C17">
      <w:pPr>
        <w:rPr>
          <w:b/>
          <w:color w:val="E36C0A" w:themeColor="accent6" w:themeShade="BF"/>
          <w:sz w:val="24"/>
          <w:szCs w:val="24"/>
          <w:lang w:val="en-GB"/>
        </w:rPr>
      </w:pPr>
      <w:hyperlink r:id="rId67" w:history="1">
        <w:r w:rsidR="002C3A86" w:rsidRPr="00091FEB">
          <w:rPr>
            <w:rStyle w:val="Hyperlink"/>
            <w:b/>
            <w:color w:val="E36C0A" w:themeColor="accent6" w:themeShade="BF"/>
            <w:sz w:val="24"/>
            <w:szCs w:val="24"/>
            <w:lang w:val="en-GB"/>
          </w:rPr>
          <w:t>2019 EUA Annual Conference “Driving innovation in Europe’s universities”, 11 - 12 April 2019</w:t>
        </w:r>
        <w:r w:rsidR="007C04DD" w:rsidRPr="00091FEB">
          <w:rPr>
            <w:rStyle w:val="Hyperlink"/>
            <w:b/>
            <w:color w:val="E36C0A" w:themeColor="accent6" w:themeShade="BF"/>
            <w:sz w:val="24"/>
            <w:szCs w:val="24"/>
            <w:lang w:val="en-GB"/>
          </w:rPr>
          <w:t xml:space="preserve">, </w:t>
        </w:r>
        <w:r w:rsidR="007C04DD" w:rsidRPr="00091FEB">
          <w:rPr>
            <w:rStyle w:val="Hyperlink"/>
            <w:b/>
            <w:color w:val="E36C0A" w:themeColor="accent6" w:themeShade="BF"/>
            <w:sz w:val="24"/>
            <w:szCs w:val="24"/>
          </w:rPr>
          <w:t>hosted by Sorbonne University</w:t>
        </w:r>
      </w:hyperlink>
    </w:p>
    <w:p w:rsidR="002C3A86" w:rsidRPr="00091FEB" w:rsidRDefault="002C3A86" w:rsidP="00353F19">
      <w:pPr>
        <w:spacing w:after="120"/>
        <w:rPr>
          <w:sz w:val="24"/>
          <w:szCs w:val="24"/>
          <w:lang w:val="en-GB"/>
        </w:rPr>
      </w:pPr>
      <w:r w:rsidRPr="00091FEB">
        <w:rPr>
          <w:sz w:val="24"/>
          <w:szCs w:val="24"/>
          <w:lang w:val="en-GB"/>
        </w:rPr>
        <w:t>Technological, medical, social, cultural and educational innovation is changing the world, and those driving it decide on the direction. As creators and providers of knowledge and places of societal reflection, universities have a central role to play in shaping the future and in nurturing the next generation of leaders, innovators, entrepreneurs and researchers. </w:t>
      </w:r>
    </w:p>
    <w:p w:rsidR="00353F19" w:rsidRDefault="007C04DD" w:rsidP="00353F19">
      <w:pPr>
        <w:spacing w:before="120" w:after="120"/>
        <w:rPr>
          <w:sz w:val="24"/>
          <w:szCs w:val="24"/>
          <w:lang w:val="en-GB"/>
        </w:rPr>
      </w:pPr>
      <w:r w:rsidRPr="00091FEB">
        <w:rPr>
          <w:sz w:val="24"/>
          <w:szCs w:val="24"/>
          <w:lang w:val="en-GB"/>
        </w:rPr>
        <w:t xml:space="preserve">Europe’s universities are integral parts of local, national and international innovation ecosystems, working with partners in the private and public sectors to educate future innovators and jointly develop solutions to societal, economic and environmental challenges. In this context, universities provide a unique environment, ensuring critical mass and the diversity needed to address these challenges. They </w:t>
      </w:r>
      <w:r w:rsidRPr="007C04DD">
        <w:rPr>
          <w:sz w:val="24"/>
          <w:szCs w:val="24"/>
          <w:lang w:val="en-GB"/>
        </w:rPr>
        <w:t xml:space="preserve">also create institutional cultures geared towards innovation, whether it is in high-quality learning and teaching or ground-breaking research. </w:t>
      </w:r>
    </w:p>
    <w:p w:rsidR="007C04DD" w:rsidRPr="007C04DD" w:rsidRDefault="007C04DD" w:rsidP="00353F19">
      <w:pPr>
        <w:spacing w:before="120" w:after="120"/>
        <w:rPr>
          <w:sz w:val="24"/>
          <w:szCs w:val="24"/>
          <w:lang w:val="en-GB"/>
        </w:rPr>
      </w:pPr>
      <w:r w:rsidRPr="007C04DD">
        <w:rPr>
          <w:sz w:val="24"/>
          <w:szCs w:val="24"/>
          <w:lang w:val="en-GB"/>
        </w:rPr>
        <w:t>EUA’s 2019 Annual Conference will investigate universities’ strategies for shaping innovation today and in the future. Through plenary and breakout sessions of various formats, including audience participation, the conference will provide insights into the policies and practices that empower universities to be places where innovation and entrepreneurship thrive.</w:t>
      </w:r>
    </w:p>
    <w:p w:rsidR="00A414F7" w:rsidRPr="009A3C84" w:rsidRDefault="007C04DD" w:rsidP="005C6234">
      <w:pPr>
        <w:spacing w:after="240"/>
        <w:rPr>
          <w:sz w:val="24"/>
          <w:szCs w:val="24"/>
        </w:rPr>
      </w:pPr>
      <w:r w:rsidRPr="007C04DD">
        <w:rPr>
          <w:sz w:val="24"/>
          <w:szCs w:val="24"/>
          <w:lang w:val="en-GB"/>
        </w:rPr>
        <w:t>The event will be of interest to institutional leaders (rectors, vice-rectors and heads of administration), higher education researchers and analysts, as well as representatives of other bodies involved in educational policy.</w:t>
      </w:r>
    </w:p>
    <w:p w:rsidR="00091FEB" w:rsidRPr="00091FEB" w:rsidRDefault="00091FEB" w:rsidP="00091FEB">
      <w:pPr>
        <w:rPr>
          <w:b/>
          <w:bCs/>
          <w:color w:val="E36C0A" w:themeColor="accent6" w:themeShade="BF"/>
          <w:sz w:val="24"/>
          <w:szCs w:val="24"/>
          <w:u w:val="single"/>
          <w:lang w:val="en"/>
        </w:rPr>
      </w:pPr>
      <w:r w:rsidRPr="00091FEB">
        <w:rPr>
          <w:b/>
          <w:bCs/>
          <w:color w:val="E36C0A" w:themeColor="accent6" w:themeShade="BF"/>
          <w:sz w:val="24"/>
          <w:szCs w:val="24"/>
          <w:u w:val="single"/>
          <w:lang w:val="en"/>
        </w:rPr>
        <w:t>ICSD 2019 : 7th International Conference on Sustainable Development, 4-5 September 2019, Rome, Italy</w:t>
      </w:r>
    </w:p>
    <w:p w:rsidR="00091FEB" w:rsidRPr="00091FEB" w:rsidRDefault="00091FEB" w:rsidP="00091FEB">
      <w:pPr>
        <w:rPr>
          <w:sz w:val="24"/>
          <w:szCs w:val="24"/>
          <w:lang w:val="en"/>
        </w:rPr>
      </w:pPr>
      <w:r w:rsidRPr="00091FEB">
        <w:rPr>
          <w:sz w:val="24"/>
          <w:szCs w:val="24"/>
          <w:lang w:val="en"/>
        </w:rPr>
        <w:t>ICSD2019 will be an excellent opportunity to present your projects and discuss the latest results in the field of Sustainability Science. The general aim of the conference is to promote international collaboration in Sustainability Science and related disciplines. The attendance of more than 120 delegates from 50 different countries is expected.</w:t>
      </w:r>
    </w:p>
    <w:p w:rsidR="00091FEB" w:rsidRPr="00091FEB" w:rsidRDefault="00091FEB" w:rsidP="00091FEB">
      <w:pPr>
        <w:rPr>
          <w:sz w:val="24"/>
          <w:szCs w:val="24"/>
          <w:lang w:val="en"/>
        </w:rPr>
      </w:pPr>
      <w:r w:rsidRPr="00091FEB">
        <w:rPr>
          <w:sz w:val="24"/>
          <w:szCs w:val="24"/>
          <w:lang w:val="en"/>
        </w:rPr>
        <w:t>The Conference theme is: “Creating a unified foundation for the Sustainable Development: research, practice and education”. This theme emphasizes the strong foundation that is provided by using research to inform our everyday practices, policies, and research approaches.</w:t>
      </w:r>
    </w:p>
    <w:p w:rsidR="00091FEB" w:rsidRPr="00091FEB" w:rsidRDefault="00091FEB" w:rsidP="00091FEB">
      <w:pPr>
        <w:rPr>
          <w:sz w:val="24"/>
          <w:szCs w:val="24"/>
          <w:lang w:val="en"/>
        </w:rPr>
      </w:pPr>
      <w:r w:rsidRPr="00091FEB">
        <w:rPr>
          <w:sz w:val="24"/>
          <w:szCs w:val="24"/>
          <w:lang w:val="en"/>
        </w:rPr>
        <w:t>The 2019 Conference will once again provide a forum for the sharing of ideas, presentation of research findings, and discussion of professional issues relevant to Sustainability Science</w:t>
      </w:r>
    </w:p>
    <w:p w:rsidR="00091FEB" w:rsidRPr="00091FEB" w:rsidRDefault="00235C47" w:rsidP="00091FEB">
      <w:pPr>
        <w:rPr>
          <w:sz w:val="24"/>
          <w:szCs w:val="24"/>
          <w:lang w:val="en"/>
        </w:rPr>
      </w:pPr>
      <w:hyperlink r:id="rId68" w:tgtFrame="_blank" w:history="1">
        <w:r w:rsidR="00091FEB" w:rsidRPr="00091FEB">
          <w:rPr>
            <w:rStyle w:val="Hyperlink"/>
            <w:sz w:val="24"/>
            <w:szCs w:val="24"/>
            <w:lang w:val="en"/>
          </w:rPr>
          <w:t>More information and registration</w:t>
        </w:r>
      </w:hyperlink>
      <w:r w:rsidR="00091FEB" w:rsidRPr="00091FEB">
        <w:rPr>
          <w:sz w:val="24"/>
          <w:szCs w:val="24"/>
          <w:lang w:val="en"/>
        </w:rPr>
        <w:t xml:space="preserve"> </w:t>
      </w:r>
    </w:p>
    <w:p w:rsidR="00D865FB" w:rsidRDefault="00D865FB" w:rsidP="00460469">
      <w:pPr>
        <w:rPr>
          <w:lang w:val="en-US"/>
        </w:rPr>
      </w:pPr>
    </w:p>
    <w:p w:rsidR="00E14B3C" w:rsidRDefault="00E14B3C" w:rsidP="00460469">
      <w:pPr>
        <w:rPr>
          <w:lang w:val="en-US"/>
        </w:rPr>
      </w:pPr>
    </w:p>
    <w:p w:rsidR="00E14B3C" w:rsidRDefault="00E14B3C" w:rsidP="00460469">
      <w:pPr>
        <w:rPr>
          <w:lang w:val="en-US"/>
        </w:rPr>
      </w:pPr>
    </w:p>
    <w:p w:rsidR="00E14B3C" w:rsidRPr="002A1300" w:rsidRDefault="00E14B3C" w:rsidP="00460469">
      <w:pPr>
        <w:rPr>
          <w:lang w:val="en-US"/>
        </w:rPr>
        <w:sectPr w:rsidR="00E14B3C" w:rsidRPr="002A1300" w:rsidSect="002852EF">
          <w:footerReference w:type="default" r:id="rId69"/>
          <w:pgSz w:w="11906" w:h="16838"/>
          <w:pgMar w:top="1417" w:right="1417" w:bottom="1417" w:left="1417" w:header="708" w:footer="708" w:gutter="0"/>
          <w:cols w:space="708"/>
          <w:docGrid w:linePitch="360"/>
        </w:sectPr>
      </w:pPr>
    </w:p>
    <w:p w:rsidR="00912146" w:rsidRDefault="00912146" w:rsidP="00B278E8">
      <w:pPr>
        <w:pStyle w:val="Publications"/>
      </w:pPr>
      <w:bookmarkStart w:id="35" w:name="_Toc535323854"/>
      <w:r>
        <w:t>ПУБЛИКАЦИИ</w:t>
      </w:r>
      <w:bookmarkEnd w:id="35"/>
    </w:p>
    <w:p w:rsidR="00D70D6F" w:rsidRDefault="00D70D6F" w:rsidP="00D80D50">
      <w:pPr>
        <w:pStyle w:val="Heading2"/>
        <w:ind w:left="426"/>
        <w:rPr>
          <w:lang w:val="en-US"/>
        </w:rPr>
      </w:pPr>
      <w:bookmarkStart w:id="36" w:name="_Toc535323855"/>
      <w:r>
        <w:rPr>
          <w:lang w:val="en-US"/>
        </w:rPr>
        <w:t>RESEARCH EU</w:t>
      </w:r>
      <w:bookmarkEnd w:id="36"/>
    </w:p>
    <w:p w:rsidR="00D02433" w:rsidRPr="007817E3" w:rsidRDefault="005E5D04" w:rsidP="007817E3">
      <w:pPr>
        <w:rPr>
          <w:rFonts w:eastAsia="Times New Roman" w:cs="Times New Roman"/>
          <w:b/>
          <w:color w:val="333333"/>
          <w:sz w:val="24"/>
          <w:szCs w:val="24"/>
          <w:lang w:val="en-GB" w:eastAsia="bg-BG"/>
        </w:rPr>
      </w:pPr>
      <w:r w:rsidRPr="007817E3">
        <w:rPr>
          <w:noProof/>
          <w:sz w:val="24"/>
          <w:szCs w:val="24"/>
          <w:lang w:eastAsia="bg-BG"/>
        </w:rPr>
        <w:drawing>
          <wp:inline distT="0" distB="0" distL="0" distR="0" wp14:anchorId="7DC2DB7A" wp14:editId="376AC5EA">
            <wp:extent cx="1285200" cy="1828800"/>
            <wp:effectExtent l="0" t="0" r="0" b="0"/>
            <wp:docPr id="13" name="Picture 13" descr="C:\Users\Compaq\Desktop\DO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mpaq\Desktop\DOC_1.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85200" cy="1828800"/>
                    </a:xfrm>
                    <a:prstGeom prst="rect">
                      <a:avLst/>
                    </a:prstGeom>
                    <a:noFill/>
                    <a:ln>
                      <a:noFill/>
                    </a:ln>
                  </pic:spPr>
                </pic:pic>
              </a:graphicData>
            </a:graphic>
          </wp:inline>
        </w:drawing>
      </w:r>
      <w:r w:rsidR="00D02433" w:rsidRPr="007817E3">
        <w:rPr>
          <w:rFonts w:eastAsia="Times New Roman" w:cs="Times New Roman"/>
          <w:b/>
          <w:color w:val="333333"/>
          <w:sz w:val="24"/>
          <w:szCs w:val="24"/>
          <w:lang w:val="en-GB" w:eastAsia="bg-BG"/>
        </w:rPr>
        <w:t xml:space="preserve">#78, December 2018 / January 2019 </w:t>
      </w:r>
    </w:p>
    <w:p w:rsidR="005E5D04" w:rsidRPr="007817E3" w:rsidRDefault="00235C47" w:rsidP="007817E3">
      <w:pPr>
        <w:rPr>
          <w:b/>
          <w:sz w:val="24"/>
          <w:szCs w:val="24"/>
          <w:lang w:val="en-US"/>
        </w:rPr>
      </w:pPr>
      <w:hyperlink r:id="rId71" w:history="1">
        <w:r w:rsidR="005E5D04" w:rsidRPr="007817E3">
          <w:rPr>
            <w:rStyle w:val="Hyperlink"/>
            <w:b/>
            <w:sz w:val="24"/>
            <w:szCs w:val="24"/>
            <w:lang w:val="en-US"/>
          </w:rPr>
          <w:t>Download</w:t>
        </w:r>
      </w:hyperlink>
    </w:p>
    <w:p w:rsidR="005E5D04" w:rsidRPr="007817E3" w:rsidRDefault="00D02433" w:rsidP="007817E3">
      <w:pPr>
        <w:rPr>
          <w:rFonts w:eastAsia="Times New Roman" w:cs="Times New Roman"/>
          <w:sz w:val="24"/>
          <w:szCs w:val="24"/>
          <w:lang w:val="en-GB" w:eastAsia="bg-BG"/>
        </w:rPr>
      </w:pPr>
      <w:r w:rsidRPr="007817E3">
        <w:rPr>
          <w:rFonts w:eastAsia="Times New Roman" w:cs="Times New Roman"/>
          <w:sz w:val="24"/>
          <w:szCs w:val="24"/>
          <w:lang w:val="en-GB" w:eastAsia="bg-BG"/>
        </w:rPr>
        <w:t xml:space="preserve">Special feature: A </w:t>
      </w:r>
      <w:r w:rsidR="005E5D04" w:rsidRPr="007817E3">
        <w:rPr>
          <w:rFonts w:eastAsia="Times New Roman" w:cs="Times New Roman"/>
          <w:sz w:val="24"/>
          <w:szCs w:val="24"/>
          <w:lang w:val="en-GB" w:eastAsia="bg-BG"/>
        </w:rPr>
        <w:t>secure and high-quality food system, from farm, factory, to fork.</w:t>
      </w:r>
    </w:p>
    <w:p w:rsidR="00A752C7" w:rsidRPr="00A752C7" w:rsidRDefault="00A752C7" w:rsidP="00BD7301">
      <w:pPr>
        <w:pStyle w:val="Heading2"/>
        <w:ind w:left="426"/>
      </w:pPr>
      <w:bookmarkStart w:id="37" w:name="_Toc535323856"/>
      <w:r w:rsidRPr="00A752C7">
        <w:t>Nephrology Dialysis Transplantation, Volume 33 - Magnetic Resonance Imaging Biomarkers in Renal Disease</w:t>
      </w:r>
      <w:bookmarkEnd w:id="37"/>
    </w:p>
    <w:p w:rsidR="00BD7301" w:rsidRDefault="00BD7301" w:rsidP="00BD7301">
      <w:pPr>
        <w:spacing w:before="240" w:after="120"/>
        <w:rPr>
          <w:bCs/>
          <w:iCs/>
          <w:sz w:val="24"/>
          <w:szCs w:val="24"/>
          <w:lang w:val="en-US"/>
        </w:rPr>
      </w:pPr>
      <w:r w:rsidRPr="00A752C7">
        <w:rPr>
          <w:bCs/>
          <w:iCs/>
          <w:noProof/>
          <w:sz w:val="24"/>
          <w:szCs w:val="24"/>
          <w:lang w:eastAsia="bg-BG"/>
        </w:rPr>
        <w:drawing>
          <wp:anchor distT="0" distB="0" distL="114300" distR="114300" simplePos="0" relativeHeight="251700224" behindDoc="1" locked="0" layoutInCell="1" allowOverlap="1">
            <wp:simplePos x="0" y="0"/>
            <wp:positionH relativeFrom="column">
              <wp:posOffset>-3810</wp:posOffset>
            </wp:positionH>
            <wp:positionV relativeFrom="paragraph">
              <wp:posOffset>161925</wp:posOffset>
            </wp:positionV>
            <wp:extent cx="1195070" cy="1536700"/>
            <wp:effectExtent l="0" t="0" r="5080" b="6350"/>
            <wp:wrapThrough wrapText="bothSides">
              <wp:wrapPolygon edited="0">
                <wp:start x="0" y="0"/>
                <wp:lineTo x="0" y="21421"/>
                <wp:lineTo x="21348" y="21421"/>
                <wp:lineTo x="21348" y="0"/>
                <wp:lineTo x="0" y="0"/>
              </wp:wrapPolygon>
            </wp:wrapThrough>
            <wp:docPr id="15" name="Picture 15" descr="http://www.cost.eu/var/ezwebin_site/storage/images/medialib/images/library/publications/parenchima_cover/1963920-1-eng-GB/PARENCHIMA_cover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st.eu/var/ezwebin_site/storage/images/medialib/images/library/publications/parenchima_cover/1963920-1-eng-GB/PARENCHIMA_cover_publication.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95070" cy="1536700"/>
                    </a:xfrm>
                    <a:prstGeom prst="rect">
                      <a:avLst/>
                    </a:prstGeom>
                    <a:noFill/>
                    <a:ln>
                      <a:noFill/>
                    </a:ln>
                  </pic:spPr>
                </pic:pic>
              </a:graphicData>
            </a:graphic>
          </wp:anchor>
        </w:drawing>
      </w:r>
    </w:p>
    <w:p w:rsidR="00BD7301" w:rsidRDefault="00BD7301" w:rsidP="00BD7301">
      <w:pPr>
        <w:spacing w:before="240" w:after="120"/>
        <w:rPr>
          <w:bCs/>
          <w:iCs/>
          <w:sz w:val="24"/>
          <w:szCs w:val="24"/>
          <w:lang w:val="en-US"/>
        </w:rPr>
      </w:pPr>
    </w:p>
    <w:p w:rsidR="00D35368" w:rsidRDefault="00D35368" w:rsidP="00BD7301">
      <w:pPr>
        <w:spacing w:before="240" w:after="120"/>
        <w:rPr>
          <w:bCs/>
          <w:iCs/>
          <w:sz w:val="24"/>
          <w:szCs w:val="24"/>
          <w:lang w:val="en-US"/>
        </w:rPr>
      </w:pPr>
    </w:p>
    <w:p w:rsidR="00A752C7" w:rsidRPr="00A752C7" w:rsidRDefault="00A752C7" w:rsidP="00D35368">
      <w:pPr>
        <w:spacing w:before="240" w:after="0"/>
        <w:rPr>
          <w:bCs/>
          <w:iCs/>
          <w:sz w:val="24"/>
          <w:szCs w:val="24"/>
        </w:rPr>
      </w:pPr>
      <w:r w:rsidRPr="00A752C7">
        <w:rPr>
          <w:bCs/>
          <w:iCs/>
          <w:sz w:val="24"/>
          <w:szCs w:val="24"/>
        </w:rPr>
        <w:t>Author(s): Anna Caroli; Menno Pruijm; Michel Burnier; Nicholas M Selby</w:t>
      </w:r>
    </w:p>
    <w:p w:rsidR="00A752C7" w:rsidRPr="00A752C7" w:rsidRDefault="00A752C7" w:rsidP="00D35368">
      <w:pPr>
        <w:spacing w:before="120" w:after="120"/>
        <w:ind w:left="720"/>
        <w:rPr>
          <w:bCs/>
          <w:iCs/>
          <w:sz w:val="24"/>
          <w:szCs w:val="24"/>
        </w:rPr>
      </w:pPr>
      <w:r w:rsidRPr="00A752C7">
        <w:rPr>
          <w:bCs/>
          <w:iCs/>
          <w:sz w:val="24"/>
          <w:szCs w:val="24"/>
        </w:rPr>
        <w:t>Publisher(s): Oxford University Press</w:t>
      </w:r>
    </w:p>
    <w:p w:rsidR="00BD7301" w:rsidRDefault="00A752C7" w:rsidP="00A752C7">
      <w:pPr>
        <w:spacing w:before="240" w:after="120"/>
        <w:rPr>
          <w:bCs/>
          <w:iCs/>
          <w:sz w:val="24"/>
          <w:szCs w:val="24"/>
          <w:lang w:val="en-US"/>
        </w:rPr>
      </w:pPr>
      <w:r w:rsidRPr="00A752C7">
        <w:rPr>
          <w:bCs/>
          <w:iCs/>
          <w:sz w:val="24"/>
          <w:szCs w:val="24"/>
        </w:rPr>
        <w:t>Editorial: </w:t>
      </w:r>
    </w:p>
    <w:p w:rsidR="00A752C7" w:rsidRPr="00A752C7" w:rsidRDefault="00235C47" w:rsidP="00A752C7">
      <w:pPr>
        <w:spacing w:before="240" w:after="120"/>
        <w:rPr>
          <w:b/>
          <w:bCs/>
          <w:iCs/>
          <w:sz w:val="24"/>
          <w:szCs w:val="24"/>
        </w:rPr>
      </w:pPr>
      <w:hyperlink r:id="rId73" w:history="1">
        <w:r w:rsidR="00A752C7" w:rsidRPr="00A752C7">
          <w:rPr>
            <w:rStyle w:val="Hyperlink"/>
            <w:b/>
            <w:bCs/>
            <w:iCs/>
            <w:sz w:val="24"/>
            <w:szCs w:val="24"/>
          </w:rPr>
          <w:t>Functional magnetic resonance imaging of the kidneys: where do we stand? The perspective of the European COST Action PARENCHIMA</w:t>
        </w:r>
      </w:hyperlink>
    </w:p>
    <w:p w:rsidR="00A752C7" w:rsidRPr="00A752C7" w:rsidRDefault="00A752C7" w:rsidP="00A752C7">
      <w:pPr>
        <w:spacing w:before="240" w:after="120"/>
        <w:rPr>
          <w:bCs/>
          <w:iCs/>
          <w:sz w:val="24"/>
          <w:szCs w:val="24"/>
        </w:rPr>
      </w:pPr>
      <w:r w:rsidRPr="00A752C7">
        <w:rPr>
          <w:bCs/>
          <w:iCs/>
          <w:sz w:val="24"/>
          <w:szCs w:val="24"/>
        </w:rPr>
        <w:t>Special report: </w:t>
      </w:r>
    </w:p>
    <w:p w:rsidR="00A752C7" w:rsidRPr="00A752C7" w:rsidRDefault="00235C47" w:rsidP="00A752C7">
      <w:pPr>
        <w:spacing w:before="240" w:after="120"/>
        <w:rPr>
          <w:b/>
          <w:bCs/>
          <w:iCs/>
          <w:sz w:val="24"/>
          <w:szCs w:val="24"/>
        </w:rPr>
      </w:pPr>
      <w:hyperlink r:id="rId74" w:history="1">
        <w:r w:rsidR="00A752C7" w:rsidRPr="00A752C7">
          <w:rPr>
            <w:rStyle w:val="Hyperlink"/>
            <w:b/>
            <w:bCs/>
            <w:iCs/>
            <w:sz w:val="24"/>
            <w:szCs w:val="24"/>
          </w:rPr>
          <w:t>Magnetic resonance imaging biomarkers for chronic kidney disease: a position paper from the European Cooperation in Science and Technology Action PARENCHIMA</w:t>
        </w:r>
      </w:hyperlink>
    </w:p>
    <w:p w:rsidR="00A752C7" w:rsidRPr="00A752C7" w:rsidRDefault="00A752C7" w:rsidP="00A752C7">
      <w:pPr>
        <w:spacing w:before="240" w:after="120"/>
        <w:rPr>
          <w:bCs/>
          <w:iCs/>
          <w:sz w:val="24"/>
          <w:szCs w:val="24"/>
        </w:rPr>
      </w:pPr>
      <w:r w:rsidRPr="00A752C7">
        <w:rPr>
          <w:bCs/>
          <w:iCs/>
          <w:sz w:val="24"/>
          <w:szCs w:val="24"/>
        </w:rPr>
        <w:t>Reviews: </w:t>
      </w:r>
    </w:p>
    <w:p w:rsidR="00A752C7" w:rsidRPr="00A752C7" w:rsidRDefault="00235C47" w:rsidP="00A752C7">
      <w:pPr>
        <w:spacing w:before="240" w:after="120"/>
        <w:rPr>
          <w:b/>
          <w:bCs/>
          <w:iCs/>
          <w:sz w:val="24"/>
          <w:szCs w:val="24"/>
        </w:rPr>
      </w:pPr>
      <w:hyperlink r:id="rId75" w:history="1">
        <w:r w:rsidR="00A752C7" w:rsidRPr="00A752C7">
          <w:rPr>
            <w:rStyle w:val="Hyperlink"/>
            <w:b/>
            <w:bCs/>
            <w:iCs/>
            <w:sz w:val="24"/>
            <w:szCs w:val="24"/>
          </w:rPr>
          <w:t>Arterial spin labelling MRI to measure renal perfusion: a systematic review and statement paper</w:t>
        </w:r>
      </w:hyperlink>
    </w:p>
    <w:p w:rsidR="00A752C7" w:rsidRPr="00A752C7" w:rsidRDefault="00235C47" w:rsidP="00A752C7">
      <w:pPr>
        <w:spacing w:before="240" w:after="120"/>
        <w:rPr>
          <w:b/>
          <w:bCs/>
          <w:iCs/>
          <w:sz w:val="24"/>
          <w:szCs w:val="24"/>
        </w:rPr>
      </w:pPr>
      <w:hyperlink r:id="rId76" w:history="1">
        <w:r w:rsidR="00A752C7" w:rsidRPr="00A752C7">
          <w:rPr>
            <w:rStyle w:val="Hyperlink"/>
            <w:b/>
            <w:bCs/>
            <w:iCs/>
            <w:sz w:val="24"/>
            <w:szCs w:val="24"/>
          </w:rPr>
          <w:t>Renal blood oxygenation level-dependent magnetic resonance imaging to measure renal tissue oxygenation: a statement paper and systematic review</w:t>
        </w:r>
      </w:hyperlink>
    </w:p>
    <w:p w:rsidR="00A752C7" w:rsidRPr="00A752C7" w:rsidRDefault="00235C47" w:rsidP="000C4C7E">
      <w:pPr>
        <w:spacing w:before="240" w:after="120"/>
        <w:rPr>
          <w:b/>
          <w:bCs/>
          <w:iCs/>
          <w:sz w:val="24"/>
          <w:szCs w:val="24"/>
        </w:rPr>
      </w:pPr>
      <w:hyperlink r:id="rId77" w:history="1">
        <w:r w:rsidR="00A752C7" w:rsidRPr="00A752C7">
          <w:rPr>
            <w:rStyle w:val="Hyperlink"/>
            <w:b/>
            <w:bCs/>
            <w:iCs/>
            <w:sz w:val="24"/>
            <w:szCs w:val="24"/>
          </w:rPr>
          <w:t>Diffusion-weighted magnetic resonance imaging to assess diffuse renal pathology: a systematic review and statement paper</w:t>
        </w:r>
      </w:hyperlink>
    </w:p>
    <w:p w:rsidR="00A752C7" w:rsidRPr="00A752C7" w:rsidRDefault="00235C47" w:rsidP="00D35368">
      <w:pPr>
        <w:spacing w:before="240" w:after="600"/>
        <w:rPr>
          <w:b/>
          <w:bCs/>
          <w:iCs/>
          <w:sz w:val="24"/>
          <w:szCs w:val="24"/>
        </w:rPr>
      </w:pPr>
      <w:hyperlink r:id="rId78" w:history="1">
        <w:r w:rsidR="00A752C7" w:rsidRPr="00A752C7">
          <w:rPr>
            <w:rStyle w:val="Hyperlink"/>
            <w:b/>
            <w:bCs/>
            <w:iCs/>
            <w:sz w:val="24"/>
            <w:szCs w:val="24"/>
          </w:rPr>
          <w:t>Magnetic resonance imaging T1- and T2-mapping to assess renal structure and function: a systematic review and statement paper</w:t>
        </w:r>
      </w:hyperlink>
    </w:p>
    <w:p w:rsidR="00D35368" w:rsidRPr="00D35368" w:rsidRDefault="00D35368" w:rsidP="00D35368">
      <w:pPr>
        <w:pStyle w:val="Heading2"/>
        <w:ind w:left="426"/>
      </w:pPr>
      <w:bookmarkStart w:id="38" w:name="_Toc535323857"/>
      <w:r w:rsidRPr="00D35368">
        <w:t>Guidelines for supporting children with disabilities' play: Methodologies, tools, and contexts</w:t>
      </w:r>
      <w:bookmarkEnd w:id="38"/>
    </w:p>
    <w:p w:rsidR="00A752C7" w:rsidRDefault="00D35368" w:rsidP="00A56C40">
      <w:pPr>
        <w:spacing w:before="240" w:after="120"/>
        <w:rPr>
          <w:bCs/>
          <w:iCs/>
          <w:sz w:val="24"/>
          <w:szCs w:val="24"/>
          <w:lang w:val="en-US"/>
        </w:rPr>
      </w:pPr>
      <w:r w:rsidRPr="00D35368">
        <w:rPr>
          <w:bCs/>
          <w:iCs/>
          <w:noProof/>
          <w:sz w:val="24"/>
          <w:szCs w:val="24"/>
          <w:lang w:eastAsia="bg-BG"/>
        </w:rPr>
        <w:drawing>
          <wp:anchor distT="0" distB="0" distL="114300" distR="114300" simplePos="0" relativeHeight="251701248" behindDoc="1" locked="0" layoutInCell="1" allowOverlap="1" wp14:anchorId="6A610D07" wp14:editId="283DAEAB">
            <wp:simplePos x="0" y="0"/>
            <wp:positionH relativeFrom="column">
              <wp:posOffset>29210</wp:posOffset>
            </wp:positionH>
            <wp:positionV relativeFrom="paragraph">
              <wp:posOffset>203835</wp:posOffset>
            </wp:positionV>
            <wp:extent cx="1184275" cy="1670050"/>
            <wp:effectExtent l="0" t="0" r="0" b="6350"/>
            <wp:wrapThrough wrapText="bothSides">
              <wp:wrapPolygon edited="0">
                <wp:start x="0" y="0"/>
                <wp:lineTo x="0" y="21436"/>
                <wp:lineTo x="21195" y="21436"/>
                <wp:lineTo x="21195" y="0"/>
                <wp:lineTo x="0" y="0"/>
              </wp:wrapPolygon>
            </wp:wrapThrough>
            <wp:docPr id="18" name="Picture 18" descr="http://www.cost.eu/var/ezwebin_site/storage/images/medialib/images/library/publications/ludi/1932648-1-eng-GB/LUDI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st.eu/var/ezwebin_site/storage/images/medialib/images/library/publications/ludi/1932648-1-eng-GB/LUDI_publication.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84275" cy="1670050"/>
                    </a:xfrm>
                    <a:prstGeom prst="rect">
                      <a:avLst/>
                    </a:prstGeom>
                    <a:noFill/>
                    <a:ln>
                      <a:noFill/>
                    </a:ln>
                  </pic:spPr>
                </pic:pic>
              </a:graphicData>
            </a:graphic>
          </wp:anchor>
        </w:drawing>
      </w: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Default="00D35368" w:rsidP="00D35368">
      <w:pPr>
        <w:spacing w:before="240" w:after="120"/>
        <w:ind w:left="720"/>
        <w:rPr>
          <w:bCs/>
          <w:iCs/>
          <w:sz w:val="24"/>
          <w:szCs w:val="24"/>
          <w:lang w:val="en-US"/>
        </w:rPr>
      </w:pPr>
    </w:p>
    <w:p w:rsidR="00D35368" w:rsidRPr="00D35368" w:rsidRDefault="00D35368" w:rsidP="00D35368">
      <w:pPr>
        <w:spacing w:before="240" w:after="120"/>
        <w:ind w:left="720"/>
        <w:rPr>
          <w:bCs/>
          <w:iCs/>
          <w:sz w:val="24"/>
          <w:szCs w:val="24"/>
        </w:rPr>
      </w:pPr>
      <w:r w:rsidRPr="00D35368">
        <w:rPr>
          <w:bCs/>
          <w:iCs/>
          <w:sz w:val="24"/>
          <w:szCs w:val="24"/>
        </w:rPr>
        <w:t>Author(s): Encarnação, P., Ray-Kaeser, S., Bianquin, N.</w:t>
      </w:r>
    </w:p>
    <w:p w:rsidR="00D35368" w:rsidRPr="00D35368" w:rsidRDefault="00D35368" w:rsidP="00D35368">
      <w:pPr>
        <w:spacing w:before="120" w:after="120"/>
        <w:ind w:left="720"/>
        <w:rPr>
          <w:bCs/>
          <w:iCs/>
          <w:sz w:val="24"/>
          <w:szCs w:val="24"/>
        </w:rPr>
      </w:pPr>
      <w:r w:rsidRPr="00D35368">
        <w:rPr>
          <w:bCs/>
          <w:iCs/>
          <w:sz w:val="24"/>
          <w:szCs w:val="24"/>
        </w:rPr>
        <w:t>Publisher(s): De Gruyter</w:t>
      </w:r>
    </w:p>
    <w:p w:rsidR="00D35368" w:rsidRPr="00D35368" w:rsidRDefault="00235C47" w:rsidP="00D35368">
      <w:pPr>
        <w:spacing w:before="240" w:after="120"/>
        <w:rPr>
          <w:bCs/>
          <w:iCs/>
          <w:sz w:val="24"/>
          <w:szCs w:val="24"/>
        </w:rPr>
      </w:pPr>
      <w:hyperlink r:id="rId80" w:history="1">
        <w:r w:rsidR="00D35368" w:rsidRPr="00D35368">
          <w:rPr>
            <w:rStyle w:val="Hyperlink"/>
            <w:bCs/>
            <w:iCs/>
            <w:sz w:val="24"/>
            <w:szCs w:val="24"/>
          </w:rPr>
          <w:t>https://www.degruyter.com/viewbooktoc/product/507228?rskey=Te34SV&amp;result=1</w:t>
        </w:r>
      </w:hyperlink>
    </w:p>
    <w:p w:rsidR="00D35368" w:rsidRPr="00D35368" w:rsidRDefault="00D35368" w:rsidP="00D35368">
      <w:pPr>
        <w:spacing w:before="240" w:after="120"/>
        <w:rPr>
          <w:bCs/>
          <w:iCs/>
          <w:sz w:val="24"/>
          <w:szCs w:val="24"/>
        </w:rPr>
      </w:pPr>
      <w:r w:rsidRPr="00D35368">
        <w:rPr>
          <w:bCs/>
          <w:iCs/>
          <w:sz w:val="24"/>
          <w:szCs w:val="24"/>
        </w:rPr>
        <w:t>Play for the sake of play, without any secondary goals, if of utmost importance for children’s wellbeing and development. In this book, you’ll find guidelines to support children with disabilities’ play. Providing ready-to-use information in a lay-person language, this book is for parents, teachers, rehabilitation professionals, toy manufacturers, policymakers and all persons interested in the topic of play for children with disabilities.</w:t>
      </w:r>
    </w:p>
    <w:p w:rsidR="00F65FD0" w:rsidRDefault="004F281C" w:rsidP="00060767">
      <w:pPr>
        <w:pStyle w:val="Heading2"/>
        <w:ind w:left="426"/>
        <w:rPr>
          <w:lang w:val="en-US"/>
        </w:rPr>
      </w:pPr>
      <w:bookmarkStart w:id="39" w:name="_Toc535323858"/>
      <w:r w:rsidRPr="00060767">
        <w:t xml:space="preserve">European University Association: </w:t>
      </w:r>
      <w:hyperlink r:id="rId81" w:history="1">
        <w:r w:rsidR="00060767" w:rsidRPr="00060767">
          <w:t>A comparative analysis of public procurement frameworks and practices in universities in some EU countries</w:t>
        </w:r>
        <w:bookmarkEnd w:id="39"/>
      </w:hyperlink>
    </w:p>
    <w:p w:rsidR="00512606" w:rsidRPr="003F15BE" w:rsidRDefault="00512606" w:rsidP="00512606">
      <w:pPr>
        <w:rPr>
          <w:rFonts w:eastAsia="Times New Roman" w:cs="Times New Roman"/>
          <w:sz w:val="24"/>
          <w:szCs w:val="24"/>
          <w:lang w:val="en-GB" w:eastAsia="bg-BG"/>
        </w:rPr>
      </w:pPr>
      <w:r w:rsidRPr="003F15BE">
        <w:rPr>
          <w:rFonts w:eastAsia="Times New Roman" w:cs="Times New Roman"/>
          <w:sz w:val="24"/>
          <w:szCs w:val="24"/>
          <w:lang w:val="en-GB" w:eastAsia="bg-BG"/>
        </w:rPr>
        <w:t>A substantial share of public investment is spent on public procurement in the European Union and quality public services depend on well-managed and efficient modern procurement. Public higher education institutions, including university hospitals, are important public procurers. Universities act not only as buyers (of goods, services and works), but also as providers for other public authorities as well as companies, particularly in the context of research, development and innovation.</w:t>
      </w:r>
    </w:p>
    <w:p w:rsidR="00512606" w:rsidRPr="003F15BE" w:rsidRDefault="00235C47" w:rsidP="00512606">
      <w:pPr>
        <w:rPr>
          <w:rFonts w:eastAsia="Times New Roman" w:cs="Times New Roman"/>
          <w:b/>
          <w:color w:val="7A7A7A"/>
          <w:sz w:val="24"/>
          <w:szCs w:val="24"/>
          <w:lang w:val="en-GB" w:eastAsia="bg-BG"/>
        </w:rPr>
      </w:pPr>
      <w:hyperlink r:id="rId82" w:history="1">
        <w:r w:rsidR="00512606" w:rsidRPr="003F15BE">
          <w:rPr>
            <w:rStyle w:val="Hyperlink"/>
            <w:rFonts w:eastAsia="Times New Roman" w:cs="Times New Roman"/>
            <w:b/>
            <w:bCs/>
            <w:sz w:val="24"/>
            <w:szCs w:val="24"/>
            <w:lang w:val="en-GB" w:eastAsia="bg-BG"/>
          </w:rPr>
          <w:t>Read more</w:t>
        </w:r>
      </w:hyperlink>
      <w:r w:rsidR="00512606" w:rsidRPr="003F15BE">
        <w:rPr>
          <w:rFonts w:eastAsia="Times New Roman" w:cs="Times New Roman"/>
          <w:b/>
          <w:color w:val="7A7A7A"/>
          <w:sz w:val="24"/>
          <w:szCs w:val="24"/>
          <w:lang w:val="en-GB" w:eastAsia="bg-BG"/>
        </w:rPr>
        <w:t xml:space="preserve"> </w:t>
      </w:r>
      <w:hyperlink r:id="rId83" w:tgtFrame="_blank" w:history="1">
        <w:r w:rsidR="00512606" w:rsidRPr="003F15BE">
          <w:rPr>
            <w:rStyle w:val="Hyperlink"/>
            <w:rFonts w:eastAsia="Times New Roman" w:cs="Times New Roman"/>
            <w:b/>
            <w:sz w:val="24"/>
            <w:szCs w:val="24"/>
            <w:lang w:val="en-GB" w:eastAsia="bg-BG"/>
          </w:rPr>
          <w:t>Download</w:t>
        </w:r>
      </w:hyperlink>
    </w:p>
    <w:p w:rsidR="00060767" w:rsidRPr="00060767" w:rsidRDefault="00060767" w:rsidP="00060767">
      <w:pPr>
        <w:rPr>
          <w:lang w:val="en-US"/>
        </w:rPr>
      </w:pPr>
    </w:p>
    <w:p w:rsidR="00060767" w:rsidRDefault="00060767" w:rsidP="003F15BE">
      <w:pPr>
        <w:pStyle w:val="Heading2"/>
        <w:ind w:left="426"/>
        <w:rPr>
          <w:rFonts w:cs="Helvetica"/>
          <w:lang w:val="en-GB"/>
        </w:rPr>
      </w:pPr>
      <w:bookmarkStart w:id="40" w:name="_Toc535323859"/>
      <w:r w:rsidRPr="00060767">
        <w:t>European University Association:</w:t>
      </w:r>
      <w:r w:rsidRPr="00060767">
        <w:rPr>
          <w:rFonts w:cs="Helvetica"/>
          <w:lang w:val="en-GB"/>
        </w:rPr>
        <w:t xml:space="preserve"> </w:t>
      </w:r>
      <w:hyperlink r:id="rId84" w:history="1">
        <w:r w:rsidRPr="00060767">
          <w:rPr>
            <w:rFonts w:cs="Helvetica"/>
            <w:color w:val="337AB7"/>
            <w:bdr w:val="none" w:sz="0" w:space="0" w:color="auto" w:frame="1"/>
            <w:lang w:val="en-GB"/>
          </w:rPr>
          <w:t>Efficiency, Leadership and Governance: Closing the gap between strategy and execution</w:t>
        </w:r>
        <w:bookmarkEnd w:id="40"/>
      </w:hyperlink>
    </w:p>
    <w:p w:rsidR="00060767" w:rsidRPr="003F15BE" w:rsidRDefault="00060767" w:rsidP="00060767">
      <w:pPr>
        <w:rPr>
          <w:rFonts w:cs="Helvetica"/>
          <w:sz w:val="24"/>
          <w:szCs w:val="24"/>
          <w:lang w:val="en-GB"/>
        </w:rPr>
      </w:pPr>
      <w:r w:rsidRPr="003F15BE">
        <w:rPr>
          <w:rFonts w:cs="Helvetica"/>
          <w:sz w:val="24"/>
          <w:szCs w:val="24"/>
          <w:lang w:val="en-GB"/>
        </w:rPr>
        <w:t>Many European universities are initiating strategic transformation programmes that either seek a step change in institutional efficiency, respond to drastic shifts in higher education policy and financing, or improve their competitive academic advantage. Key ingredients for successful strategy implementation at universities include effective institutional leadership (governance and management), coherent operating models and structures and institutional culture. Leadership provides direction and defines accountability and responsibility for strategic academic outcomes. Operating models and structures provide an institutional platform for effective and efficient delivery, and culture is an all-pervasive feature of academic life that defines the shared institutional beliefs, which shape how the university delivers its academic mission.</w:t>
      </w:r>
    </w:p>
    <w:p w:rsidR="00060767" w:rsidRPr="003F15BE" w:rsidRDefault="00235C47" w:rsidP="00EF7777">
      <w:pPr>
        <w:spacing w:after="480"/>
        <w:rPr>
          <w:rFonts w:cs="Helvetica"/>
          <w:sz w:val="24"/>
          <w:szCs w:val="24"/>
          <w:lang w:val="en-GB"/>
        </w:rPr>
      </w:pPr>
      <w:hyperlink r:id="rId85" w:history="1">
        <w:r w:rsidR="00060767" w:rsidRPr="003F15BE">
          <w:rPr>
            <w:rStyle w:val="Hyperlink"/>
            <w:rFonts w:cs="Helvetica"/>
            <w:b/>
            <w:bCs/>
            <w:sz w:val="24"/>
            <w:szCs w:val="24"/>
            <w:lang w:val="en-GB"/>
          </w:rPr>
          <w:t>Read more</w:t>
        </w:r>
      </w:hyperlink>
      <w:r w:rsidR="00060767" w:rsidRPr="003F15BE">
        <w:rPr>
          <w:rFonts w:cs="Helvetica"/>
          <w:b/>
          <w:sz w:val="24"/>
          <w:szCs w:val="24"/>
          <w:lang w:val="en-GB"/>
        </w:rPr>
        <w:t xml:space="preserve"> </w:t>
      </w:r>
      <w:hyperlink r:id="rId86" w:tgtFrame="_blank" w:history="1">
        <w:r w:rsidR="00060767" w:rsidRPr="003F15BE">
          <w:rPr>
            <w:rStyle w:val="Hyperlink"/>
            <w:rFonts w:cs="Helvetica"/>
            <w:b/>
            <w:sz w:val="24"/>
            <w:szCs w:val="24"/>
            <w:lang w:val="en-GB"/>
          </w:rPr>
          <w:t>Download</w:t>
        </w:r>
      </w:hyperlink>
    </w:p>
    <w:p w:rsidR="003F15BE" w:rsidRDefault="003F15BE" w:rsidP="003F15BE">
      <w:pPr>
        <w:pStyle w:val="Heading2"/>
        <w:ind w:left="426"/>
        <w:rPr>
          <w:lang w:val="en-US"/>
        </w:rPr>
      </w:pPr>
      <w:bookmarkStart w:id="41" w:name="_Toc535323860"/>
      <w:r w:rsidRPr="003F15BE">
        <w:rPr>
          <w:lang w:val="en-US"/>
        </w:rPr>
        <w:t>ECOSTBio: Explicit Control Over Spin States in Technology and Biochemistry - Special Issue in Chemistry: A European Journal</w:t>
      </w:r>
      <w:bookmarkEnd w:id="41"/>
    </w:p>
    <w:p w:rsidR="003F15BE" w:rsidRDefault="00314D0A" w:rsidP="0007095F">
      <w:pPr>
        <w:rPr>
          <w:lang w:val="en-US"/>
        </w:rPr>
      </w:pPr>
      <w:r>
        <w:rPr>
          <w:rFonts w:ascii="Arial" w:hAnsi="Arial" w:cs="Arial"/>
          <w:noProof/>
          <w:color w:val="E1783C"/>
          <w:sz w:val="21"/>
          <w:szCs w:val="21"/>
          <w:lang w:eastAsia="bg-BG"/>
        </w:rPr>
        <w:drawing>
          <wp:inline distT="0" distB="0" distL="0" distR="0" wp14:anchorId="715DAB81" wp14:editId="31896F92">
            <wp:extent cx="1336040" cy="1772920"/>
            <wp:effectExtent l="0" t="0" r="0" b="0"/>
            <wp:docPr id="12" name="Picture 12" descr="https://www.cost.eu/wp-content/uploads/2018/07/ECOSTbio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wp-content/uploads/2018/07/ECOSTbio_publication.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36040" cy="1772920"/>
                    </a:xfrm>
                    <a:prstGeom prst="rect">
                      <a:avLst/>
                    </a:prstGeom>
                    <a:noFill/>
                    <a:ln>
                      <a:noFill/>
                    </a:ln>
                  </pic:spPr>
                </pic:pic>
              </a:graphicData>
            </a:graphic>
          </wp:inline>
        </w:drawing>
      </w:r>
    </w:p>
    <w:p w:rsidR="005832F0" w:rsidRPr="003F15BE" w:rsidRDefault="00401C29" w:rsidP="0007095F">
      <w:pPr>
        <w:rPr>
          <w:rFonts w:eastAsia="Times New Roman" w:cs="Times New Roman"/>
          <w:color w:val="0070C0"/>
          <w:sz w:val="24"/>
          <w:szCs w:val="24"/>
          <w:lang w:val="en-US" w:eastAsia="bg-BG"/>
        </w:rPr>
      </w:pPr>
      <w:hyperlink r:id="rId88" w:tgtFrame="_blank" w:history="1">
        <w:r w:rsidR="00F63A6E" w:rsidRPr="003F15BE">
          <w:rPr>
            <w:rFonts w:eastAsia="Times New Roman" w:cs="Times New Roman"/>
            <w:color w:val="0070C0"/>
            <w:sz w:val="24"/>
            <w:szCs w:val="24"/>
            <w:lang w:val="en-US" w:eastAsia="bg-BG"/>
          </w:rPr>
          <w:t>https://onlinelibrary.wiley.com/toc/15213765/2018/24/20</w:t>
        </w:r>
      </w:hyperlink>
    </w:p>
    <w:p w:rsidR="003F15BE" w:rsidRPr="003F15BE" w:rsidRDefault="003F15BE" w:rsidP="0007095F">
      <w:pPr>
        <w:rPr>
          <w:rFonts w:eastAsia="Times New Roman" w:cs="Times New Roman"/>
          <w:sz w:val="24"/>
          <w:szCs w:val="24"/>
          <w:lang w:val="en-US" w:eastAsia="bg-BG"/>
        </w:rPr>
      </w:pPr>
      <w:r>
        <w:rPr>
          <w:rFonts w:eastAsia="Times New Roman" w:cs="Times New Roman"/>
          <w:b/>
          <w:bCs/>
          <w:sz w:val="24"/>
          <w:szCs w:val="24"/>
          <w:lang w:val="en-US" w:eastAsia="bg-BG"/>
        </w:rPr>
        <w:t>T</w:t>
      </w:r>
      <w:r w:rsidRPr="003F15BE">
        <w:rPr>
          <w:rFonts w:eastAsia="Times New Roman" w:cs="Times New Roman"/>
          <w:b/>
          <w:bCs/>
          <w:sz w:val="24"/>
          <w:szCs w:val="24"/>
          <w:lang w:eastAsia="bg-BG"/>
        </w:rPr>
        <w:t>he cover of this Special Issue</w:t>
      </w:r>
      <w:r w:rsidRPr="003F15BE">
        <w:rPr>
          <w:rFonts w:eastAsia="Times New Roman" w:cs="Times New Roman"/>
          <w:sz w:val="24"/>
          <w:szCs w:val="24"/>
          <w:lang w:eastAsia="bg-BG"/>
        </w:rPr>
        <w:t> shows the location of both experimental and theoretical research groups that collaborate in the ECOSTBio COST Action CM1305. This Special Issue coincides with the last meeting organized by ECOSTBio</w:t>
      </w:r>
      <w:r>
        <w:rPr>
          <w:rFonts w:eastAsia="Times New Roman" w:cs="Times New Roman"/>
          <w:sz w:val="24"/>
          <w:szCs w:val="24"/>
          <w:lang w:val="en-US" w:eastAsia="bg-BG"/>
        </w:rPr>
        <w:t xml:space="preserve">. </w:t>
      </w:r>
      <w:r w:rsidRPr="003F15BE">
        <w:rPr>
          <w:rFonts w:eastAsia="Times New Roman" w:cs="Times New Roman"/>
          <w:sz w:val="24"/>
          <w:szCs w:val="24"/>
          <w:lang w:eastAsia="bg-BG"/>
        </w:rPr>
        <w:t>This European network has been working since 2014 on tackling a diversity of chemical problems in which electronic spin is a key factor. The walking</w:t>
      </w:r>
      <w:r w:rsidRPr="003F15BE">
        <w:rPr>
          <w:rFonts w:ascii="Cambria Math" w:eastAsia="Times New Roman" w:hAnsi="Cambria Math" w:cs="Cambria Math"/>
          <w:sz w:val="24"/>
          <w:szCs w:val="24"/>
          <w:lang w:eastAsia="bg-BG"/>
        </w:rPr>
        <w:t>‐</w:t>
      </w:r>
      <w:r w:rsidRPr="003F15BE">
        <w:rPr>
          <w:rFonts w:eastAsia="Times New Roman" w:cs="Times New Roman"/>
          <w:sz w:val="24"/>
          <w:szCs w:val="24"/>
          <w:lang w:eastAsia="bg-BG"/>
        </w:rPr>
        <w:t xml:space="preserve">molecule logo shows how the field has moved ahead towards joint experimental/theory studies: “Together we're strong”. This special issue is based upon work from COST Action CM1305 (ECOSTBio), supported by COST (European Cooperation in Science and Technology), which is a funding agency for research and innovation networks. </w:t>
      </w:r>
    </w:p>
    <w:p w:rsidR="005832F0" w:rsidRPr="005832F0" w:rsidRDefault="005832F0" w:rsidP="005832F0">
      <w:pPr>
        <w:spacing w:after="0" w:line="240" w:lineRule="auto"/>
        <w:jc w:val="center"/>
        <w:rPr>
          <w:rFonts w:ascii="Exo" w:eastAsia="Times New Roman" w:hAnsi="Exo" w:cs="Arial"/>
          <w:color w:val="737373"/>
          <w:sz w:val="21"/>
          <w:szCs w:val="21"/>
          <w:lang w:val="en-US" w:eastAsia="bg-BG"/>
        </w:rPr>
      </w:pPr>
    </w:p>
    <w:p w:rsidR="00314D0A" w:rsidRPr="00314D0A" w:rsidRDefault="00314D0A" w:rsidP="00025E65">
      <w:pPr>
        <w:spacing w:after="480"/>
        <w:rPr>
          <w:noProof/>
          <w:sz w:val="24"/>
          <w:szCs w:val="24"/>
          <w:lang w:eastAsia="bg-BG"/>
        </w:rPr>
      </w:pPr>
    </w:p>
    <w:sectPr w:rsidR="00314D0A" w:rsidRPr="00314D0A" w:rsidSect="002852EF">
      <w:footerReference w:type="default" r:id="rId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C47" w:rsidRDefault="00235C47" w:rsidP="003B2D94">
      <w:pPr>
        <w:spacing w:after="0" w:line="240" w:lineRule="auto"/>
      </w:pPr>
      <w:r>
        <w:separator/>
      </w:r>
    </w:p>
  </w:endnote>
  <w:endnote w:type="continuationSeparator" w:id="0">
    <w:p w:rsidR="00235C47" w:rsidRDefault="00235C47"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Ex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01C29">
      <w:tc>
        <w:tcPr>
          <w:tcW w:w="4500" w:type="pct"/>
          <w:tcBorders>
            <w:top w:val="single" w:sz="4" w:space="0" w:color="000000" w:themeColor="text1"/>
          </w:tcBorders>
        </w:tcPr>
        <w:p w:rsidR="00401C29" w:rsidRPr="00D22505" w:rsidRDefault="00401C2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01C29" w:rsidRDefault="00401C29">
          <w:pPr>
            <w:pStyle w:val="Header"/>
            <w:rPr>
              <w:color w:val="FFFFFF" w:themeColor="background1"/>
            </w:rPr>
          </w:pPr>
          <w:r>
            <w:fldChar w:fldCharType="begin"/>
          </w:r>
          <w:r>
            <w:instrText xml:space="preserve"> PAGE   \* MERGEFORMAT </w:instrText>
          </w:r>
          <w:r>
            <w:fldChar w:fldCharType="separate"/>
          </w:r>
          <w:r w:rsidR="00F63A6E" w:rsidRPr="00F63A6E">
            <w:rPr>
              <w:noProof/>
              <w:color w:val="FFFFFF" w:themeColor="background1"/>
            </w:rPr>
            <w:t>2</w:t>
          </w:r>
          <w:r>
            <w:rPr>
              <w:noProof/>
              <w:color w:val="FFFFFF" w:themeColor="background1"/>
            </w:rPr>
            <w:fldChar w:fldCharType="end"/>
          </w:r>
        </w:p>
      </w:tc>
    </w:tr>
  </w:tbl>
  <w:p w:rsidR="00401C29" w:rsidRDefault="00401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401C29">
      <w:tc>
        <w:tcPr>
          <w:tcW w:w="4500" w:type="pct"/>
          <w:tcBorders>
            <w:top w:val="single" w:sz="4" w:space="0" w:color="000000" w:themeColor="text1"/>
          </w:tcBorders>
        </w:tcPr>
        <w:p w:rsidR="00401C29" w:rsidRPr="00D22505" w:rsidRDefault="00401C2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01C29" w:rsidRDefault="00401C29">
          <w:pPr>
            <w:pStyle w:val="Header"/>
            <w:rPr>
              <w:color w:val="FFFFFF" w:themeColor="background1"/>
            </w:rPr>
          </w:pPr>
          <w:r>
            <w:fldChar w:fldCharType="begin"/>
          </w:r>
          <w:r>
            <w:instrText xml:space="preserve"> PAGE   \* MERGEFORMAT </w:instrText>
          </w:r>
          <w:r>
            <w:fldChar w:fldCharType="separate"/>
          </w:r>
          <w:r w:rsidR="00F63A6E" w:rsidRPr="00F63A6E">
            <w:rPr>
              <w:noProof/>
              <w:color w:val="FFFFFF" w:themeColor="background1"/>
            </w:rPr>
            <w:t>6</w:t>
          </w:r>
          <w:r>
            <w:rPr>
              <w:noProof/>
              <w:color w:val="FFFFFF" w:themeColor="background1"/>
            </w:rPr>
            <w:fldChar w:fldCharType="end"/>
          </w:r>
        </w:p>
      </w:tc>
    </w:tr>
  </w:tbl>
  <w:p w:rsidR="00401C29" w:rsidRDefault="00401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401C29" w:rsidTr="00D22505">
      <w:tc>
        <w:tcPr>
          <w:tcW w:w="4500" w:type="pct"/>
          <w:tcBorders>
            <w:top w:val="single" w:sz="4" w:space="0" w:color="000000" w:themeColor="text1"/>
          </w:tcBorders>
        </w:tcPr>
        <w:p w:rsidR="00401C29" w:rsidRPr="00D22505" w:rsidRDefault="00401C2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401C29" w:rsidRDefault="00401C29">
          <w:pPr>
            <w:pStyle w:val="Header"/>
            <w:rPr>
              <w:color w:val="FFFFFF" w:themeColor="background1"/>
            </w:rPr>
          </w:pPr>
          <w:r>
            <w:fldChar w:fldCharType="begin"/>
          </w:r>
          <w:r>
            <w:instrText xml:space="preserve"> PAGE   \* MERGEFORMAT </w:instrText>
          </w:r>
          <w:r>
            <w:fldChar w:fldCharType="separate"/>
          </w:r>
          <w:r w:rsidR="00F63A6E" w:rsidRPr="00F63A6E">
            <w:rPr>
              <w:noProof/>
              <w:color w:val="FFFFFF" w:themeColor="background1"/>
            </w:rPr>
            <w:t>24</w:t>
          </w:r>
          <w:r>
            <w:rPr>
              <w:noProof/>
              <w:color w:val="FFFFFF" w:themeColor="background1"/>
            </w:rPr>
            <w:fldChar w:fldCharType="end"/>
          </w:r>
        </w:p>
      </w:tc>
    </w:tr>
  </w:tbl>
  <w:p w:rsidR="00401C29" w:rsidRDefault="00401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01C29" w:rsidTr="00D22505">
      <w:tc>
        <w:tcPr>
          <w:tcW w:w="4500" w:type="pct"/>
          <w:tcBorders>
            <w:top w:val="single" w:sz="4" w:space="0" w:color="000000" w:themeColor="text1"/>
          </w:tcBorders>
        </w:tcPr>
        <w:p w:rsidR="00401C29" w:rsidRPr="00D22505" w:rsidRDefault="00401C2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401C29" w:rsidRDefault="00401C29">
          <w:pPr>
            <w:pStyle w:val="Header"/>
            <w:rPr>
              <w:color w:val="FFFFFF" w:themeColor="background1"/>
            </w:rPr>
          </w:pPr>
          <w:r>
            <w:fldChar w:fldCharType="begin"/>
          </w:r>
          <w:r>
            <w:instrText xml:space="preserve"> PAGE   \* MERGEFORMAT </w:instrText>
          </w:r>
          <w:r>
            <w:fldChar w:fldCharType="separate"/>
          </w:r>
          <w:r w:rsidR="00F63A6E" w:rsidRPr="00F63A6E">
            <w:rPr>
              <w:noProof/>
              <w:color w:val="FFFFFF" w:themeColor="background1"/>
            </w:rPr>
            <w:t>29</w:t>
          </w:r>
          <w:r>
            <w:rPr>
              <w:noProof/>
              <w:color w:val="FFFFFF" w:themeColor="background1"/>
            </w:rPr>
            <w:fldChar w:fldCharType="end"/>
          </w:r>
        </w:p>
      </w:tc>
    </w:tr>
  </w:tbl>
  <w:p w:rsidR="00401C29" w:rsidRDefault="00401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01C29" w:rsidTr="00413D6F">
      <w:tc>
        <w:tcPr>
          <w:tcW w:w="4500" w:type="pct"/>
          <w:tcBorders>
            <w:top w:val="single" w:sz="4" w:space="0" w:color="000000" w:themeColor="text1"/>
          </w:tcBorders>
        </w:tcPr>
        <w:p w:rsidR="00401C29" w:rsidRPr="00D22505" w:rsidRDefault="00401C2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401C29" w:rsidRDefault="00401C29">
          <w:pPr>
            <w:pStyle w:val="Header"/>
            <w:rPr>
              <w:color w:val="FFFFFF" w:themeColor="background1"/>
            </w:rPr>
          </w:pPr>
          <w:r>
            <w:fldChar w:fldCharType="begin"/>
          </w:r>
          <w:r>
            <w:instrText xml:space="preserve"> PAGE   \* MERGEFORMAT </w:instrText>
          </w:r>
          <w:r>
            <w:fldChar w:fldCharType="separate"/>
          </w:r>
          <w:r w:rsidR="00F63A6E" w:rsidRPr="00F63A6E">
            <w:rPr>
              <w:noProof/>
              <w:color w:val="FFFFFF" w:themeColor="background1"/>
            </w:rPr>
            <w:t>32</w:t>
          </w:r>
          <w:r>
            <w:rPr>
              <w:noProof/>
              <w:color w:val="FFFFFF" w:themeColor="background1"/>
            </w:rPr>
            <w:fldChar w:fldCharType="end"/>
          </w:r>
        </w:p>
      </w:tc>
    </w:tr>
  </w:tbl>
  <w:p w:rsidR="00401C29" w:rsidRDefault="0040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C47" w:rsidRDefault="00235C47" w:rsidP="003B2D94">
      <w:pPr>
        <w:spacing w:after="0" w:line="240" w:lineRule="auto"/>
      </w:pPr>
      <w:r>
        <w:separator/>
      </w:r>
    </w:p>
  </w:footnote>
  <w:footnote w:type="continuationSeparator" w:id="0">
    <w:p w:rsidR="00235C47" w:rsidRDefault="00235C47"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7CFA"/>
    <w:multiLevelType w:val="hybridMultilevel"/>
    <w:tmpl w:val="988CB6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A60881"/>
    <w:multiLevelType w:val="multilevel"/>
    <w:tmpl w:val="FD42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1B1E"/>
    <w:multiLevelType w:val="multilevel"/>
    <w:tmpl w:val="094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24AD2"/>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1069" w:hanging="360"/>
      </w:pPr>
      <w:rPr>
        <w:rFonts w:ascii="Wingdings" w:hAnsi="Wingdings" w:hint="default"/>
        <w:color w:val="auto"/>
      </w:rPr>
    </w:lvl>
    <w:lvl w:ilvl="1" w:tplc="433EFA36">
      <w:numFmt w:val="bullet"/>
      <w:lvlText w:val="-"/>
      <w:lvlJc w:val="left"/>
      <w:pPr>
        <w:ind w:left="-4089" w:hanging="360"/>
      </w:pPr>
      <w:rPr>
        <w:rFonts w:ascii="Times New Roman" w:eastAsiaTheme="minorHAnsi" w:hAnsi="Times New Roman" w:cs="Times New Roman" w:hint="default"/>
      </w:rPr>
    </w:lvl>
    <w:lvl w:ilvl="2" w:tplc="04020005" w:tentative="1">
      <w:start w:val="1"/>
      <w:numFmt w:val="bullet"/>
      <w:lvlText w:val=""/>
      <w:lvlJc w:val="left"/>
      <w:pPr>
        <w:ind w:left="-3369" w:hanging="360"/>
      </w:pPr>
      <w:rPr>
        <w:rFonts w:ascii="Wingdings" w:hAnsi="Wingdings" w:hint="default"/>
      </w:rPr>
    </w:lvl>
    <w:lvl w:ilvl="3" w:tplc="04020001" w:tentative="1">
      <w:start w:val="1"/>
      <w:numFmt w:val="bullet"/>
      <w:lvlText w:val=""/>
      <w:lvlJc w:val="left"/>
      <w:pPr>
        <w:ind w:left="-2649" w:hanging="360"/>
      </w:pPr>
      <w:rPr>
        <w:rFonts w:ascii="Symbol" w:hAnsi="Symbol" w:hint="default"/>
      </w:rPr>
    </w:lvl>
    <w:lvl w:ilvl="4" w:tplc="04020003" w:tentative="1">
      <w:start w:val="1"/>
      <w:numFmt w:val="bullet"/>
      <w:lvlText w:val="o"/>
      <w:lvlJc w:val="left"/>
      <w:pPr>
        <w:ind w:left="-1929" w:hanging="360"/>
      </w:pPr>
      <w:rPr>
        <w:rFonts w:ascii="Courier New" w:hAnsi="Courier New" w:cs="Courier New" w:hint="default"/>
      </w:rPr>
    </w:lvl>
    <w:lvl w:ilvl="5" w:tplc="04020005" w:tentative="1">
      <w:start w:val="1"/>
      <w:numFmt w:val="bullet"/>
      <w:lvlText w:val=""/>
      <w:lvlJc w:val="left"/>
      <w:pPr>
        <w:ind w:left="-1209" w:hanging="360"/>
      </w:pPr>
      <w:rPr>
        <w:rFonts w:ascii="Wingdings" w:hAnsi="Wingdings" w:hint="default"/>
      </w:rPr>
    </w:lvl>
    <w:lvl w:ilvl="6" w:tplc="04020001" w:tentative="1">
      <w:start w:val="1"/>
      <w:numFmt w:val="bullet"/>
      <w:lvlText w:val=""/>
      <w:lvlJc w:val="left"/>
      <w:pPr>
        <w:ind w:left="-489" w:hanging="360"/>
      </w:pPr>
      <w:rPr>
        <w:rFonts w:ascii="Symbol" w:hAnsi="Symbol" w:hint="default"/>
      </w:rPr>
    </w:lvl>
    <w:lvl w:ilvl="7" w:tplc="04020003" w:tentative="1">
      <w:start w:val="1"/>
      <w:numFmt w:val="bullet"/>
      <w:lvlText w:val="o"/>
      <w:lvlJc w:val="left"/>
      <w:pPr>
        <w:ind w:left="231" w:hanging="360"/>
      </w:pPr>
      <w:rPr>
        <w:rFonts w:ascii="Courier New" w:hAnsi="Courier New" w:cs="Courier New" w:hint="default"/>
      </w:rPr>
    </w:lvl>
    <w:lvl w:ilvl="8" w:tplc="04020005" w:tentative="1">
      <w:start w:val="1"/>
      <w:numFmt w:val="bullet"/>
      <w:lvlText w:val=""/>
      <w:lvlJc w:val="left"/>
      <w:pPr>
        <w:ind w:left="951" w:hanging="360"/>
      </w:pPr>
      <w:rPr>
        <w:rFonts w:ascii="Wingdings" w:hAnsi="Wingdings" w:hint="default"/>
      </w:rPr>
    </w:lvl>
  </w:abstractNum>
  <w:abstractNum w:abstractNumId="6" w15:restartNumberingAfterBreak="0">
    <w:nsid w:val="20B15361"/>
    <w:multiLevelType w:val="multilevel"/>
    <w:tmpl w:val="EE20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6BC3"/>
    <w:multiLevelType w:val="multilevel"/>
    <w:tmpl w:val="BAB8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DB0"/>
    <w:multiLevelType w:val="hybridMultilevel"/>
    <w:tmpl w:val="E79AAC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995B0B"/>
    <w:multiLevelType w:val="hybridMultilevel"/>
    <w:tmpl w:val="05A62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BE773DB"/>
    <w:multiLevelType w:val="multilevel"/>
    <w:tmpl w:val="CCC6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364EE"/>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4801ED"/>
    <w:multiLevelType w:val="hybridMultilevel"/>
    <w:tmpl w:val="0B82EB86"/>
    <w:lvl w:ilvl="0" w:tplc="1B74A89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3904BA4"/>
    <w:multiLevelType w:val="multilevel"/>
    <w:tmpl w:val="4930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5446C"/>
    <w:multiLevelType w:val="hybridMultilevel"/>
    <w:tmpl w:val="35E60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C252443"/>
    <w:multiLevelType w:val="multilevel"/>
    <w:tmpl w:val="CFF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50D96"/>
    <w:multiLevelType w:val="multilevel"/>
    <w:tmpl w:val="BF4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676E5"/>
    <w:multiLevelType w:val="hybridMultilevel"/>
    <w:tmpl w:val="2CC02F28"/>
    <w:lvl w:ilvl="0" w:tplc="5F303A76">
      <w:start w:val="1"/>
      <w:numFmt w:val="bullet"/>
      <w:lvlText w:val="–"/>
      <w:lvlJc w:val="left"/>
      <w:pPr>
        <w:ind w:left="1068"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9" w15:restartNumberingAfterBreak="0">
    <w:nsid w:val="41220A2C"/>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C40EF0"/>
    <w:multiLevelType w:val="multilevel"/>
    <w:tmpl w:val="92D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973BB"/>
    <w:multiLevelType w:val="multilevel"/>
    <w:tmpl w:val="204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E464D"/>
    <w:multiLevelType w:val="multilevel"/>
    <w:tmpl w:val="8D06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631D6"/>
    <w:multiLevelType w:val="hybridMultilevel"/>
    <w:tmpl w:val="3856CD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DB60592"/>
    <w:multiLevelType w:val="multilevel"/>
    <w:tmpl w:val="B806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C2896"/>
    <w:multiLevelType w:val="multilevel"/>
    <w:tmpl w:val="7B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A7E55"/>
    <w:multiLevelType w:val="multilevel"/>
    <w:tmpl w:val="C21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793900"/>
    <w:multiLevelType w:val="hybridMultilevel"/>
    <w:tmpl w:val="F3AA52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2BB0CFB"/>
    <w:multiLevelType w:val="multilevel"/>
    <w:tmpl w:val="751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4341E"/>
    <w:multiLevelType w:val="multilevel"/>
    <w:tmpl w:val="2A7E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7553F"/>
    <w:multiLevelType w:val="multilevel"/>
    <w:tmpl w:val="1F74EC18"/>
    <w:lvl w:ilvl="0">
      <w:start w:val="1"/>
      <w:numFmt w:val="bullet"/>
      <w:lvlText w:val="¬"/>
      <w:lvlJc w:val="left"/>
      <w:pPr>
        <w:ind w:left="360" w:hanging="360"/>
      </w:pPr>
      <w:rPr>
        <w:rFonts w:ascii="Calibri" w:hAnsi="Calibri"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F49010C"/>
    <w:multiLevelType w:val="hybridMultilevel"/>
    <w:tmpl w:val="9D90210A"/>
    <w:lvl w:ilvl="0" w:tplc="E102CF60">
      <w:start w:val="1"/>
      <w:numFmt w:val="bullet"/>
      <w:lvlText w:val=""/>
      <w:lvlJc w:val="left"/>
      <w:pPr>
        <w:ind w:left="1428" w:hanging="360"/>
      </w:pPr>
      <w:rPr>
        <w:rFonts w:ascii="Symbol" w:hAnsi="Symbol" w:hint="default"/>
        <w:color w:val="auto"/>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33" w15:restartNumberingAfterBreak="0">
    <w:nsid w:val="7AB253A1"/>
    <w:multiLevelType w:val="hybridMultilevel"/>
    <w:tmpl w:val="29D65C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B511992"/>
    <w:multiLevelType w:val="hybridMultilevel"/>
    <w:tmpl w:val="5588B5B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15:restartNumberingAfterBreak="0">
    <w:nsid w:val="7C3600B1"/>
    <w:multiLevelType w:val="multilevel"/>
    <w:tmpl w:val="849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AC189F"/>
    <w:multiLevelType w:val="multilevel"/>
    <w:tmpl w:val="9A2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7D5795"/>
    <w:multiLevelType w:val="multilevel"/>
    <w:tmpl w:val="59B6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2"/>
  </w:num>
  <w:num w:numId="4">
    <w:abstractNumId w:val="17"/>
  </w:num>
  <w:num w:numId="5">
    <w:abstractNumId w:val="23"/>
  </w:num>
  <w:num w:numId="6">
    <w:abstractNumId w:val="33"/>
  </w:num>
  <w:num w:numId="7">
    <w:abstractNumId w:val="34"/>
  </w:num>
  <w:num w:numId="8">
    <w:abstractNumId w:val="10"/>
  </w:num>
  <w:num w:numId="9">
    <w:abstractNumId w:val="8"/>
  </w:num>
  <w:num w:numId="10">
    <w:abstractNumId w:val="16"/>
  </w:num>
  <w:num w:numId="11">
    <w:abstractNumId w:val="26"/>
  </w:num>
  <w:num w:numId="12">
    <w:abstractNumId w:val="6"/>
  </w:num>
  <w:num w:numId="13">
    <w:abstractNumId w:val="35"/>
  </w:num>
  <w:num w:numId="14">
    <w:abstractNumId w:val="4"/>
  </w:num>
  <w:num w:numId="15">
    <w:abstractNumId w:val="29"/>
  </w:num>
  <w:num w:numId="16">
    <w:abstractNumId w:val="12"/>
  </w:num>
  <w:num w:numId="17">
    <w:abstractNumId w:val="9"/>
  </w:num>
  <w:num w:numId="18">
    <w:abstractNumId w:val="19"/>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7"/>
  </w:num>
  <w:num w:numId="24">
    <w:abstractNumId w:val="7"/>
  </w:num>
  <w:num w:numId="25">
    <w:abstractNumId w:val="20"/>
  </w:num>
  <w:num w:numId="26">
    <w:abstractNumId w:val="22"/>
  </w:num>
  <w:num w:numId="27">
    <w:abstractNumId w:val="11"/>
  </w:num>
  <w:num w:numId="28">
    <w:abstractNumId w:val="15"/>
  </w:num>
  <w:num w:numId="29">
    <w:abstractNumId w:val="28"/>
  </w:num>
  <w:num w:numId="30">
    <w:abstractNumId w:val="0"/>
  </w:num>
  <w:num w:numId="31">
    <w:abstractNumId w:val="36"/>
  </w:num>
  <w:num w:numId="32">
    <w:abstractNumId w:val="37"/>
  </w:num>
  <w:num w:numId="33">
    <w:abstractNumId w:val="21"/>
  </w:num>
  <w:num w:numId="34">
    <w:abstractNumId w:val="1"/>
  </w:num>
  <w:num w:numId="35">
    <w:abstractNumId w:val="30"/>
  </w:num>
  <w:num w:numId="36">
    <w:abstractNumId w:val="3"/>
  </w:num>
  <w:num w:numId="37">
    <w:abstractNumId w:val="14"/>
  </w:num>
  <w:num w:numId="3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51BA"/>
    <w:rsid w:val="00005575"/>
    <w:rsid w:val="000055B1"/>
    <w:rsid w:val="000059D6"/>
    <w:rsid w:val="00005D48"/>
    <w:rsid w:val="0000671B"/>
    <w:rsid w:val="00006C12"/>
    <w:rsid w:val="00006D5A"/>
    <w:rsid w:val="00006D5E"/>
    <w:rsid w:val="000077B1"/>
    <w:rsid w:val="00007D37"/>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A0"/>
    <w:rsid w:val="00092449"/>
    <w:rsid w:val="0009355C"/>
    <w:rsid w:val="0009411C"/>
    <w:rsid w:val="00094240"/>
    <w:rsid w:val="000944D7"/>
    <w:rsid w:val="0009468A"/>
    <w:rsid w:val="00094C9D"/>
    <w:rsid w:val="00095214"/>
    <w:rsid w:val="00095A13"/>
    <w:rsid w:val="00095F8A"/>
    <w:rsid w:val="00096194"/>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4EB0"/>
    <w:rsid w:val="000D5FE3"/>
    <w:rsid w:val="000D66C4"/>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5D9A"/>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1CC"/>
    <w:rsid w:val="0022792B"/>
    <w:rsid w:val="00227D1A"/>
    <w:rsid w:val="002300FB"/>
    <w:rsid w:val="0023078A"/>
    <w:rsid w:val="00230A7A"/>
    <w:rsid w:val="0023116B"/>
    <w:rsid w:val="00231CE8"/>
    <w:rsid w:val="00231D49"/>
    <w:rsid w:val="002329B6"/>
    <w:rsid w:val="00234023"/>
    <w:rsid w:val="002347AD"/>
    <w:rsid w:val="002358E3"/>
    <w:rsid w:val="00235C47"/>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CF7"/>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AD1"/>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59F"/>
    <w:rsid w:val="0029564F"/>
    <w:rsid w:val="00295ECF"/>
    <w:rsid w:val="00296397"/>
    <w:rsid w:val="002963B2"/>
    <w:rsid w:val="00297127"/>
    <w:rsid w:val="0029721A"/>
    <w:rsid w:val="00297247"/>
    <w:rsid w:val="0029743C"/>
    <w:rsid w:val="00297B1B"/>
    <w:rsid w:val="002A0B04"/>
    <w:rsid w:val="002A1300"/>
    <w:rsid w:val="002A1A8C"/>
    <w:rsid w:val="002A1AC6"/>
    <w:rsid w:val="002A1E7C"/>
    <w:rsid w:val="002A28EA"/>
    <w:rsid w:val="002A28F8"/>
    <w:rsid w:val="002A3530"/>
    <w:rsid w:val="002A3C27"/>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44F"/>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346B"/>
    <w:rsid w:val="00313D17"/>
    <w:rsid w:val="003144B3"/>
    <w:rsid w:val="00314D0A"/>
    <w:rsid w:val="0031537C"/>
    <w:rsid w:val="0031633C"/>
    <w:rsid w:val="003177A0"/>
    <w:rsid w:val="003178A7"/>
    <w:rsid w:val="00317D76"/>
    <w:rsid w:val="00317F7D"/>
    <w:rsid w:val="003201D4"/>
    <w:rsid w:val="00320527"/>
    <w:rsid w:val="0032055D"/>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5C1B"/>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5B9"/>
    <w:rsid w:val="003569BE"/>
    <w:rsid w:val="00356BA2"/>
    <w:rsid w:val="003573E3"/>
    <w:rsid w:val="0035762E"/>
    <w:rsid w:val="003578C5"/>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34A"/>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5DC"/>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A07"/>
    <w:rsid w:val="00404D98"/>
    <w:rsid w:val="0040510A"/>
    <w:rsid w:val="00407101"/>
    <w:rsid w:val="004074B2"/>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81C"/>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606"/>
    <w:rsid w:val="00512BDF"/>
    <w:rsid w:val="005130FE"/>
    <w:rsid w:val="00513221"/>
    <w:rsid w:val="00513980"/>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270"/>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C0310"/>
    <w:rsid w:val="005C086E"/>
    <w:rsid w:val="005C12C8"/>
    <w:rsid w:val="005C22FF"/>
    <w:rsid w:val="005C3245"/>
    <w:rsid w:val="005C329D"/>
    <w:rsid w:val="005C3D75"/>
    <w:rsid w:val="005C3FC4"/>
    <w:rsid w:val="005C4C9C"/>
    <w:rsid w:val="005C50E0"/>
    <w:rsid w:val="005C537E"/>
    <w:rsid w:val="005C53EB"/>
    <w:rsid w:val="005C6234"/>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20B"/>
    <w:rsid w:val="005E2473"/>
    <w:rsid w:val="005E3930"/>
    <w:rsid w:val="005E3E75"/>
    <w:rsid w:val="005E4ACA"/>
    <w:rsid w:val="005E534D"/>
    <w:rsid w:val="005E5D04"/>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F4B"/>
    <w:rsid w:val="006470CD"/>
    <w:rsid w:val="006473DB"/>
    <w:rsid w:val="00647612"/>
    <w:rsid w:val="00647900"/>
    <w:rsid w:val="0065010A"/>
    <w:rsid w:val="00653884"/>
    <w:rsid w:val="00653E10"/>
    <w:rsid w:val="00654626"/>
    <w:rsid w:val="00654A5D"/>
    <w:rsid w:val="006552FB"/>
    <w:rsid w:val="00655722"/>
    <w:rsid w:val="006562C1"/>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1C4E"/>
    <w:rsid w:val="006821DB"/>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454"/>
    <w:rsid w:val="006D7DC6"/>
    <w:rsid w:val="006D7E8D"/>
    <w:rsid w:val="006D7FAC"/>
    <w:rsid w:val="006E0A3F"/>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20D4"/>
    <w:rsid w:val="00702393"/>
    <w:rsid w:val="007029F1"/>
    <w:rsid w:val="00702E3C"/>
    <w:rsid w:val="00703071"/>
    <w:rsid w:val="00703403"/>
    <w:rsid w:val="00703950"/>
    <w:rsid w:val="00704202"/>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7E3"/>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CEB"/>
    <w:rsid w:val="00861970"/>
    <w:rsid w:val="008619A0"/>
    <w:rsid w:val="00861F06"/>
    <w:rsid w:val="008625F3"/>
    <w:rsid w:val="00863234"/>
    <w:rsid w:val="00863812"/>
    <w:rsid w:val="00863946"/>
    <w:rsid w:val="008642F1"/>
    <w:rsid w:val="00864B1A"/>
    <w:rsid w:val="00864C33"/>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774"/>
    <w:rsid w:val="00920889"/>
    <w:rsid w:val="009208F1"/>
    <w:rsid w:val="0092091A"/>
    <w:rsid w:val="009215F5"/>
    <w:rsid w:val="00921864"/>
    <w:rsid w:val="00921D8A"/>
    <w:rsid w:val="0092251D"/>
    <w:rsid w:val="00923139"/>
    <w:rsid w:val="00923264"/>
    <w:rsid w:val="00923D92"/>
    <w:rsid w:val="009245D7"/>
    <w:rsid w:val="0092482B"/>
    <w:rsid w:val="00924A4D"/>
    <w:rsid w:val="009259A2"/>
    <w:rsid w:val="0092603F"/>
    <w:rsid w:val="00926636"/>
    <w:rsid w:val="00926644"/>
    <w:rsid w:val="00926C28"/>
    <w:rsid w:val="0092755F"/>
    <w:rsid w:val="0093016C"/>
    <w:rsid w:val="00930215"/>
    <w:rsid w:val="0093095B"/>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B2A"/>
    <w:rsid w:val="00977EAD"/>
    <w:rsid w:val="00977F28"/>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3B9B"/>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68A"/>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2B19"/>
    <w:rsid w:val="00C332A6"/>
    <w:rsid w:val="00C33508"/>
    <w:rsid w:val="00C335BB"/>
    <w:rsid w:val="00C34B22"/>
    <w:rsid w:val="00C34EA6"/>
    <w:rsid w:val="00C3563C"/>
    <w:rsid w:val="00C3571D"/>
    <w:rsid w:val="00C36139"/>
    <w:rsid w:val="00C36A11"/>
    <w:rsid w:val="00C36CD1"/>
    <w:rsid w:val="00C36D68"/>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2CE"/>
    <w:rsid w:val="00CD2A76"/>
    <w:rsid w:val="00CD4401"/>
    <w:rsid w:val="00CD4508"/>
    <w:rsid w:val="00CD48C6"/>
    <w:rsid w:val="00CD4A3E"/>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875"/>
    <w:rsid w:val="00D02C25"/>
    <w:rsid w:val="00D0354B"/>
    <w:rsid w:val="00D03C1A"/>
    <w:rsid w:val="00D03DC5"/>
    <w:rsid w:val="00D03E4B"/>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51E"/>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86536"/>
    <w:rsid w:val="00D865FB"/>
    <w:rsid w:val="00D9089D"/>
    <w:rsid w:val="00D913A2"/>
    <w:rsid w:val="00D916D4"/>
    <w:rsid w:val="00D92836"/>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8A3"/>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25F7"/>
    <w:rsid w:val="00DE2C73"/>
    <w:rsid w:val="00DE30AB"/>
    <w:rsid w:val="00DE39F8"/>
    <w:rsid w:val="00DE4BC1"/>
    <w:rsid w:val="00DE4FC0"/>
    <w:rsid w:val="00DE56E7"/>
    <w:rsid w:val="00DE5D31"/>
    <w:rsid w:val="00DE5F81"/>
    <w:rsid w:val="00DE66C0"/>
    <w:rsid w:val="00DE67D8"/>
    <w:rsid w:val="00DE6870"/>
    <w:rsid w:val="00DF0063"/>
    <w:rsid w:val="00DF03B4"/>
    <w:rsid w:val="00DF0422"/>
    <w:rsid w:val="00DF066E"/>
    <w:rsid w:val="00DF0EEC"/>
    <w:rsid w:val="00DF14D6"/>
    <w:rsid w:val="00DF1B36"/>
    <w:rsid w:val="00DF2AC9"/>
    <w:rsid w:val="00DF2CE6"/>
    <w:rsid w:val="00DF2F18"/>
    <w:rsid w:val="00DF366A"/>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ECE"/>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75FB"/>
    <w:rsid w:val="00F27A0A"/>
    <w:rsid w:val="00F27C35"/>
    <w:rsid w:val="00F27F57"/>
    <w:rsid w:val="00F30131"/>
    <w:rsid w:val="00F30194"/>
    <w:rsid w:val="00F30B1F"/>
    <w:rsid w:val="00F311BE"/>
    <w:rsid w:val="00F31200"/>
    <w:rsid w:val="00F314B9"/>
    <w:rsid w:val="00F31B72"/>
    <w:rsid w:val="00F31BD9"/>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4CAD"/>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C68E9-BF95-4720-B559-5F4D05D9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mission.dgist.ac.kr/site/dgist_admission/menu/431.do" TargetMode="External"/><Relationship Id="rId18" Type="http://schemas.openxmlformats.org/officeDocument/2006/relationships/hyperlink" Target="mailto:internship@unicreditgroup.bg" TargetMode="External"/><Relationship Id="rId26" Type="http://schemas.openxmlformats.org/officeDocument/2006/relationships/hyperlink" Target="javascript:%20internSendMess('olivier.kachler@institutfrancais.bg')" TargetMode="External"/><Relationship Id="rId39" Type="http://schemas.openxmlformats.org/officeDocument/2006/relationships/hyperlink" Target="https://eacea.ec.europa.eu/erasmus-plus/funding/key-action2-european-universities-2019_en" TargetMode="External"/><Relationship Id="rId21" Type="http://schemas.openxmlformats.org/officeDocument/2006/relationships/hyperlink" Target="https://www.telerikacademy.com/alpha" TargetMode="External"/><Relationship Id="rId34" Type="http://schemas.openxmlformats.org/officeDocument/2006/relationships/hyperlink" Target="https://www.fni.bg/?q=node/578" TargetMode="External"/><Relationship Id="rId42" Type="http://schemas.openxmlformats.org/officeDocument/2006/relationships/hyperlink" Target="https://ec.europa.eu/programmes/erasmus-plus/resources/programme-guide_en" TargetMode="External"/><Relationship Id="rId47" Type="http://schemas.openxmlformats.org/officeDocument/2006/relationships/hyperlink" Target="https://www.neaa.government.bg/" TargetMode="External"/><Relationship Id="rId50" Type="http://schemas.openxmlformats.org/officeDocument/2006/relationships/hyperlink" Target="mailto:opencall@cost.eu" TargetMode="External"/><Relationship Id="rId55" Type="http://schemas.openxmlformats.org/officeDocument/2006/relationships/footer" Target="footer3.xml"/><Relationship Id="rId63" Type="http://schemas.openxmlformats.org/officeDocument/2006/relationships/hyperlink" Target="http://www.icpram.org/" TargetMode="External"/><Relationship Id="rId68" Type="http://schemas.openxmlformats.org/officeDocument/2006/relationships/hyperlink" Target="http://ecsdev.org/conference/7icsd-2019" TargetMode="External"/><Relationship Id="rId76" Type="http://schemas.openxmlformats.org/officeDocument/2006/relationships/hyperlink" Target="https://academic.oup.com/ndt/article/33/suppl_2/ii22/5078402" TargetMode="External"/><Relationship Id="rId84" Type="http://schemas.openxmlformats.org/officeDocument/2006/relationships/hyperlink" Target="https://eua.eu/resources/publications/800:efficiency,-leadership-and-governance-closing-the-gap-between-strategy-and-execution.html" TargetMode="External"/><Relationship Id="rId89"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https://publications.europa.eu/en/publication-detail/-/publication/f98e5fcb-0731-11e9-81b4-01aa75ed71a1/" TargetMode="External"/><Relationship Id="rId2" Type="http://schemas.openxmlformats.org/officeDocument/2006/relationships/customXml" Target="../customXml/item2.xml"/><Relationship Id="rId16" Type="http://schemas.openxmlformats.org/officeDocument/2006/relationships/hyperlink" Target="https://erecruitment.wto.org/public/hrd-cl-vac-view.asp?jobinfo_uid_c=3475&amp;vaclng=en" TargetMode="External"/><Relationship Id="rId29" Type="http://schemas.openxmlformats.org/officeDocument/2006/relationships/hyperlink" Target="https://www.quantera.eu/calls-for-proposals/call-2019" TargetMode="External"/><Relationship Id="rId11" Type="http://schemas.openxmlformats.org/officeDocument/2006/relationships/hyperlink" Target="http://www.acfe.com/scholarship.aspx" TargetMode="External"/><Relationship Id="rId24" Type="http://schemas.openxmlformats.org/officeDocument/2006/relationships/hyperlink" Target="http://www.fni.bg" TargetMode="External"/><Relationship Id="rId32" Type="http://schemas.openxmlformats.org/officeDocument/2006/relationships/hyperlink" Target="https://www.fni.bg/sites/default/files/documents/12_2014/Dokumenti%20kum%20nacionalnite%20iziskvania.zip" TargetMode="External"/><Relationship Id="rId37" Type="http://schemas.openxmlformats.org/officeDocument/2006/relationships/hyperlink" Target="https://www.fni.bg/sites/default/files/documents/11_2018/Dokumenti%20kum%20nacionalnite%20iziskvania.zip" TargetMode="External"/><Relationship Id="rId40" Type="http://schemas.openxmlformats.org/officeDocument/2006/relationships/hyperlink" Target="http://ec.europa.eu/programmes/erasmus-plus/resources/programme-guide_bg" TargetMode="External"/><Relationship Id="rId45" Type="http://schemas.openxmlformats.org/officeDocument/2006/relationships/hyperlink" Target="http://emits.sso.esa.int/emits/owa/emits.main" TargetMode="External"/><Relationship Id="rId53" Type="http://schemas.openxmlformats.org/officeDocument/2006/relationships/hyperlink" Target="http://ec.europa.eu/research/participants/portal/desktop/en/opportunities/h2020/" TargetMode="External"/><Relationship Id="rId58" Type="http://schemas.openxmlformats.org/officeDocument/2006/relationships/hyperlink" Target="https://www.eutrainingsite.com/training-courses/278/horizon-2020-project-management-and-finance" TargetMode="External"/><Relationship Id="rId66" Type="http://schemas.openxmlformats.org/officeDocument/2006/relationships/hyperlink" Target="https://molecularimmunology.conferenceseries.com/registration.php" TargetMode="External"/><Relationship Id="rId74" Type="http://schemas.openxmlformats.org/officeDocument/2006/relationships/hyperlink" Target="https://academic.oup.com/ndt/article/33/suppl_2/ii4/5078407" TargetMode="External"/><Relationship Id="rId79" Type="http://schemas.openxmlformats.org/officeDocument/2006/relationships/image" Target="media/image5.png"/><Relationship Id="rId87" Type="http://schemas.openxmlformats.org/officeDocument/2006/relationships/image" Target="media/image6.jpeg"/><Relationship Id="rId5" Type="http://schemas.openxmlformats.org/officeDocument/2006/relationships/settings" Target="settings.xml"/><Relationship Id="rId61" Type="http://schemas.openxmlformats.org/officeDocument/2006/relationships/hyperlink" Target="https://horizon2020.zenit.de/en/event/success-2019-01022019/" TargetMode="External"/><Relationship Id="rId82" Type="http://schemas.openxmlformats.org/officeDocument/2006/relationships/hyperlink" Target="https://eua.eu/resources/publications/806:a-comparative-analysis-of-public-procurement-frameworks-and-practices-in-universities-in-portugal-and-selected-eu-member-states.html" TargetMode="External"/><Relationship Id="rId90" Type="http://schemas.openxmlformats.org/officeDocument/2006/relationships/fontTable" Target="fontTable.xml"/><Relationship Id="rId19" Type="http://schemas.openxmlformats.org/officeDocument/2006/relationships/hyperlink" Target="http://www.fao.org/employment/opportunities-for-young-talents/internship-programme/en/" TargetMode="External"/><Relationship Id="rId14" Type="http://schemas.openxmlformats.org/officeDocument/2006/relationships/hyperlink" Target="mailto:malina.djekova@allianz.bg" TargetMode="External"/><Relationship Id="rId22" Type="http://schemas.openxmlformats.org/officeDocument/2006/relationships/hyperlink" Target="http://telerikacademy.com/" TargetMode="External"/><Relationship Id="rId27" Type="http://schemas.openxmlformats.org/officeDocument/2006/relationships/hyperlink" Target="javascript:%20internSendMess('iva.debrenlieva@institutfrancais.bg')" TargetMode="External"/><Relationship Id="rId30" Type="http://schemas.openxmlformats.org/officeDocument/2006/relationships/hyperlink" Target="https://ncn.gov.pl/partners/quantera2/" TargetMode="External"/><Relationship Id="rId35" Type="http://schemas.openxmlformats.org/officeDocument/2006/relationships/hyperlink" Target="http://euronanomed.net/joint-calls/10th-joint-call-2019/" TargetMode="External"/><Relationship Id="rId43" Type="http://schemas.openxmlformats.org/officeDocument/2006/relationships/hyperlink" Target="https://eacea.ec.europa.eu/erasmus-plus_en" TargetMode="External"/><Relationship Id="rId48" Type="http://schemas.openxmlformats.org/officeDocument/2006/relationships/hyperlink" Target="https://www.fni.bg/?q=node/527" TargetMode="External"/><Relationship Id="rId56" Type="http://schemas.openxmlformats.org/officeDocument/2006/relationships/hyperlink" Target="https://brussels.whiterose.ac.uk/events/european-societal-challenges-the-future-of-human-robot-interaction/" TargetMode="External"/><Relationship Id="rId64" Type="http://schemas.openxmlformats.org/officeDocument/2006/relationships/hyperlink" Target="http://www.icaart.org/" TargetMode="External"/><Relationship Id="rId69" Type="http://schemas.openxmlformats.org/officeDocument/2006/relationships/footer" Target="footer4.xml"/><Relationship Id="rId77" Type="http://schemas.openxmlformats.org/officeDocument/2006/relationships/hyperlink" Target="https://academic.oup.com/ndt/article/33/suppl_2/ii29/5078403" TargetMode="External"/><Relationship Id="rId8" Type="http://schemas.openxmlformats.org/officeDocument/2006/relationships/endnotes" Target="endnotes.xml"/><Relationship Id="rId51" Type="http://schemas.openxmlformats.org/officeDocument/2006/relationships/hyperlink" Target="https://www.fni.bg/sites/default/files/competition/10_2016/Procedura_COST_nac_finansirane%E2%80%9329012016.pdf" TargetMode="External"/><Relationship Id="rId72" Type="http://schemas.openxmlformats.org/officeDocument/2006/relationships/image" Target="media/image4.png"/><Relationship Id="rId80" Type="http://schemas.openxmlformats.org/officeDocument/2006/relationships/hyperlink" Target="https://www.degruyter.com/viewbooktoc/product/507228?rskey=Te34SV&amp;result=1" TargetMode="External"/><Relationship Id="rId85" Type="http://schemas.openxmlformats.org/officeDocument/2006/relationships/hyperlink" Target="https://eua.eu/resources/publications/800:efficiency,-leadership-and-governance-closing-the-gap-between-strategy-and-execution.html" TargetMode="External"/><Relationship Id="rId3" Type="http://schemas.openxmlformats.org/officeDocument/2006/relationships/numbering" Target="numbering.xml"/><Relationship Id="rId12" Type="http://schemas.openxmlformats.org/officeDocument/2006/relationships/hyperlink" Target="http://www.mon.bg/upload/17521/DGIST_promo.pdf" TargetMode="External"/><Relationship Id="rId17" Type="http://schemas.openxmlformats.org/officeDocument/2006/relationships/hyperlink" Target="http://www.unicreditbulbank.bg/bg/index.htm" TargetMode="External"/><Relationship Id="rId25" Type="http://schemas.openxmlformats.org/officeDocument/2006/relationships/image" Target="media/image2.emf"/><Relationship Id="rId33" Type="http://schemas.openxmlformats.org/officeDocument/2006/relationships/hyperlink" Target="mailto:aleksandrova@mon.bg" TargetMode="External"/><Relationship Id="rId38" Type="http://schemas.openxmlformats.org/officeDocument/2006/relationships/hyperlink" Target="mailto:aleksandrova@mon.bg" TargetMode="External"/><Relationship Id="rId46" Type="http://schemas.openxmlformats.org/officeDocument/2006/relationships/hyperlink" Target="javascript:%20internSendMess('p.piperkova@mi.government.bg')" TargetMode="External"/><Relationship Id="rId59" Type="http://schemas.openxmlformats.org/officeDocument/2006/relationships/hyperlink" Target="https://www.eventbrite.co.uk/e/h2020-eu-new-developments-in-industrial-biocatalysis-demonstration-workshop-tickets-52261958926" TargetMode="External"/><Relationship Id="rId67" Type="http://schemas.openxmlformats.org/officeDocument/2006/relationships/hyperlink" Target="https://eua.eu/events/31-2019-eua-annual-conference.html" TargetMode="External"/><Relationship Id="rId20" Type="http://schemas.openxmlformats.org/officeDocument/2006/relationships/hyperlink" Target="http://www.nurembergacademy.org/about-us/job-offers/detail/3-months-internship-14/" TargetMode="External"/><Relationship Id="rId41" Type="http://schemas.openxmlformats.org/officeDocument/2006/relationships/hyperlink" Target="https://eur-lex.europa.eu/legal-content/EN/TXT/?uri=uriserv:OJ.C_.2018.384.01.0004.01.ENG&amp;toc=OJ:C:2018:384:TOC" TargetMode="External"/><Relationship Id="rId54" Type="http://schemas.openxmlformats.org/officeDocument/2006/relationships/hyperlink" Target="http://www.kaowarsom.be/" TargetMode="External"/><Relationship Id="rId62" Type="http://schemas.openxmlformats.org/officeDocument/2006/relationships/hyperlink" Target="https://www.umweltbundesamt.de/en/raw-materials-environment-2019-start" TargetMode="External"/><Relationship Id="rId70" Type="http://schemas.openxmlformats.org/officeDocument/2006/relationships/image" Target="media/image3.jpeg"/><Relationship Id="rId75" Type="http://schemas.openxmlformats.org/officeDocument/2006/relationships/hyperlink" Target="https://academic.oup.com/ndt/article/33/suppl_2/ii15/5078404" TargetMode="External"/><Relationship Id="rId83" Type="http://schemas.openxmlformats.org/officeDocument/2006/relationships/hyperlink" Target="https://eua.eu/component/attachments/attachments.html?id=1870" TargetMode="External"/><Relationship Id="rId88" Type="http://schemas.openxmlformats.org/officeDocument/2006/relationships/hyperlink" Target="https://onlinelibrary.wiley.com/toc/15213765/2018/24/20"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karieri.bg/viewadv/rabota/44930_stajantska_poziciia_v_direkciia_planirane_i_kontroling/" TargetMode="External"/><Relationship Id="rId23" Type="http://schemas.openxmlformats.org/officeDocument/2006/relationships/footer" Target="footer2.xml"/><Relationship Id="rId28" Type="http://schemas.openxmlformats.org/officeDocument/2006/relationships/hyperlink" Target="https://www.fni.bg/?q=node/578" TargetMode="External"/><Relationship Id="rId36" Type="http://schemas.openxmlformats.org/officeDocument/2006/relationships/hyperlink" Target="https://www.fni.bg/sites/default/files/documents/11_2018/Nacionalni%20iziskvania%20i%20uslovia%20za%20dopustimost.pdf" TargetMode="External"/><Relationship Id="rId49" Type="http://schemas.openxmlformats.org/officeDocument/2006/relationships/hyperlink" Target="https://www.cost.eu/wp-content/uploads/2018/11/COST_Open_Call_SESA_guidelines-Nov-2018.pdf" TargetMode="External"/><Relationship Id="rId57" Type="http://schemas.openxmlformats.org/officeDocument/2006/relationships/hyperlink" Target="https://education.humanbrainproject.eu/web/3rd-hbp-student-conference" TargetMode="External"/><Relationship Id="rId10" Type="http://schemas.openxmlformats.org/officeDocument/2006/relationships/footer" Target="footer1.xml"/><Relationship Id="rId31" Type="http://schemas.openxmlformats.org/officeDocument/2006/relationships/hyperlink" Target="https://www.fni.bg/sites/default/files/documents/12_2014/Nacionalni%20iziskvania%20i%20uslovia%20za%20dopustimost.pdf" TargetMode="External"/><Relationship Id="rId44" Type="http://schemas.openxmlformats.org/officeDocument/2006/relationships/hyperlink" Target="http://europa.eu/rapid/press-release_IP-18-6170_bg.htm" TargetMode="External"/><Relationship Id="rId52" Type="http://schemas.openxmlformats.org/officeDocument/2006/relationships/hyperlink" Target="mailto:fni-konkursi@mon.bg" TargetMode="External"/><Relationship Id="rId60" Type="http://schemas.openxmlformats.org/officeDocument/2006/relationships/hyperlink" Target="https://eua.eu/events/24-2019-european-learning-teaching-forum.html" TargetMode="External"/><Relationship Id="rId65" Type="http://schemas.openxmlformats.org/officeDocument/2006/relationships/hyperlink" Target="https://brussels.whiterose.ac.uk/events/adapting-to-climate-change-are-our-solutions-working/" TargetMode="External"/><Relationship Id="rId73" Type="http://schemas.openxmlformats.org/officeDocument/2006/relationships/hyperlink" Target="https://academic.oup.com/ndt/article/33/suppl_2/ii1/5078405" TargetMode="External"/><Relationship Id="rId78" Type="http://schemas.openxmlformats.org/officeDocument/2006/relationships/hyperlink" Target="https://academic.oup.com/ndt/article/33/suppl_2/ii41/5078406" TargetMode="External"/><Relationship Id="rId81" Type="http://schemas.openxmlformats.org/officeDocument/2006/relationships/hyperlink" Target="https://eua.eu/resources/publications/806:a-comparative-analysis-of-public-procurement-frameworks-and-practices-in-universities-in-portugal-and-selected-eu-member-states.html" TargetMode="External"/><Relationship Id="rId86" Type="http://schemas.openxmlformats.org/officeDocument/2006/relationships/hyperlink" Target="https://eua.eu/component/attachments/attachments.html?id=1848" TargetMode="Externa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8FB7F0-0B0F-4503-9718-B8A31DE8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10828</Words>
  <Characters>61724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2019-01-17T16:26:00Z</dcterms:created>
  <dcterms:modified xsi:type="dcterms:W3CDTF">2019-01-17T16:26:00Z</dcterms:modified>
</cp:coreProperties>
</file>