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5731550"/>
        <w:docPartObj>
          <w:docPartGallery w:val="Cover Pages"/>
          <w:docPartUnique/>
        </w:docPartObj>
      </w:sdtPr>
      <w:sdtEndPr>
        <w:rPr>
          <w:b/>
          <w:sz w:val="28"/>
          <w:szCs w:val="28"/>
        </w:rPr>
      </w:sdtEndPr>
      <w:sdtContent>
        <w:p w:rsidR="008A2409" w:rsidRPr="008A2409" w:rsidRDefault="002A3E52" w:rsidP="008A2409">
          <w:pPr>
            <w:jc w:val="left"/>
            <w:rPr>
              <w:lang w:val="en-US"/>
            </w:rPr>
          </w:pPr>
          <w:r w:rsidRPr="00D43476">
            <w:rPr>
              <w:rFonts w:ascii="Comic Sans MS" w:hAnsi="Comic Sans MS"/>
              <w:b/>
              <w:noProof/>
              <w:color w:val="FF0000"/>
              <w:sz w:val="28"/>
              <w:szCs w:val="28"/>
              <w:lang w:eastAsia="bg-BG"/>
            </w:rPr>
            <mc:AlternateContent>
              <mc:Choice Requires="wpg">
                <w:drawing>
                  <wp:anchor distT="0" distB="0" distL="114300" distR="114300" simplePos="0" relativeHeight="251699200" behindDoc="0" locked="0" layoutInCell="1" allowOverlap="1" wp14:anchorId="1F61CFEC" wp14:editId="0672639C">
                    <wp:simplePos x="0" y="0"/>
                    <wp:positionH relativeFrom="column">
                      <wp:posOffset>-893445</wp:posOffset>
                    </wp:positionH>
                    <wp:positionV relativeFrom="paragraph">
                      <wp:posOffset>-899795</wp:posOffset>
                    </wp:positionV>
                    <wp:extent cx="7553960" cy="10690860"/>
                    <wp:effectExtent l="11430" t="0" r="0" b="635"/>
                    <wp:wrapNone/>
                    <wp:docPr id="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7" name="Group 37"/>
                            <wpg:cNvGrpSpPr>
                              <a:grpSpLocks/>
                            </wpg:cNvGrpSpPr>
                            <wpg:grpSpPr bwMode="auto">
                              <a:xfrm>
                                <a:off x="7147" y="0"/>
                                <a:ext cx="4759" cy="16836"/>
                                <a:chOff x="7560" y="0"/>
                                <a:chExt cx="4700" cy="15840"/>
                              </a:xfrm>
                            </wpg:grpSpPr>
                            <wps:wsp>
                              <wps:cNvPr id="8"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9"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2"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BA0805" w:rsidRPr="00015B3F" w:rsidRDefault="00BA0805">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ЮНИ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7</w:t>
                                      </w:r>
                                    </w:p>
                                  </w:sdtContent>
                                </w:sdt>
                              </w:txbxContent>
                            </wps:txbx>
                            <wps:bodyPr rot="0" vert="horz" wrap="square" lIns="223200" tIns="182880" rIns="182880" bIns="182880" anchor="b" anchorCtr="0" upright="1">
                              <a:noAutofit/>
                            </wps:bodyPr>
                          </wps:wsp>
                          <wps:wsp>
                            <wps:cNvPr id="13"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BA0805" w:rsidRPr="00015B3F" w:rsidRDefault="00BA0805"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BA0805" w:rsidRPr="00015B3F" w:rsidRDefault="00BA0805">
                                  <w:pPr>
                                    <w:pStyle w:val="NoSpacing"/>
                                    <w:spacing w:line="360" w:lineRule="auto"/>
                                    <w:rPr>
                                      <w:color w:val="FFFFFF" w:themeColor="background1"/>
                                      <w:sz w:val="28"/>
                                      <w:szCs w:val="28"/>
                                    </w:rPr>
                                  </w:pPr>
                                </w:p>
                                <w:p w:rsidR="00BA0805" w:rsidRPr="00015B3F" w:rsidRDefault="00BA0805">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4"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BA0805" w:rsidRPr="00D00941" w:rsidRDefault="00BA0805">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DoAUAANA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38"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tYLwA&#10;AADaAAAADwAAAGRycy9kb3ducmV2LnhtbERPuwrCMBTdBf8hXMFNUx2KVlMRURDBwRc4XpprW9rc&#10;lCZq/XszCI6H816uOlOLF7WutKxgMo5AEGdWl5wruF52oxkI55E11pZJwYccrNJ+b4mJtm8+0evs&#10;cxFC2CWooPC+SaR0WUEG3dg2xIF72NagD7DNpW7xHcJNLadRFEuDJYeGAhvaFJRV56dRMI8PkZHN&#10;Ot7d7jUeJ67y0+NWqeGgWy9AeOr8X/xz77WCsDVcCTdAp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My1gvAAAANoAAAAPAAAAAAAAAAAAAAAAAJgCAABkcnMvZG93bnJldi54&#10;bWxQSwUGAAAAAAQABAD1AAAAgQMAAAAA&#10;" fillcolor="#9bbb59 [3206]" stroked="f" strokecolor="#d8d8d8 [2732]"/>
                      <v:rect id="Rectangle 39"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pfBMIA&#10;AADaAAAADwAAAGRycy9kb3ducmV2LnhtbESPQWvCQBSE7wX/w/KE3ppNFVpNXUWkUj3VqLk/sq/Z&#10;0OzbkN0m8d93hUKPw8x8w6w2o21ET52vHSt4TlIQxKXTNVcKrpf90wKED8gaG8ek4EYeNuvJwwoz&#10;7QbOqT+HSkQI+wwVmBDaTEpfGrLoE9cSR+/LdRZDlF0ldYdDhNtGztL0RVqsOS4YbGlnqPw+/1gF&#10;x3RefLzjiZvXz14vh8JsUedKPU7H7RuIQGP4D/+1D1rBEu5X4g2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l8EwgAAANoAAAAPAAAAAAAAAAAAAAAAAJgCAABkcnMvZG93&#10;bnJldi54bWxQSwUGAAAAAAQABAD1AAAAhwMAAAAA&#10;" fillcolor="#9bbb59 [3206]" stroked="f" strokecolor="white [3212]" strokeweight="1pt">
                        <v:fill r:id="rId10" o:title="" opacity="52428f" o:opacity2="52428f" type="pattern"/>
                        <v:shadow color="#d8d8d8 [2732]" offset="3pt,3pt"/>
                      </v:rect>
                    </v:group>
                    <v:rect id="Rectangle 40" o:spid="_x0000_s1030" style="position:absolute;left:7144;width:4762;height:421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rcgMQA&#10;AADbAAAADwAAAGRycy9kb3ducmV2LnhtbESPQWvCQBCF74L/YRnBi+jGIFKiq4hYaHtr6sHjkB2T&#10;aHY27G409td3hYK3Gd773rxZb3vTiBs5X1tWMJ8lIIgLq2suFRx/3qdvIHxA1thYJgUP8rDdDAdr&#10;zLS98zfd8lCKGMI+QwVVCG0mpS8qMuhntiWO2tk6gyGurpTa4T2Gm0amSbKUBmuOFypsaV9Rcc07&#10;E2t8fvXzxSS9HPbH3PGy636T00Sp8ajfrUAE6sPL/E9/6Mil8PwlDi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63IDEAAAA2wAAAA8AAAAAAAAAAAAAAAAAmAIAAGRycy9k&#10;b3ducmV2LnhtbFBLBQYAAAAABAAEAPUAAACJAw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BA0805" w:rsidRPr="00015B3F" w:rsidRDefault="00BA0805">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ЮНИ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7</w:t>
                                </w:r>
                              </w:p>
                            </w:sdtContent>
                          </w:sdt>
                        </w:txbxContent>
                      </v:textbox>
                    </v:rect>
                    <v:rect id="Rectangle 41" o:spid="_x0000_s1031" style="position:absolute;left:7144;top:5040;width:4762;height:10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YGCsAA&#10;AADbAAAADwAAAGRycy9kb3ducmV2LnhtbERPS2vCQBC+C/6HZQq96aYWrERXEaEPBA+NpecxO01C&#10;s7Pp7qjpv3cFwdt8fM9ZrHrXqhOF2Hg28DTOQBGX3jZcGfjav45moKIgW2w9k4F/irBaDgcLzK0/&#10;8yedCqlUCuGYo4FapMu1jmVNDuPYd8SJ+/HBoSQYKm0DnlO4a/Uky6baYcOpocaONjWVv8XRGdht&#10;cWIlw+/9uniRv+Nb0O/xYMzjQ7+egxLq5S6+uT9smv8M11/SAXp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YGCsAAAADbAAAADwAAAAAAAAAAAAAAAACYAgAAZHJzL2Rvd25y&#10;ZXYueG1sUEsFBgAAAAAEAAQA9QAAAIUDA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BA0805" w:rsidRPr="00015B3F" w:rsidRDefault="00BA0805"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BA0805" w:rsidRPr="00015B3F" w:rsidRDefault="00BA0805">
                            <w:pPr>
                              <w:pStyle w:val="NoSpacing"/>
                              <w:spacing w:line="360" w:lineRule="auto"/>
                              <w:rPr>
                                <w:color w:val="FFFFFF" w:themeColor="background1"/>
                                <w:sz w:val="28"/>
                                <w:szCs w:val="28"/>
                              </w:rPr>
                            </w:pPr>
                          </w:p>
                          <w:p w:rsidR="00BA0805" w:rsidRPr="00015B3F" w:rsidRDefault="00BA0805">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1+8MA&#10;AADbAAAADwAAAGRycy9kb3ducmV2LnhtbERPTWvCQBC9F/wPywi9NRsbKSVmDWIReuhFW4jHMTsm&#10;MdnZkN3GtL/eFQq9zeN9TpZPphMjDa6xrGARxSCIS6sbrhR8fe6eXkE4j6yxs0wKfshBvp49ZJhq&#10;e+U9jQdfiRDCLkUFtfd9KqUrazLoItsTB+5sB4M+wKGSesBrCDedfI7jF2mw4dBQY0/bmsr28G0U&#10;+M3vvkj40p5252OyHN+K5IMLpR7n02YFwtPk/8V/7ncd5i/h/ks4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1+8MAAADbAAAADwAAAAAAAAAAAAAAAACYAgAAZHJzL2Rv&#10;d25yZXYueG1sUEsFBgAAAAAEAAQA9QAAAIgD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BA0805" w:rsidRPr="00D00941" w:rsidRDefault="00BA0805">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p w:rsidR="007D0952" w:rsidRPr="00D43476" w:rsidRDefault="00BA0805" w:rsidP="00585624">
          <w:pPr>
            <w:jc w:val="left"/>
            <w:rPr>
              <w:b/>
              <w:sz w:val="28"/>
              <w:szCs w:val="28"/>
            </w:rPr>
            <w:sectPr w:rsidR="007D0952" w:rsidRPr="00D43476" w:rsidSect="00460469">
              <w:footerReference w:type="default" r:id="rId11"/>
              <w:pgSz w:w="11906" w:h="16838"/>
              <w:pgMar w:top="1417" w:right="1417" w:bottom="1417" w:left="1417" w:header="708" w:footer="708" w:gutter="0"/>
              <w:cols w:space="708"/>
              <w:titlePg/>
              <w:docGrid w:linePitch="360"/>
            </w:sectPr>
          </w:pPr>
        </w:p>
      </w:sdtContent>
    </w:sdt>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Content>
        <w:p w:rsidR="006B19B3" w:rsidRPr="00585624" w:rsidRDefault="006B19B3">
          <w:pPr>
            <w:pStyle w:val="TOCHeading"/>
            <w:rPr>
              <w:color w:val="C0504D" w:themeColor="accent2"/>
              <w:lang w:val="ru-RU"/>
            </w:rPr>
          </w:pPr>
          <w:r w:rsidRPr="006B19B3">
            <w:rPr>
              <w:color w:val="C0504D" w:themeColor="accent2"/>
              <w:lang w:val="bg-BG"/>
            </w:rPr>
            <w:t>СЪДЪРЖ</w:t>
          </w:r>
          <w:bookmarkStart w:id="0" w:name="_GoBack"/>
          <w:bookmarkEnd w:id="0"/>
          <w:r w:rsidRPr="006B19B3">
            <w:rPr>
              <w:color w:val="C0504D" w:themeColor="accent2"/>
              <w:lang w:val="bg-BG"/>
            </w:rPr>
            <w:t>АНИЕ</w:t>
          </w:r>
        </w:p>
        <w:p w:rsidR="003B2D94" w:rsidRPr="003B2D94" w:rsidRDefault="003B2D94" w:rsidP="003B2D94"/>
        <w:p w:rsidR="000F300E" w:rsidRDefault="00B95219">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485041290" w:history="1">
            <w:r w:rsidR="000F300E" w:rsidRPr="001009E5">
              <w:rPr>
                <w:rStyle w:val="Hyperlink"/>
                <w:rFonts w:cs="Times New Roman"/>
                <w:noProof/>
              </w:rPr>
              <w:t>МАГИСТРАТУРИ, СТИПЕНДИИ, СТАЖОВЕ</w:t>
            </w:r>
            <w:r w:rsidR="000F300E">
              <w:rPr>
                <w:noProof/>
                <w:webHidden/>
              </w:rPr>
              <w:tab/>
            </w:r>
            <w:r w:rsidR="000F300E">
              <w:rPr>
                <w:noProof/>
                <w:webHidden/>
              </w:rPr>
              <w:fldChar w:fldCharType="begin"/>
            </w:r>
            <w:r w:rsidR="000F300E">
              <w:rPr>
                <w:noProof/>
                <w:webHidden/>
              </w:rPr>
              <w:instrText xml:space="preserve"> PAGEREF _Toc485041290 \h </w:instrText>
            </w:r>
            <w:r w:rsidR="000F300E">
              <w:rPr>
                <w:noProof/>
                <w:webHidden/>
              </w:rPr>
            </w:r>
            <w:r w:rsidR="000F300E">
              <w:rPr>
                <w:noProof/>
                <w:webHidden/>
              </w:rPr>
              <w:fldChar w:fldCharType="separate"/>
            </w:r>
            <w:r w:rsidR="000F300E">
              <w:rPr>
                <w:noProof/>
                <w:webHidden/>
              </w:rPr>
              <w:t>3</w:t>
            </w:r>
            <w:r w:rsidR="000F300E">
              <w:rPr>
                <w:noProof/>
                <w:webHidden/>
              </w:rPr>
              <w:fldChar w:fldCharType="end"/>
            </w:r>
          </w:hyperlink>
        </w:p>
        <w:p w:rsidR="000F300E" w:rsidRDefault="000F300E">
          <w:pPr>
            <w:pStyle w:val="TOC2"/>
            <w:tabs>
              <w:tab w:val="left" w:pos="660"/>
              <w:tab w:val="right" w:leader="dot" w:pos="9062"/>
            </w:tabs>
            <w:rPr>
              <w:rFonts w:asciiTheme="minorHAnsi" w:eastAsiaTheme="minorEastAsia" w:hAnsiTheme="minorHAnsi"/>
              <w:noProof/>
              <w:lang w:eastAsia="bg-BG"/>
            </w:rPr>
          </w:pPr>
          <w:hyperlink w:anchor="_Toc485041291" w:history="1">
            <w:r w:rsidRPr="001009E5">
              <w:rPr>
                <w:rStyle w:val="Hyperlink"/>
                <w:rFonts w:ascii="Wingdings" w:hAnsi="Wingdings"/>
                <w:noProof/>
                <w:lang w:val="ru-RU"/>
              </w:rPr>
              <w:t></w:t>
            </w:r>
            <w:r>
              <w:rPr>
                <w:rFonts w:asciiTheme="minorHAnsi" w:eastAsiaTheme="minorEastAsia" w:hAnsiTheme="minorHAnsi"/>
                <w:noProof/>
                <w:lang w:eastAsia="bg-BG"/>
              </w:rPr>
              <w:tab/>
            </w:r>
            <w:r w:rsidRPr="001009E5">
              <w:rPr>
                <w:rStyle w:val="Hyperlink"/>
                <w:noProof/>
              </w:rPr>
              <w:t>Платен стаж в Световната търговска организация</w:t>
            </w:r>
            <w:r>
              <w:rPr>
                <w:noProof/>
                <w:webHidden/>
              </w:rPr>
              <w:tab/>
            </w:r>
            <w:r>
              <w:rPr>
                <w:noProof/>
                <w:webHidden/>
              </w:rPr>
              <w:fldChar w:fldCharType="begin"/>
            </w:r>
            <w:r>
              <w:rPr>
                <w:noProof/>
                <w:webHidden/>
              </w:rPr>
              <w:instrText xml:space="preserve"> PAGEREF _Toc485041291 \h </w:instrText>
            </w:r>
            <w:r>
              <w:rPr>
                <w:noProof/>
                <w:webHidden/>
              </w:rPr>
            </w:r>
            <w:r>
              <w:rPr>
                <w:noProof/>
                <w:webHidden/>
              </w:rPr>
              <w:fldChar w:fldCharType="separate"/>
            </w:r>
            <w:r>
              <w:rPr>
                <w:noProof/>
                <w:webHidden/>
              </w:rPr>
              <w:t>3</w:t>
            </w:r>
            <w:r>
              <w:rPr>
                <w:noProof/>
                <w:webHidden/>
              </w:rPr>
              <w:fldChar w:fldCharType="end"/>
            </w:r>
          </w:hyperlink>
        </w:p>
        <w:p w:rsidR="000F300E" w:rsidRDefault="000F300E">
          <w:pPr>
            <w:pStyle w:val="TOC2"/>
            <w:tabs>
              <w:tab w:val="left" w:pos="660"/>
              <w:tab w:val="right" w:leader="dot" w:pos="9062"/>
            </w:tabs>
            <w:rPr>
              <w:rFonts w:asciiTheme="minorHAnsi" w:eastAsiaTheme="minorEastAsia" w:hAnsiTheme="minorHAnsi"/>
              <w:noProof/>
              <w:lang w:eastAsia="bg-BG"/>
            </w:rPr>
          </w:pPr>
          <w:hyperlink w:anchor="_Toc485041292" w:history="1">
            <w:r w:rsidRPr="001009E5">
              <w:rPr>
                <w:rStyle w:val="Hyperlink"/>
                <w:rFonts w:ascii="Wingdings" w:hAnsi="Wingdings"/>
                <w:noProof/>
              </w:rPr>
              <w:t></w:t>
            </w:r>
            <w:r>
              <w:rPr>
                <w:rFonts w:asciiTheme="minorHAnsi" w:eastAsiaTheme="minorEastAsia" w:hAnsiTheme="minorHAnsi"/>
                <w:noProof/>
                <w:lang w:eastAsia="bg-BG"/>
              </w:rPr>
              <w:tab/>
            </w:r>
            <w:r w:rsidRPr="001009E5">
              <w:rPr>
                <w:rStyle w:val="Hyperlink"/>
                <w:noProof/>
              </w:rPr>
              <w:t>Стажантска програма на УниКредит Булбанк</w:t>
            </w:r>
            <w:r>
              <w:rPr>
                <w:noProof/>
                <w:webHidden/>
              </w:rPr>
              <w:tab/>
            </w:r>
            <w:r>
              <w:rPr>
                <w:noProof/>
                <w:webHidden/>
              </w:rPr>
              <w:fldChar w:fldCharType="begin"/>
            </w:r>
            <w:r>
              <w:rPr>
                <w:noProof/>
                <w:webHidden/>
              </w:rPr>
              <w:instrText xml:space="preserve"> PAGEREF _Toc485041292 \h </w:instrText>
            </w:r>
            <w:r>
              <w:rPr>
                <w:noProof/>
                <w:webHidden/>
              </w:rPr>
            </w:r>
            <w:r>
              <w:rPr>
                <w:noProof/>
                <w:webHidden/>
              </w:rPr>
              <w:fldChar w:fldCharType="separate"/>
            </w:r>
            <w:r>
              <w:rPr>
                <w:noProof/>
                <w:webHidden/>
              </w:rPr>
              <w:t>3</w:t>
            </w:r>
            <w:r>
              <w:rPr>
                <w:noProof/>
                <w:webHidden/>
              </w:rPr>
              <w:fldChar w:fldCharType="end"/>
            </w:r>
          </w:hyperlink>
        </w:p>
        <w:p w:rsidR="000F300E" w:rsidRDefault="000F300E">
          <w:pPr>
            <w:pStyle w:val="TOC2"/>
            <w:tabs>
              <w:tab w:val="left" w:pos="660"/>
              <w:tab w:val="right" w:leader="dot" w:pos="9062"/>
            </w:tabs>
            <w:rPr>
              <w:rFonts w:asciiTheme="minorHAnsi" w:eastAsiaTheme="minorEastAsia" w:hAnsiTheme="minorHAnsi"/>
              <w:noProof/>
              <w:lang w:eastAsia="bg-BG"/>
            </w:rPr>
          </w:pPr>
          <w:hyperlink w:anchor="_Toc485041293" w:history="1">
            <w:r w:rsidRPr="001009E5">
              <w:rPr>
                <w:rStyle w:val="Hyperlink"/>
                <w:rFonts w:ascii="Wingdings" w:hAnsi="Wingdings"/>
                <w:noProof/>
              </w:rPr>
              <w:t></w:t>
            </w:r>
            <w:r>
              <w:rPr>
                <w:rFonts w:asciiTheme="minorHAnsi" w:eastAsiaTheme="minorEastAsia" w:hAnsiTheme="minorHAnsi"/>
                <w:noProof/>
                <w:lang w:eastAsia="bg-BG"/>
              </w:rPr>
              <w:tab/>
            </w:r>
            <w:r w:rsidRPr="001009E5">
              <w:rPr>
                <w:rStyle w:val="Hyperlink"/>
                <w:noProof/>
              </w:rPr>
              <w:t>Стаж в Организацията по прехрана и земеделие (FAO) към ООН</w:t>
            </w:r>
            <w:r>
              <w:rPr>
                <w:noProof/>
                <w:webHidden/>
              </w:rPr>
              <w:tab/>
            </w:r>
            <w:r>
              <w:rPr>
                <w:noProof/>
                <w:webHidden/>
              </w:rPr>
              <w:fldChar w:fldCharType="begin"/>
            </w:r>
            <w:r>
              <w:rPr>
                <w:noProof/>
                <w:webHidden/>
              </w:rPr>
              <w:instrText xml:space="preserve"> PAGEREF _Toc485041293 \h </w:instrText>
            </w:r>
            <w:r>
              <w:rPr>
                <w:noProof/>
                <w:webHidden/>
              </w:rPr>
            </w:r>
            <w:r>
              <w:rPr>
                <w:noProof/>
                <w:webHidden/>
              </w:rPr>
              <w:fldChar w:fldCharType="separate"/>
            </w:r>
            <w:r>
              <w:rPr>
                <w:noProof/>
                <w:webHidden/>
              </w:rPr>
              <w:t>3</w:t>
            </w:r>
            <w:r>
              <w:rPr>
                <w:noProof/>
                <w:webHidden/>
              </w:rPr>
              <w:fldChar w:fldCharType="end"/>
            </w:r>
          </w:hyperlink>
        </w:p>
        <w:p w:rsidR="000F300E" w:rsidRDefault="000F300E">
          <w:pPr>
            <w:pStyle w:val="TOC2"/>
            <w:tabs>
              <w:tab w:val="left" w:pos="660"/>
              <w:tab w:val="right" w:leader="dot" w:pos="9062"/>
            </w:tabs>
            <w:rPr>
              <w:rFonts w:asciiTheme="minorHAnsi" w:eastAsiaTheme="minorEastAsia" w:hAnsiTheme="minorHAnsi"/>
              <w:noProof/>
              <w:lang w:eastAsia="bg-BG"/>
            </w:rPr>
          </w:pPr>
          <w:hyperlink w:anchor="_Toc485041294" w:history="1">
            <w:r w:rsidRPr="001009E5">
              <w:rPr>
                <w:rStyle w:val="Hyperlink"/>
                <w:rFonts w:ascii="Wingdings" w:hAnsi="Wingdings"/>
                <w:noProof/>
              </w:rPr>
              <w:t></w:t>
            </w:r>
            <w:r>
              <w:rPr>
                <w:rFonts w:asciiTheme="minorHAnsi" w:eastAsiaTheme="minorEastAsia" w:hAnsiTheme="minorHAnsi"/>
                <w:noProof/>
                <w:lang w:eastAsia="bg-BG"/>
              </w:rPr>
              <w:tab/>
            </w:r>
            <w:r w:rsidRPr="001009E5">
              <w:rPr>
                <w:rStyle w:val="Hyperlink"/>
                <w:noProof/>
              </w:rPr>
              <w:t>Стажове в Международната академия на нюрнбергските принципи</w:t>
            </w:r>
            <w:r>
              <w:rPr>
                <w:noProof/>
                <w:webHidden/>
              </w:rPr>
              <w:tab/>
            </w:r>
            <w:r>
              <w:rPr>
                <w:noProof/>
                <w:webHidden/>
              </w:rPr>
              <w:fldChar w:fldCharType="begin"/>
            </w:r>
            <w:r>
              <w:rPr>
                <w:noProof/>
                <w:webHidden/>
              </w:rPr>
              <w:instrText xml:space="preserve"> PAGEREF _Toc485041294 \h </w:instrText>
            </w:r>
            <w:r>
              <w:rPr>
                <w:noProof/>
                <w:webHidden/>
              </w:rPr>
            </w:r>
            <w:r>
              <w:rPr>
                <w:noProof/>
                <w:webHidden/>
              </w:rPr>
              <w:fldChar w:fldCharType="separate"/>
            </w:r>
            <w:r>
              <w:rPr>
                <w:noProof/>
                <w:webHidden/>
              </w:rPr>
              <w:t>4</w:t>
            </w:r>
            <w:r>
              <w:rPr>
                <w:noProof/>
                <w:webHidden/>
              </w:rPr>
              <w:fldChar w:fldCharType="end"/>
            </w:r>
          </w:hyperlink>
        </w:p>
        <w:p w:rsidR="000F300E" w:rsidRDefault="000F300E">
          <w:pPr>
            <w:pStyle w:val="TOC1"/>
            <w:tabs>
              <w:tab w:val="right" w:leader="dot" w:pos="9062"/>
            </w:tabs>
            <w:rPr>
              <w:rFonts w:asciiTheme="minorHAnsi" w:eastAsiaTheme="minorEastAsia" w:hAnsiTheme="minorHAnsi"/>
              <w:noProof/>
              <w:lang w:eastAsia="bg-BG"/>
            </w:rPr>
          </w:pPr>
          <w:hyperlink w:anchor="_Toc485041295" w:history="1">
            <w:r w:rsidRPr="001009E5">
              <w:rPr>
                <w:rStyle w:val="Hyperlink"/>
                <w:noProof/>
              </w:rPr>
              <w:t>ПРОГРАМИ</w:t>
            </w:r>
            <w:r>
              <w:rPr>
                <w:noProof/>
                <w:webHidden/>
              </w:rPr>
              <w:tab/>
            </w:r>
            <w:r>
              <w:rPr>
                <w:noProof/>
                <w:webHidden/>
              </w:rPr>
              <w:fldChar w:fldCharType="begin"/>
            </w:r>
            <w:r>
              <w:rPr>
                <w:noProof/>
                <w:webHidden/>
              </w:rPr>
              <w:instrText xml:space="preserve"> PAGEREF _Toc485041295 \h </w:instrText>
            </w:r>
            <w:r>
              <w:rPr>
                <w:noProof/>
                <w:webHidden/>
              </w:rPr>
            </w:r>
            <w:r>
              <w:rPr>
                <w:noProof/>
                <w:webHidden/>
              </w:rPr>
              <w:fldChar w:fldCharType="separate"/>
            </w:r>
            <w:r>
              <w:rPr>
                <w:noProof/>
                <w:webHidden/>
              </w:rPr>
              <w:t>5</w:t>
            </w:r>
            <w:r>
              <w:rPr>
                <w:noProof/>
                <w:webHidden/>
              </w:rPr>
              <w:fldChar w:fldCharType="end"/>
            </w:r>
          </w:hyperlink>
        </w:p>
        <w:p w:rsidR="000F300E" w:rsidRDefault="000F300E">
          <w:pPr>
            <w:pStyle w:val="TOC2"/>
            <w:tabs>
              <w:tab w:val="left" w:pos="660"/>
              <w:tab w:val="right" w:leader="dot" w:pos="9062"/>
            </w:tabs>
            <w:rPr>
              <w:rFonts w:asciiTheme="minorHAnsi" w:eastAsiaTheme="minorEastAsia" w:hAnsiTheme="minorHAnsi"/>
              <w:noProof/>
              <w:lang w:eastAsia="bg-BG"/>
            </w:rPr>
          </w:pPr>
          <w:hyperlink w:anchor="_Toc485041296" w:history="1">
            <w:r w:rsidRPr="001009E5">
              <w:rPr>
                <w:rStyle w:val="Hyperlink"/>
                <w:rFonts w:ascii="Wingdings" w:hAnsi="Wingdings"/>
                <w:noProof/>
              </w:rPr>
              <w:t></w:t>
            </w:r>
            <w:r>
              <w:rPr>
                <w:rFonts w:asciiTheme="minorHAnsi" w:eastAsiaTheme="minorEastAsia" w:hAnsiTheme="minorHAnsi"/>
                <w:noProof/>
                <w:lang w:eastAsia="bg-BG"/>
              </w:rPr>
              <w:tab/>
            </w:r>
            <w:r w:rsidRPr="001009E5">
              <w:rPr>
                <w:rStyle w:val="Hyperlink"/>
                <w:noProof/>
              </w:rPr>
              <w:t>Конкурс на ФНИ за финансиране на научни изследвания – 2017 год.</w:t>
            </w:r>
            <w:r>
              <w:rPr>
                <w:noProof/>
                <w:webHidden/>
              </w:rPr>
              <w:tab/>
            </w:r>
            <w:r>
              <w:rPr>
                <w:noProof/>
                <w:webHidden/>
              </w:rPr>
              <w:fldChar w:fldCharType="begin"/>
            </w:r>
            <w:r>
              <w:rPr>
                <w:noProof/>
                <w:webHidden/>
              </w:rPr>
              <w:instrText xml:space="preserve"> PAGEREF _Toc485041296 \h </w:instrText>
            </w:r>
            <w:r>
              <w:rPr>
                <w:noProof/>
                <w:webHidden/>
              </w:rPr>
            </w:r>
            <w:r>
              <w:rPr>
                <w:noProof/>
                <w:webHidden/>
              </w:rPr>
              <w:fldChar w:fldCharType="separate"/>
            </w:r>
            <w:r>
              <w:rPr>
                <w:noProof/>
                <w:webHidden/>
              </w:rPr>
              <w:t>5</w:t>
            </w:r>
            <w:r>
              <w:rPr>
                <w:noProof/>
                <w:webHidden/>
              </w:rPr>
              <w:fldChar w:fldCharType="end"/>
            </w:r>
          </w:hyperlink>
        </w:p>
        <w:p w:rsidR="000F300E" w:rsidRDefault="000F300E">
          <w:pPr>
            <w:pStyle w:val="TOC2"/>
            <w:tabs>
              <w:tab w:val="left" w:pos="660"/>
              <w:tab w:val="right" w:leader="dot" w:pos="9062"/>
            </w:tabs>
            <w:rPr>
              <w:rFonts w:asciiTheme="minorHAnsi" w:eastAsiaTheme="minorEastAsia" w:hAnsiTheme="minorHAnsi"/>
              <w:noProof/>
              <w:lang w:eastAsia="bg-BG"/>
            </w:rPr>
          </w:pPr>
          <w:hyperlink w:anchor="_Toc485041297" w:history="1">
            <w:r w:rsidRPr="001009E5">
              <w:rPr>
                <w:rStyle w:val="Hyperlink"/>
                <w:rFonts w:ascii="Wingdings" w:hAnsi="Wingdings"/>
                <w:noProof/>
                <w:lang w:val="ru-RU" w:eastAsia="bg-BG"/>
              </w:rPr>
              <w:t></w:t>
            </w:r>
            <w:r>
              <w:rPr>
                <w:rFonts w:asciiTheme="minorHAnsi" w:eastAsiaTheme="minorEastAsia" w:hAnsiTheme="minorHAnsi"/>
                <w:noProof/>
                <w:lang w:eastAsia="bg-BG"/>
              </w:rPr>
              <w:tab/>
            </w:r>
            <w:r w:rsidRPr="001009E5">
              <w:rPr>
                <w:rStyle w:val="Hyperlink"/>
                <w:noProof/>
                <w:lang w:eastAsia="bg-BG"/>
              </w:rPr>
              <w:t>Конкурс на ФНИ за финансиране на научни изследвания на млади учени и постдокторанти – 2017 год.</w:t>
            </w:r>
            <w:r>
              <w:rPr>
                <w:noProof/>
                <w:webHidden/>
              </w:rPr>
              <w:tab/>
            </w:r>
            <w:r>
              <w:rPr>
                <w:noProof/>
                <w:webHidden/>
              </w:rPr>
              <w:fldChar w:fldCharType="begin"/>
            </w:r>
            <w:r>
              <w:rPr>
                <w:noProof/>
                <w:webHidden/>
              </w:rPr>
              <w:instrText xml:space="preserve"> PAGEREF _Toc485041297 \h </w:instrText>
            </w:r>
            <w:r>
              <w:rPr>
                <w:noProof/>
                <w:webHidden/>
              </w:rPr>
            </w:r>
            <w:r>
              <w:rPr>
                <w:noProof/>
                <w:webHidden/>
              </w:rPr>
              <w:fldChar w:fldCharType="separate"/>
            </w:r>
            <w:r>
              <w:rPr>
                <w:noProof/>
                <w:webHidden/>
              </w:rPr>
              <w:t>9</w:t>
            </w:r>
            <w:r>
              <w:rPr>
                <w:noProof/>
                <w:webHidden/>
              </w:rPr>
              <w:fldChar w:fldCharType="end"/>
            </w:r>
          </w:hyperlink>
        </w:p>
        <w:p w:rsidR="000F300E" w:rsidRDefault="000F300E">
          <w:pPr>
            <w:pStyle w:val="TOC2"/>
            <w:tabs>
              <w:tab w:val="left" w:pos="660"/>
              <w:tab w:val="right" w:leader="dot" w:pos="9062"/>
            </w:tabs>
            <w:rPr>
              <w:rFonts w:asciiTheme="minorHAnsi" w:eastAsiaTheme="minorEastAsia" w:hAnsiTheme="minorHAnsi"/>
              <w:noProof/>
              <w:lang w:eastAsia="bg-BG"/>
            </w:rPr>
          </w:pPr>
          <w:hyperlink w:anchor="_Toc485041298" w:history="1">
            <w:r w:rsidRPr="001009E5">
              <w:rPr>
                <w:rStyle w:val="Hyperlink"/>
                <w:rFonts w:ascii="Wingdings" w:hAnsi="Wingdings"/>
                <w:noProof/>
                <w:lang w:val="ru-RU" w:eastAsia="bg-BG"/>
              </w:rPr>
              <w:t></w:t>
            </w:r>
            <w:r>
              <w:rPr>
                <w:rFonts w:asciiTheme="minorHAnsi" w:eastAsiaTheme="minorEastAsia" w:hAnsiTheme="minorHAnsi"/>
                <w:noProof/>
                <w:lang w:eastAsia="bg-BG"/>
              </w:rPr>
              <w:tab/>
            </w:r>
            <w:r w:rsidRPr="001009E5">
              <w:rPr>
                <w:rStyle w:val="Hyperlink"/>
                <w:noProof/>
                <w:lang w:val="ru-RU" w:eastAsia="bg-BG"/>
              </w:rPr>
              <w:t>Програма ERA.Net RUS Plus</w:t>
            </w:r>
            <w:r>
              <w:rPr>
                <w:noProof/>
                <w:webHidden/>
              </w:rPr>
              <w:tab/>
            </w:r>
            <w:r>
              <w:rPr>
                <w:noProof/>
                <w:webHidden/>
              </w:rPr>
              <w:fldChar w:fldCharType="begin"/>
            </w:r>
            <w:r>
              <w:rPr>
                <w:noProof/>
                <w:webHidden/>
              </w:rPr>
              <w:instrText xml:space="preserve"> PAGEREF _Toc485041298 \h </w:instrText>
            </w:r>
            <w:r>
              <w:rPr>
                <w:noProof/>
                <w:webHidden/>
              </w:rPr>
            </w:r>
            <w:r>
              <w:rPr>
                <w:noProof/>
                <w:webHidden/>
              </w:rPr>
              <w:fldChar w:fldCharType="separate"/>
            </w:r>
            <w:r>
              <w:rPr>
                <w:noProof/>
                <w:webHidden/>
              </w:rPr>
              <w:t>12</w:t>
            </w:r>
            <w:r>
              <w:rPr>
                <w:noProof/>
                <w:webHidden/>
              </w:rPr>
              <w:fldChar w:fldCharType="end"/>
            </w:r>
          </w:hyperlink>
        </w:p>
        <w:p w:rsidR="000F300E" w:rsidRDefault="000F300E">
          <w:pPr>
            <w:pStyle w:val="TOC2"/>
            <w:tabs>
              <w:tab w:val="left" w:pos="660"/>
              <w:tab w:val="right" w:leader="dot" w:pos="9062"/>
            </w:tabs>
            <w:rPr>
              <w:rFonts w:asciiTheme="minorHAnsi" w:eastAsiaTheme="minorEastAsia" w:hAnsiTheme="minorHAnsi"/>
              <w:noProof/>
              <w:lang w:eastAsia="bg-BG"/>
            </w:rPr>
          </w:pPr>
          <w:hyperlink w:anchor="_Toc485041299" w:history="1">
            <w:r w:rsidRPr="001009E5">
              <w:rPr>
                <w:rStyle w:val="Hyperlink"/>
                <w:rFonts w:ascii="Wingdings" w:hAnsi="Wingdings"/>
                <w:noProof/>
                <w:lang w:val="ru-RU" w:eastAsia="bg-BG"/>
              </w:rPr>
              <w:t></w:t>
            </w:r>
            <w:r>
              <w:rPr>
                <w:rFonts w:asciiTheme="minorHAnsi" w:eastAsiaTheme="minorEastAsia" w:hAnsiTheme="minorHAnsi"/>
                <w:noProof/>
                <w:lang w:eastAsia="bg-BG"/>
              </w:rPr>
              <w:tab/>
            </w:r>
            <w:r w:rsidRPr="001009E5">
              <w:rPr>
                <w:rStyle w:val="Hyperlink"/>
                <w:noProof/>
                <w:lang w:val="ru-RU" w:eastAsia="bg-BG"/>
              </w:rPr>
              <w:t xml:space="preserve">Процедура за включване на проекти в </w:t>
            </w:r>
            <w:r w:rsidRPr="001009E5">
              <w:rPr>
                <w:rStyle w:val="Hyperlink"/>
                <w:noProof/>
                <w:lang w:eastAsia="bg-BG"/>
              </w:rPr>
              <w:t>Европейската пътна карта за научна инфраструктура – 2018 г.</w:t>
            </w:r>
            <w:r>
              <w:rPr>
                <w:noProof/>
                <w:webHidden/>
              </w:rPr>
              <w:tab/>
            </w:r>
            <w:r>
              <w:rPr>
                <w:noProof/>
                <w:webHidden/>
              </w:rPr>
              <w:fldChar w:fldCharType="begin"/>
            </w:r>
            <w:r>
              <w:rPr>
                <w:noProof/>
                <w:webHidden/>
              </w:rPr>
              <w:instrText xml:space="preserve"> PAGEREF _Toc485041299 \h </w:instrText>
            </w:r>
            <w:r>
              <w:rPr>
                <w:noProof/>
                <w:webHidden/>
              </w:rPr>
            </w:r>
            <w:r>
              <w:rPr>
                <w:noProof/>
                <w:webHidden/>
              </w:rPr>
              <w:fldChar w:fldCharType="separate"/>
            </w:r>
            <w:r>
              <w:rPr>
                <w:noProof/>
                <w:webHidden/>
              </w:rPr>
              <w:t>14</w:t>
            </w:r>
            <w:r>
              <w:rPr>
                <w:noProof/>
                <w:webHidden/>
              </w:rPr>
              <w:fldChar w:fldCharType="end"/>
            </w:r>
          </w:hyperlink>
        </w:p>
        <w:p w:rsidR="000F300E" w:rsidRDefault="000F300E">
          <w:pPr>
            <w:pStyle w:val="TOC2"/>
            <w:tabs>
              <w:tab w:val="left" w:pos="660"/>
              <w:tab w:val="right" w:leader="dot" w:pos="9062"/>
            </w:tabs>
            <w:rPr>
              <w:rFonts w:asciiTheme="minorHAnsi" w:eastAsiaTheme="minorEastAsia" w:hAnsiTheme="minorHAnsi"/>
              <w:noProof/>
              <w:lang w:eastAsia="bg-BG"/>
            </w:rPr>
          </w:pPr>
          <w:hyperlink w:anchor="_Toc485041300" w:history="1">
            <w:r w:rsidRPr="001009E5">
              <w:rPr>
                <w:rStyle w:val="Hyperlink"/>
                <w:rFonts w:ascii="Wingdings" w:eastAsia="Times New Roman" w:hAnsi="Wingdings"/>
                <w:noProof/>
                <w:lang w:eastAsia="bg-BG"/>
              </w:rPr>
              <w:t></w:t>
            </w:r>
            <w:r>
              <w:rPr>
                <w:rFonts w:asciiTheme="minorHAnsi" w:eastAsiaTheme="minorEastAsia" w:hAnsiTheme="minorHAnsi"/>
                <w:noProof/>
                <w:lang w:eastAsia="bg-BG"/>
              </w:rPr>
              <w:tab/>
            </w:r>
            <w:r w:rsidRPr="001009E5">
              <w:rPr>
                <w:rStyle w:val="Hyperlink"/>
                <w:rFonts w:eastAsia="Times New Roman"/>
                <w:noProof/>
                <w:lang w:eastAsia="bg-BG"/>
              </w:rPr>
              <w:t>Подкрепа на международни научни форуми, провеждани в Република България</w:t>
            </w:r>
            <w:r>
              <w:rPr>
                <w:noProof/>
                <w:webHidden/>
              </w:rPr>
              <w:tab/>
            </w:r>
            <w:r>
              <w:rPr>
                <w:noProof/>
                <w:webHidden/>
              </w:rPr>
              <w:fldChar w:fldCharType="begin"/>
            </w:r>
            <w:r>
              <w:rPr>
                <w:noProof/>
                <w:webHidden/>
              </w:rPr>
              <w:instrText xml:space="preserve"> PAGEREF _Toc485041300 \h </w:instrText>
            </w:r>
            <w:r>
              <w:rPr>
                <w:noProof/>
                <w:webHidden/>
              </w:rPr>
            </w:r>
            <w:r>
              <w:rPr>
                <w:noProof/>
                <w:webHidden/>
              </w:rPr>
              <w:fldChar w:fldCharType="separate"/>
            </w:r>
            <w:r>
              <w:rPr>
                <w:noProof/>
                <w:webHidden/>
              </w:rPr>
              <w:t>15</w:t>
            </w:r>
            <w:r>
              <w:rPr>
                <w:noProof/>
                <w:webHidden/>
              </w:rPr>
              <w:fldChar w:fldCharType="end"/>
            </w:r>
          </w:hyperlink>
        </w:p>
        <w:p w:rsidR="000F300E" w:rsidRDefault="000F300E">
          <w:pPr>
            <w:pStyle w:val="TOC2"/>
            <w:tabs>
              <w:tab w:val="left" w:pos="660"/>
              <w:tab w:val="right" w:leader="dot" w:pos="9062"/>
            </w:tabs>
            <w:rPr>
              <w:rFonts w:asciiTheme="minorHAnsi" w:eastAsiaTheme="minorEastAsia" w:hAnsiTheme="minorHAnsi"/>
              <w:noProof/>
              <w:lang w:eastAsia="bg-BG"/>
            </w:rPr>
          </w:pPr>
          <w:hyperlink w:anchor="_Toc485041301" w:history="1">
            <w:r w:rsidRPr="001009E5">
              <w:rPr>
                <w:rStyle w:val="Hyperlink"/>
                <w:rFonts w:ascii="Wingdings" w:hAnsi="Wingdings"/>
                <w:noProof/>
                <w:lang w:eastAsia="bg-BG"/>
              </w:rPr>
              <w:t></w:t>
            </w:r>
            <w:r>
              <w:rPr>
                <w:rFonts w:asciiTheme="minorHAnsi" w:eastAsiaTheme="minorEastAsia" w:hAnsiTheme="minorHAnsi"/>
                <w:noProof/>
                <w:lang w:eastAsia="bg-BG"/>
              </w:rPr>
              <w:tab/>
            </w:r>
            <w:r w:rsidRPr="001009E5">
              <w:rPr>
                <w:rStyle w:val="Hyperlink"/>
                <w:noProof/>
                <w:lang w:eastAsia="bg-BG"/>
              </w:rPr>
              <w:t>Национално съфинансиране за участие на български колективи в утвърдени проекти по COST</w:t>
            </w:r>
            <w:r>
              <w:rPr>
                <w:noProof/>
                <w:webHidden/>
              </w:rPr>
              <w:tab/>
            </w:r>
            <w:r>
              <w:rPr>
                <w:noProof/>
                <w:webHidden/>
              </w:rPr>
              <w:fldChar w:fldCharType="begin"/>
            </w:r>
            <w:r>
              <w:rPr>
                <w:noProof/>
                <w:webHidden/>
              </w:rPr>
              <w:instrText xml:space="preserve"> PAGEREF _Toc485041301 \h </w:instrText>
            </w:r>
            <w:r>
              <w:rPr>
                <w:noProof/>
                <w:webHidden/>
              </w:rPr>
            </w:r>
            <w:r>
              <w:rPr>
                <w:noProof/>
                <w:webHidden/>
              </w:rPr>
              <w:fldChar w:fldCharType="separate"/>
            </w:r>
            <w:r>
              <w:rPr>
                <w:noProof/>
                <w:webHidden/>
              </w:rPr>
              <w:t>16</w:t>
            </w:r>
            <w:r>
              <w:rPr>
                <w:noProof/>
                <w:webHidden/>
              </w:rPr>
              <w:fldChar w:fldCharType="end"/>
            </w:r>
          </w:hyperlink>
        </w:p>
        <w:p w:rsidR="000F300E" w:rsidRDefault="000F300E">
          <w:pPr>
            <w:pStyle w:val="TOC2"/>
            <w:tabs>
              <w:tab w:val="left" w:pos="660"/>
              <w:tab w:val="right" w:leader="dot" w:pos="9062"/>
            </w:tabs>
            <w:rPr>
              <w:rFonts w:asciiTheme="minorHAnsi" w:eastAsiaTheme="minorEastAsia" w:hAnsiTheme="minorHAnsi"/>
              <w:noProof/>
              <w:lang w:eastAsia="bg-BG"/>
            </w:rPr>
          </w:pPr>
          <w:hyperlink w:anchor="_Toc485041302" w:history="1">
            <w:r w:rsidRPr="001009E5">
              <w:rPr>
                <w:rStyle w:val="Hyperlink"/>
                <w:rFonts w:ascii="Wingdings" w:hAnsi="Wingdings"/>
                <w:noProof/>
              </w:rPr>
              <w:t></w:t>
            </w:r>
            <w:r>
              <w:rPr>
                <w:rFonts w:asciiTheme="minorHAnsi" w:eastAsiaTheme="minorEastAsia" w:hAnsiTheme="minorHAnsi"/>
                <w:noProof/>
                <w:lang w:eastAsia="bg-BG"/>
              </w:rPr>
              <w:tab/>
            </w:r>
            <w:r w:rsidRPr="001009E5">
              <w:rPr>
                <w:rStyle w:val="Hyperlink"/>
                <w:noProof/>
              </w:rPr>
              <w:t>Програма: „Америка за България”</w:t>
            </w:r>
            <w:r>
              <w:rPr>
                <w:noProof/>
                <w:webHidden/>
              </w:rPr>
              <w:tab/>
            </w:r>
            <w:r>
              <w:rPr>
                <w:noProof/>
                <w:webHidden/>
              </w:rPr>
              <w:fldChar w:fldCharType="begin"/>
            </w:r>
            <w:r>
              <w:rPr>
                <w:noProof/>
                <w:webHidden/>
              </w:rPr>
              <w:instrText xml:space="preserve"> PAGEREF _Toc485041302 \h </w:instrText>
            </w:r>
            <w:r>
              <w:rPr>
                <w:noProof/>
                <w:webHidden/>
              </w:rPr>
            </w:r>
            <w:r>
              <w:rPr>
                <w:noProof/>
                <w:webHidden/>
              </w:rPr>
              <w:fldChar w:fldCharType="separate"/>
            </w:r>
            <w:r>
              <w:rPr>
                <w:noProof/>
                <w:webHidden/>
              </w:rPr>
              <w:t>17</w:t>
            </w:r>
            <w:r>
              <w:rPr>
                <w:noProof/>
                <w:webHidden/>
              </w:rPr>
              <w:fldChar w:fldCharType="end"/>
            </w:r>
          </w:hyperlink>
        </w:p>
        <w:p w:rsidR="000F300E" w:rsidRDefault="000F300E">
          <w:pPr>
            <w:pStyle w:val="TOC1"/>
            <w:tabs>
              <w:tab w:val="right" w:leader="dot" w:pos="9062"/>
            </w:tabs>
            <w:rPr>
              <w:rFonts w:asciiTheme="minorHAnsi" w:eastAsiaTheme="minorEastAsia" w:hAnsiTheme="minorHAnsi"/>
              <w:noProof/>
              <w:lang w:eastAsia="bg-BG"/>
            </w:rPr>
          </w:pPr>
          <w:hyperlink w:anchor="_Toc485041303" w:history="1">
            <w:r w:rsidRPr="001009E5">
              <w:rPr>
                <w:rStyle w:val="Hyperlink"/>
                <w:noProof/>
              </w:rPr>
              <w:t>СЪБИТИЯ</w:t>
            </w:r>
            <w:r>
              <w:rPr>
                <w:noProof/>
                <w:webHidden/>
              </w:rPr>
              <w:tab/>
            </w:r>
            <w:r>
              <w:rPr>
                <w:noProof/>
                <w:webHidden/>
              </w:rPr>
              <w:fldChar w:fldCharType="begin"/>
            </w:r>
            <w:r>
              <w:rPr>
                <w:noProof/>
                <w:webHidden/>
              </w:rPr>
              <w:instrText xml:space="preserve"> PAGEREF _Toc485041303 \h </w:instrText>
            </w:r>
            <w:r>
              <w:rPr>
                <w:noProof/>
                <w:webHidden/>
              </w:rPr>
            </w:r>
            <w:r>
              <w:rPr>
                <w:noProof/>
                <w:webHidden/>
              </w:rPr>
              <w:fldChar w:fldCharType="separate"/>
            </w:r>
            <w:r>
              <w:rPr>
                <w:noProof/>
                <w:webHidden/>
              </w:rPr>
              <w:t>19</w:t>
            </w:r>
            <w:r>
              <w:rPr>
                <w:noProof/>
                <w:webHidden/>
              </w:rPr>
              <w:fldChar w:fldCharType="end"/>
            </w:r>
          </w:hyperlink>
        </w:p>
        <w:p w:rsidR="000F300E" w:rsidRDefault="000F300E">
          <w:pPr>
            <w:pStyle w:val="TOC1"/>
            <w:tabs>
              <w:tab w:val="right" w:leader="dot" w:pos="9062"/>
            </w:tabs>
            <w:rPr>
              <w:rFonts w:asciiTheme="minorHAnsi" w:eastAsiaTheme="minorEastAsia" w:hAnsiTheme="minorHAnsi"/>
              <w:noProof/>
              <w:lang w:eastAsia="bg-BG"/>
            </w:rPr>
          </w:pPr>
          <w:hyperlink w:anchor="_Toc485041304" w:history="1">
            <w:r w:rsidRPr="001009E5">
              <w:rPr>
                <w:rStyle w:val="Hyperlink"/>
                <w:noProof/>
              </w:rPr>
              <w:t>ПУБЛИКАЦИИ</w:t>
            </w:r>
            <w:r>
              <w:rPr>
                <w:noProof/>
                <w:webHidden/>
              </w:rPr>
              <w:tab/>
            </w:r>
            <w:r>
              <w:rPr>
                <w:noProof/>
                <w:webHidden/>
              </w:rPr>
              <w:fldChar w:fldCharType="begin"/>
            </w:r>
            <w:r>
              <w:rPr>
                <w:noProof/>
                <w:webHidden/>
              </w:rPr>
              <w:instrText xml:space="preserve"> PAGEREF _Toc485041304 \h </w:instrText>
            </w:r>
            <w:r>
              <w:rPr>
                <w:noProof/>
                <w:webHidden/>
              </w:rPr>
            </w:r>
            <w:r>
              <w:rPr>
                <w:noProof/>
                <w:webHidden/>
              </w:rPr>
              <w:fldChar w:fldCharType="separate"/>
            </w:r>
            <w:r>
              <w:rPr>
                <w:noProof/>
                <w:webHidden/>
              </w:rPr>
              <w:t>25</w:t>
            </w:r>
            <w:r>
              <w:rPr>
                <w:noProof/>
                <w:webHidden/>
              </w:rPr>
              <w:fldChar w:fldCharType="end"/>
            </w:r>
          </w:hyperlink>
        </w:p>
        <w:p w:rsidR="000F300E" w:rsidRDefault="000F300E">
          <w:pPr>
            <w:pStyle w:val="TOC2"/>
            <w:tabs>
              <w:tab w:val="left" w:pos="660"/>
              <w:tab w:val="right" w:leader="dot" w:pos="9062"/>
            </w:tabs>
            <w:rPr>
              <w:rFonts w:asciiTheme="minorHAnsi" w:eastAsiaTheme="minorEastAsia" w:hAnsiTheme="minorHAnsi"/>
              <w:noProof/>
              <w:lang w:eastAsia="bg-BG"/>
            </w:rPr>
          </w:pPr>
          <w:hyperlink w:anchor="_Toc485041305" w:history="1">
            <w:r w:rsidRPr="001009E5">
              <w:rPr>
                <w:rStyle w:val="Hyperlink"/>
                <w:rFonts w:ascii="Wingdings" w:eastAsia="Times New Roman" w:hAnsi="Wingdings"/>
                <w:noProof/>
                <w:lang w:eastAsia="bg-BG"/>
              </w:rPr>
              <w:t></w:t>
            </w:r>
            <w:r>
              <w:rPr>
                <w:rFonts w:asciiTheme="minorHAnsi" w:eastAsiaTheme="minorEastAsia" w:hAnsiTheme="minorHAnsi"/>
                <w:noProof/>
                <w:lang w:eastAsia="bg-BG"/>
              </w:rPr>
              <w:tab/>
            </w:r>
            <w:r w:rsidRPr="001009E5">
              <w:rPr>
                <w:rStyle w:val="Hyperlink"/>
                <w:rFonts w:eastAsia="Times New Roman"/>
                <w:noProof/>
                <w:lang w:val="en-US" w:eastAsia="bg-BG"/>
              </w:rPr>
              <w:t>Research EU: results magazine</w:t>
            </w:r>
            <w:r>
              <w:rPr>
                <w:noProof/>
                <w:webHidden/>
              </w:rPr>
              <w:tab/>
            </w:r>
            <w:r>
              <w:rPr>
                <w:noProof/>
                <w:webHidden/>
              </w:rPr>
              <w:fldChar w:fldCharType="begin"/>
            </w:r>
            <w:r>
              <w:rPr>
                <w:noProof/>
                <w:webHidden/>
              </w:rPr>
              <w:instrText xml:space="preserve"> PAGEREF _Toc485041305 \h </w:instrText>
            </w:r>
            <w:r>
              <w:rPr>
                <w:noProof/>
                <w:webHidden/>
              </w:rPr>
            </w:r>
            <w:r>
              <w:rPr>
                <w:noProof/>
                <w:webHidden/>
              </w:rPr>
              <w:fldChar w:fldCharType="separate"/>
            </w:r>
            <w:r>
              <w:rPr>
                <w:noProof/>
                <w:webHidden/>
              </w:rPr>
              <w:t>25</w:t>
            </w:r>
            <w:r>
              <w:rPr>
                <w:noProof/>
                <w:webHidden/>
              </w:rPr>
              <w:fldChar w:fldCharType="end"/>
            </w:r>
          </w:hyperlink>
        </w:p>
        <w:p w:rsidR="000F300E" w:rsidRDefault="000F300E">
          <w:pPr>
            <w:pStyle w:val="TOC2"/>
            <w:tabs>
              <w:tab w:val="left" w:pos="660"/>
              <w:tab w:val="right" w:leader="dot" w:pos="9062"/>
            </w:tabs>
            <w:rPr>
              <w:rFonts w:asciiTheme="minorHAnsi" w:eastAsiaTheme="minorEastAsia" w:hAnsiTheme="minorHAnsi"/>
              <w:noProof/>
              <w:lang w:eastAsia="bg-BG"/>
            </w:rPr>
          </w:pPr>
          <w:hyperlink w:anchor="_Toc485041306" w:history="1">
            <w:r w:rsidRPr="001009E5">
              <w:rPr>
                <w:rStyle w:val="Hyperlink"/>
                <w:rFonts w:ascii="Wingdings" w:hAnsi="Wingdings"/>
                <w:noProof/>
              </w:rPr>
              <w:t></w:t>
            </w:r>
            <w:r>
              <w:rPr>
                <w:rFonts w:asciiTheme="minorHAnsi" w:eastAsiaTheme="minorEastAsia" w:hAnsiTheme="minorHAnsi"/>
                <w:noProof/>
                <w:lang w:eastAsia="bg-BG"/>
              </w:rPr>
              <w:tab/>
            </w:r>
            <w:r w:rsidRPr="001009E5">
              <w:rPr>
                <w:rStyle w:val="Hyperlink"/>
                <w:noProof/>
                <w:lang w:val="en-US"/>
              </w:rPr>
              <w:t>CERN COURIER</w:t>
            </w:r>
            <w:r>
              <w:rPr>
                <w:noProof/>
                <w:webHidden/>
              </w:rPr>
              <w:tab/>
            </w:r>
            <w:r>
              <w:rPr>
                <w:noProof/>
                <w:webHidden/>
              </w:rPr>
              <w:fldChar w:fldCharType="begin"/>
            </w:r>
            <w:r>
              <w:rPr>
                <w:noProof/>
                <w:webHidden/>
              </w:rPr>
              <w:instrText xml:space="preserve"> PAGEREF _Toc485041306 \h </w:instrText>
            </w:r>
            <w:r>
              <w:rPr>
                <w:noProof/>
                <w:webHidden/>
              </w:rPr>
            </w:r>
            <w:r>
              <w:rPr>
                <w:noProof/>
                <w:webHidden/>
              </w:rPr>
              <w:fldChar w:fldCharType="separate"/>
            </w:r>
            <w:r>
              <w:rPr>
                <w:noProof/>
                <w:webHidden/>
              </w:rPr>
              <w:t>25</w:t>
            </w:r>
            <w:r>
              <w:rPr>
                <w:noProof/>
                <w:webHidden/>
              </w:rPr>
              <w:fldChar w:fldCharType="end"/>
            </w:r>
          </w:hyperlink>
        </w:p>
        <w:p w:rsidR="000F300E" w:rsidRDefault="000F300E">
          <w:pPr>
            <w:pStyle w:val="TOC2"/>
            <w:tabs>
              <w:tab w:val="left" w:pos="660"/>
              <w:tab w:val="right" w:leader="dot" w:pos="9062"/>
            </w:tabs>
            <w:rPr>
              <w:rFonts w:asciiTheme="minorHAnsi" w:eastAsiaTheme="minorEastAsia" w:hAnsiTheme="minorHAnsi"/>
              <w:noProof/>
              <w:lang w:eastAsia="bg-BG"/>
            </w:rPr>
          </w:pPr>
          <w:hyperlink w:anchor="_Toc485041307" w:history="1">
            <w:r w:rsidRPr="001009E5">
              <w:rPr>
                <w:rStyle w:val="Hyperlink"/>
                <w:rFonts w:ascii="Wingdings" w:hAnsi="Wingdings"/>
                <w:noProof/>
                <w:lang w:val="en-US"/>
              </w:rPr>
              <w:t></w:t>
            </w:r>
            <w:r>
              <w:rPr>
                <w:rFonts w:asciiTheme="minorHAnsi" w:eastAsiaTheme="minorEastAsia" w:hAnsiTheme="minorHAnsi"/>
                <w:noProof/>
                <w:lang w:eastAsia="bg-BG"/>
              </w:rPr>
              <w:tab/>
            </w:r>
            <w:r w:rsidRPr="001009E5">
              <w:rPr>
                <w:rStyle w:val="Hyperlink"/>
                <w:noProof/>
                <w:lang w:val="en-US"/>
              </w:rPr>
              <w:t>Assessing the potential for crowdfunding and other forms of alternative finance to support research and innovation</w:t>
            </w:r>
            <w:r>
              <w:rPr>
                <w:noProof/>
                <w:webHidden/>
              </w:rPr>
              <w:tab/>
            </w:r>
            <w:r>
              <w:rPr>
                <w:noProof/>
                <w:webHidden/>
              </w:rPr>
              <w:fldChar w:fldCharType="begin"/>
            </w:r>
            <w:r>
              <w:rPr>
                <w:noProof/>
                <w:webHidden/>
              </w:rPr>
              <w:instrText xml:space="preserve"> PAGEREF _Toc485041307 \h </w:instrText>
            </w:r>
            <w:r>
              <w:rPr>
                <w:noProof/>
                <w:webHidden/>
              </w:rPr>
            </w:r>
            <w:r>
              <w:rPr>
                <w:noProof/>
                <w:webHidden/>
              </w:rPr>
              <w:fldChar w:fldCharType="separate"/>
            </w:r>
            <w:r>
              <w:rPr>
                <w:noProof/>
                <w:webHidden/>
              </w:rPr>
              <w:t>26</w:t>
            </w:r>
            <w:r>
              <w:rPr>
                <w:noProof/>
                <w:webHidden/>
              </w:rPr>
              <w:fldChar w:fldCharType="end"/>
            </w:r>
          </w:hyperlink>
        </w:p>
        <w:p w:rsidR="000F300E" w:rsidRDefault="000F300E">
          <w:pPr>
            <w:pStyle w:val="TOC2"/>
            <w:tabs>
              <w:tab w:val="left" w:pos="660"/>
              <w:tab w:val="right" w:leader="dot" w:pos="9062"/>
            </w:tabs>
            <w:rPr>
              <w:rFonts w:asciiTheme="minorHAnsi" w:eastAsiaTheme="minorEastAsia" w:hAnsiTheme="minorHAnsi"/>
              <w:noProof/>
              <w:lang w:eastAsia="bg-BG"/>
            </w:rPr>
          </w:pPr>
          <w:hyperlink w:anchor="_Toc485041308" w:history="1">
            <w:r w:rsidRPr="001009E5">
              <w:rPr>
                <w:rStyle w:val="Hyperlink"/>
                <w:rFonts w:ascii="Wingdings" w:hAnsi="Wingdings"/>
                <w:noProof/>
              </w:rPr>
              <w:t></w:t>
            </w:r>
            <w:r>
              <w:rPr>
                <w:rFonts w:asciiTheme="minorHAnsi" w:eastAsiaTheme="minorEastAsia" w:hAnsiTheme="minorHAnsi"/>
                <w:noProof/>
                <w:lang w:eastAsia="bg-BG"/>
              </w:rPr>
              <w:tab/>
            </w:r>
            <w:r w:rsidRPr="001009E5">
              <w:rPr>
                <w:rStyle w:val="Hyperlink"/>
                <w:noProof/>
              </w:rPr>
              <w:t>Open innovation, open science, open to the world</w:t>
            </w:r>
            <w:r>
              <w:rPr>
                <w:noProof/>
                <w:webHidden/>
              </w:rPr>
              <w:tab/>
            </w:r>
            <w:r>
              <w:rPr>
                <w:noProof/>
                <w:webHidden/>
              </w:rPr>
              <w:fldChar w:fldCharType="begin"/>
            </w:r>
            <w:r>
              <w:rPr>
                <w:noProof/>
                <w:webHidden/>
              </w:rPr>
              <w:instrText xml:space="preserve"> PAGEREF _Toc485041308 \h </w:instrText>
            </w:r>
            <w:r>
              <w:rPr>
                <w:noProof/>
                <w:webHidden/>
              </w:rPr>
            </w:r>
            <w:r>
              <w:rPr>
                <w:noProof/>
                <w:webHidden/>
              </w:rPr>
              <w:fldChar w:fldCharType="separate"/>
            </w:r>
            <w:r>
              <w:rPr>
                <w:noProof/>
                <w:webHidden/>
              </w:rPr>
              <w:t>26</w:t>
            </w:r>
            <w:r>
              <w:rPr>
                <w:noProof/>
                <w:webHidden/>
              </w:rPr>
              <w:fldChar w:fldCharType="end"/>
            </w:r>
          </w:hyperlink>
        </w:p>
        <w:p w:rsidR="000F300E" w:rsidRDefault="000F300E">
          <w:pPr>
            <w:pStyle w:val="TOC2"/>
            <w:tabs>
              <w:tab w:val="left" w:pos="660"/>
              <w:tab w:val="right" w:leader="dot" w:pos="9062"/>
            </w:tabs>
            <w:rPr>
              <w:rFonts w:asciiTheme="minorHAnsi" w:eastAsiaTheme="minorEastAsia" w:hAnsiTheme="minorHAnsi"/>
              <w:noProof/>
              <w:lang w:eastAsia="bg-BG"/>
            </w:rPr>
          </w:pPr>
          <w:hyperlink w:anchor="_Toc485041309" w:history="1">
            <w:r w:rsidRPr="001009E5">
              <w:rPr>
                <w:rStyle w:val="Hyperlink"/>
                <w:rFonts w:ascii="Wingdings" w:hAnsi="Wingdings"/>
                <w:noProof/>
                <w:lang w:val="en-US"/>
              </w:rPr>
              <w:t></w:t>
            </w:r>
            <w:r>
              <w:rPr>
                <w:rFonts w:asciiTheme="minorHAnsi" w:eastAsiaTheme="minorEastAsia" w:hAnsiTheme="minorHAnsi"/>
                <w:noProof/>
                <w:lang w:eastAsia="bg-BG"/>
              </w:rPr>
              <w:tab/>
            </w:r>
            <w:r w:rsidRPr="001009E5">
              <w:rPr>
                <w:rStyle w:val="Hyperlink"/>
                <w:noProof/>
                <w:lang w:val="en"/>
              </w:rPr>
              <w:t>Policy Implications of Virtual Work</w:t>
            </w:r>
            <w:r>
              <w:rPr>
                <w:noProof/>
                <w:webHidden/>
              </w:rPr>
              <w:tab/>
            </w:r>
            <w:r>
              <w:rPr>
                <w:noProof/>
                <w:webHidden/>
              </w:rPr>
              <w:fldChar w:fldCharType="begin"/>
            </w:r>
            <w:r>
              <w:rPr>
                <w:noProof/>
                <w:webHidden/>
              </w:rPr>
              <w:instrText xml:space="preserve"> PAGEREF _Toc485041309 \h </w:instrText>
            </w:r>
            <w:r>
              <w:rPr>
                <w:noProof/>
                <w:webHidden/>
              </w:rPr>
            </w:r>
            <w:r>
              <w:rPr>
                <w:noProof/>
                <w:webHidden/>
              </w:rPr>
              <w:fldChar w:fldCharType="separate"/>
            </w:r>
            <w:r>
              <w:rPr>
                <w:noProof/>
                <w:webHidden/>
              </w:rPr>
              <w:t>27</w:t>
            </w:r>
            <w:r>
              <w:rPr>
                <w:noProof/>
                <w:webHidden/>
              </w:rPr>
              <w:fldChar w:fldCharType="end"/>
            </w:r>
          </w:hyperlink>
        </w:p>
        <w:p w:rsidR="000F300E" w:rsidRDefault="000F300E">
          <w:pPr>
            <w:pStyle w:val="TOC2"/>
            <w:tabs>
              <w:tab w:val="left" w:pos="660"/>
              <w:tab w:val="right" w:leader="dot" w:pos="9062"/>
            </w:tabs>
            <w:rPr>
              <w:rFonts w:asciiTheme="minorHAnsi" w:eastAsiaTheme="minorEastAsia" w:hAnsiTheme="minorHAnsi"/>
              <w:noProof/>
              <w:lang w:eastAsia="bg-BG"/>
            </w:rPr>
          </w:pPr>
          <w:hyperlink w:anchor="_Toc485041310" w:history="1">
            <w:r w:rsidRPr="001009E5">
              <w:rPr>
                <w:rStyle w:val="Hyperlink"/>
                <w:rFonts w:ascii="Wingdings" w:hAnsi="Wingdings"/>
                <w:noProof/>
                <w:lang w:val="en"/>
              </w:rPr>
              <w:t></w:t>
            </w:r>
            <w:r>
              <w:rPr>
                <w:rFonts w:asciiTheme="minorHAnsi" w:eastAsiaTheme="minorEastAsia" w:hAnsiTheme="minorHAnsi"/>
                <w:noProof/>
                <w:lang w:eastAsia="bg-BG"/>
              </w:rPr>
              <w:tab/>
            </w:r>
            <w:r w:rsidRPr="001009E5">
              <w:rPr>
                <w:rStyle w:val="Hyperlink"/>
                <w:noProof/>
                <w:lang w:val="en"/>
              </w:rPr>
              <w:t>IAU Horizons</w:t>
            </w:r>
            <w:r>
              <w:rPr>
                <w:noProof/>
                <w:webHidden/>
              </w:rPr>
              <w:tab/>
            </w:r>
            <w:r>
              <w:rPr>
                <w:noProof/>
                <w:webHidden/>
              </w:rPr>
              <w:fldChar w:fldCharType="begin"/>
            </w:r>
            <w:r>
              <w:rPr>
                <w:noProof/>
                <w:webHidden/>
              </w:rPr>
              <w:instrText xml:space="preserve"> PAGEREF _Toc485041310 \h </w:instrText>
            </w:r>
            <w:r>
              <w:rPr>
                <w:noProof/>
                <w:webHidden/>
              </w:rPr>
            </w:r>
            <w:r>
              <w:rPr>
                <w:noProof/>
                <w:webHidden/>
              </w:rPr>
              <w:fldChar w:fldCharType="separate"/>
            </w:r>
            <w:r>
              <w:rPr>
                <w:noProof/>
                <w:webHidden/>
              </w:rPr>
              <w:t>28</w:t>
            </w:r>
            <w:r>
              <w:rPr>
                <w:noProof/>
                <w:webHidden/>
              </w:rPr>
              <w:fldChar w:fldCharType="end"/>
            </w:r>
          </w:hyperlink>
        </w:p>
        <w:p w:rsidR="00912146" w:rsidRPr="003272CE" w:rsidRDefault="00B95219"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B137CE" w:rsidRPr="0098044C" w:rsidRDefault="006B19B3" w:rsidP="00546E58">
      <w:pPr>
        <w:pStyle w:val="Master-scholarship-internship"/>
        <w:rPr>
          <w:rFonts w:ascii="Times New Roman" w:hAnsi="Times New Roman" w:cs="Times New Roman"/>
        </w:rPr>
      </w:pPr>
      <w:bookmarkStart w:id="1" w:name="_Toc485041290"/>
      <w:r w:rsidRPr="0098044C">
        <w:rPr>
          <w:rFonts w:ascii="Times New Roman" w:hAnsi="Times New Roman" w:cs="Times New Roman"/>
        </w:rPr>
        <w:lastRenderedPageBreak/>
        <w:t>МАГИСТРАТУРИ, СТИПЕНДИИ, СТАЖОВЕ</w:t>
      </w:r>
      <w:bookmarkEnd w:id="1"/>
    </w:p>
    <w:p w:rsidR="00C177E1" w:rsidRPr="00FE7B4C" w:rsidRDefault="00C177E1" w:rsidP="00C177E1">
      <w:pPr>
        <w:pStyle w:val="Heading2"/>
        <w:ind w:left="425" w:hanging="357"/>
        <w:rPr>
          <w:lang w:val="ru-RU"/>
        </w:rPr>
      </w:pPr>
      <w:bookmarkStart w:id="2" w:name="_Toc485041291"/>
      <w:r>
        <w:t>Платен стаж в Световната търговска организация</w:t>
      </w:r>
      <w:bookmarkEnd w:id="2"/>
    </w:p>
    <w:p w:rsidR="00C177E1" w:rsidRPr="00D279B4" w:rsidRDefault="00C177E1" w:rsidP="00C177E1">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C177E1" w:rsidRPr="00D279B4" w:rsidRDefault="00C177E1" w:rsidP="00C177E1">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C177E1" w:rsidRPr="00520408" w:rsidRDefault="00C177E1" w:rsidP="00C177E1">
      <w:pPr>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12"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C177E1" w:rsidRPr="00416D8D" w:rsidRDefault="00C177E1" w:rsidP="00EF248B">
      <w:pPr>
        <w:spacing w:after="480"/>
        <w:rPr>
          <w:rFonts w:cs="Times New Roman"/>
          <w:b/>
          <w:sz w:val="24"/>
          <w:szCs w:val="24"/>
          <w:lang w:val="ru-RU"/>
        </w:rPr>
      </w:pPr>
      <w:r w:rsidRPr="00416D8D">
        <w:rPr>
          <w:rFonts w:cs="Times New Roman"/>
          <w:b/>
          <w:sz w:val="24"/>
          <w:szCs w:val="24"/>
        </w:rPr>
        <w:t>Краен срок: текущ</w:t>
      </w:r>
    </w:p>
    <w:p w:rsidR="00C177E1" w:rsidRDefault="00C177E1" w:rsidP="00C177E1">
      <w:pPr>
        <w:pStyle w:val="Heading2"/>
        <w:ind w:left="426"/>
      </w:pPr>
      <w:bookmarkStart w:id="3" w:name="_Toc485041292"/>
      <w:r>
        <w:t xml:space="preserve">Стажантска програма на </w:t>
      </w:r>
      <w:r w:rsidRPr="005851AE">
        <w:rPr>
          <w:rFonts w:ascii="Times New Roman" w:hAnsi="Times New Roman"/>
        </w:rPr>
        <w:t>УниКредит Булбанк</w:t>
      </w:r>
      <w:bookmarkEnd w:id="3"/>
      <w:r w:rsidRPr="005851AE">
        <w:rPr>
          <w:rFonts w:ascii="Times New Roman" w:hAnsi="Times New Roman"/>
        </w:rPr>
        <w:t xml:space="preserve"> </w:t>
      </w:r>
    </w:p>
    <w:p w:rsidR="00C177E1" w:rsidRPr="005851AE" w:rsidRDefault="00C177E1" w:rsidP="00C177E1">
      <w:pPr>
        <w:spacing w:before="100" w:beforeAutospacing="1" w:after="100" w:afterAutospacing="1"/>
        <w:rPr>
          <w:rFonts w:cs="Times New Roman"/>
          <w:b/>
          <w:color w:val="333333"/>
          <w:sz w:val="24"/>
          <w:szCs w:val="24"/>
          <w:lang w:val="ru-RU"/>
        </w:rPr>
      </w:pPr>
      <w:r w:rsidRPr="00A83FCB">
        <w:rPr>
          <w:rFonts w:cs="Times New Roman"/>
          <w:sz w:val="24"/>
          <w:szCs w:val="24"/>
        </w:rPr>
        <w:t xml:space="preserve">Инициативата е насочена към студенти от втори или по-горен курс, както и завършили студенти от цяла България. Стажовете са платени и с продължителност между 3 и 6 месеца в рамките на цялата година. Участниците могат да изберат да работят както в </w:t>
      </w:r>
      <w:proofErr w:type="spellStart"/>
      <w:r w:rsidRPr="00A83FCB">
        <w:rPr>
          <w:rFonts w:cs="Times New Roman"/>
          <w:sz w:val="24"/>
          <w:szCs w:val="24"/>
        </w:rPr>
        <w:t>УниКредит</w:t>
      </w:r>
      <w:proofErr w:type="spellEnd"/>
      <w:r w:rsidRPr="00A83FCB">
        <w:rPr>
          <w:rFonts w:cs="Times New Roman"/>
          <w:sz w:val="24"/>
          <w:szCs w:val="24"/>
        </w:rPr>
        <w:t xml:space="preserve"> Булбанк, така и в дружествата </w:t>
      </w:r>
      <w:proofErr w:type="spellStart"/>
      <w:r w:rsidRPr="00A83FCB">
        <w:rPr>
          <w:rFonts w:cs="Times New Roman"/>
          <w:sz w:val="24"/>
          <w:szCs w:val="24"/>
        </w:rPr>
        <w:t>УниКредит</w:t>
      </w:r>
      <w:proofErr w:type="spellEnd"/>
      <w:r w:rsidRPr="00A83FCB">
        <w:rPr>
          <w:rFonts w:cs="Times New Roman"/>
          <w:sz w:val="24"/>
          <w:szCs w:val="24"/>
        </w:rPr>
        <w:t xml:space="preserve"> Лизинг, </w:t>
      </w:r>
      <w:proofErr w:type="spellStart"/>
      <w:r w:rsidRPr="00A83FCB">
        <w:rPr>
          <w:rFonts w:cs="Times New Roman"/>
          <w:sz w:val="24"/>
          <w:szCs w:val="24"/>
        </w:rPr>
        <w:t>УниКредит</w:t>
      </w:r>
      <w:proofErr w:type="spellEnd"/>
      <w:r w:rsidRPr="00A83FCB">
        <w:rPr>
          <w:rFonts w:cs="Times New Roman"/>
          <w:sz w:val="24"/>
          <w:szCs w:val="24"/>
        </w:rPr>
        <w:t xml:space="preserve"> </w:t>
      </w:r>
      <w:proofErr w:type="spellStart"/>
      <w:r w:rsidRPr="00A83FCB">
        <w:rPr>
          <w:rFonts w:cs="Times New Roman"/>
          <w:sz w:val="24"/>
          <w:szCs w:val="24"/>
        </w:rPr>
        <w:t>Факторинг</w:t>
      </w:r>
      <w:proofErr w:type="spellEnd"/>
      <w:r w:rsidRPr="00A83FCB">
        <w:rPr>
          <w:rFonts w:cs="Times New Roman"/>
          <w:sz w:val="24"/>
          <w:szCs w:val="24"/>
        </w:rPr>
        <w:t xml:space="preserve"> и </w:t>
      </w:r>
      <w:proofErr w:type="spellStart"/>
      <w:r w:rsidRPr="00A83FCB">
        <w:rPr>
          <w:rFonts w:cs="Times New Roman"/>
          <w:sz w:val="24"/>
          <w:szCs w:val="24"/>
        </w:rPr>
        <w:t>УниКиредит</w:t>
      </w:r>
      <w:proofErr w:type="spellEnd"/>
      <w:r w:rsidRPr="00A83FCB">
        <w:rPr>
          <w:rFonts w:cs="Times New Roman"/>
          <w:sz w:val="24"/>
          <w:szCs w:val="24"/>
        </w:rPr>
        <w:t xml:space="preserve"> </w:t>
      </w:r>
      <w:proofErr w:type="spellStart"/>
      <w:r w:rsidRPr="00A83FCB">
        <w:rPr>
          <w:rFonts w:cs="Times New Roman"/>
          <w:sz w:val="24"/>
          <w:szCs w:val="24"/>
        </w:rPr>
        <w:t>Кънсюмър</w:t>
      </w:r>
      <w:proofErr w:type="spellEnd"/>
      <w:r w:rsidRPr="00A83FCB">
        <w:rPr>
          <w:rFonts w:cs="Times New Roman"/>
          <w:sz w:val="24"/>
          <w:szCs w:val="24"/>
        </w:rPr>
        <w:t xml:space="preserve"> </w:t>
      </w:r>
      <w:proofErr w:type="spellStart"/>
      <w:r w:rsidRPr="00A83FCB">
        <w:rPr>
          <w:rFonts w:cs="Times New Roman"/>
          <w:sz w:val="24"/>
          <w:szCs w:val="24"/>
        </w:rPr>
        <w:t>Файненсинг</w:t>
      </w:r>
      <w:proofErr w:type="spellEnd"/>
      <w:r w:rsidRPr="00A83FCB">
        <w:rPr>
          <w:rFonts w:cs="Times New Roman"/>
          <w:sz w:val="24"/>
          <w:szCs w:val="24"/>
        </w:rPr>
        <w:t xml:space="preserve">. Желаещите да се включат в програмата могат да кандидатстват през </w:t>
      </w:r>
      <w:hyperlink r:id="rId13" w:tgtFrame="_blank" w:history="1">
        <w:r w:rsidRPr="005851AE">
          <w:rPr>
            <w:rStyle w:val="Hyperlink"/>
            <w:rFonts w:cs="Times New Roman"/>
            <w:sz w:val="24"/>
            <w:szCs w:val="24"/>
          </w:rPr>
          <w:t xml:space="preserve">сайта на банката </w:t>
        </w:r>
      </w:hyperlink>
      <w:r w:rsidRPr="005851AE">
        <w:rPr>
          <w:rFonts w:cs="Times New Roman"/>
          <w:sz w:val="24"/>
          <w:szCs w:val="24"/>
          <w:lang w:val="ru-RU"/>
        </w:rPr>
        <w:t xml:space="preserve"> или </w:t>
      </w:r>
      <w:r w:rsidRPr="00A83FCB">
        <w:rPr>
          <w:rFonts w:cs="Times New Roman"/>
          <w:sz w:val="24"/>
          <w:szCs w:val="24"/>
          <w:lang w:val="ru-RU"/>
        </w:rPr>
        <w:t>д</w:t>
      </w:r>
      <w:r w:rsidRPr="00A83FCB">
        <w:rPr>
          <w:rFonts w:cs="Times New Roman"/>
          <w:sz w:val="24"/>
          <w:szCs w:val="24"/>
        </w:rPr>
        <w:t xml:space="preserve">а изпратят автобиография и мотивационно писмо на </w:t>
      </w:r>
      <w:r>
        <w:rPr>
          <w:rFonts w:cs="Times New Roman"/>
          <w:sz w:val="24"/>
          <w:szCs w:val="24"/>
        </w:rPr>
        <w:t>електронна поща</w:t>
      </w:r>
      <w:r w:rsidRPr="005851AE">
        <w:rPr>
          <w:rFonts w:cs="Times New Roman"/>
          <w:color w:val="515151"/>
          <w:sz w:val="24"/>
          <w:szCs w:val="24"/>
        </w:rPr>
        <w:t xml:space="preserve">: </w:t>
      </w:r>
      <w:hyperlink r:id="rId14" w:history="1">
        <w:r w:rsidRPr="005851AE">
          <w:rPr>
            <w:rFonts w:cs="Times New Roman"/>
            <w:color w:val="2C80D5"/>
            <w:sz w:val="24"/>
            <w:szCs w:val="24"/>
          </w:rPr>
          <w:t>internship@unicreditgroup.bg</w:t>
        </w:r>
      </w:hyperlink>
      <w:r w:rsidRPr="005851AE">
        <w:rPr>
          <w:rFonts w:cs="Times New Roman"/>
          <w:color w:val="515151"/>
          <w:sz w:val="24"/>
          <w:szCs w:val="24"/>
        </w:rPr>
        <w:t xml:space="preserve"> </w:t>
      </w:r>
      <w:r w:rsidRPr="00A83FCB">
        <w:rPr>
          <w:rFonts w:cs="Times New Roman"/>
          <w:sz w:val="24"/>
          <w:szCs w:val="24"/>
        </w:rPr>
        <w:t>със заглавие internship</w:t>
      </w:r>
      <w:r w:rsidRPr="005851AE">
        <w:rPr>
          <w:rFonts w:cs="Times New Roman"/>
          <w:color w:val="515151"/>
          <w:sz w:val="24"/>
          <w:szCs w:val="24"/>
        </w:rPr>
        <w:t>.</w:t>
      </w:r>
    </w:p>
    <w:p w:rsidR="00C177E1" w:rsidRPr="00A83FCB" w:rsidRDefault="00C177E1" w:rsidP="00EF248B">
      <w:pPr>
        <w:spacing w:after="480"/>
        <w:rPr>
          <w:rFonts w:cs="Times New Roman"/>
          <w:sz w:val="24"/>
          <w:szCs w:val="24"/>
          <w:lang w:val="ru-RU"/>
        </w:rPr>
      </w:pPr>
      <w:r w:rsidRPr="00A83FCB">
        <w:rPr>
          <w:rFonts w:cs="Times New Roman"/>
          <w:b/>
          <w:sz w:val="24"/>
          <w:szCs w:val="24"/>
          <w:lang w:val="ru-RU"/>
        </w:rPr>
        <w:t>Краен срок за подаване на документи: минимум един месец преди започване на стажа</w:t>
      </w:r>
      <w:r w:rsidRPr="005851AE">
        <w:rPr>
          <w:rFonts w:cs="Times New Roman"/>
          <w:sz w:val="24"/>
          <w:szCs w:val="24"/>
          <w:lang w:val="ru-RU"/>
        </w:rPr>
        <w:t>.</w:t>
      </w:r>
    </w:p>
    <w:p w:rsidR="00C177E1" w:rsidRPr="001A023B" w:rsidRDefault="00C177E1" w:rsidP="00C177E1">
      <w:pPr>
        <w:pStyle w:val="Heading2"/>
        <w:ind w:left="426"/>
      </w:pPr>
      <w:bookmarkStart w:id="4" w:name="_Toc485041293"/>
      <w:r w:rsidRPr="001A023B">
        <w:t>Стаж в Организацията по прехрана и земеделие (FAO) към ООН</w:t>
      </w:r>
      <w:bookmarkEnd w:id="4"/>
    </w:p>
    <w:p w:rsidR="00C177E1" w:rsidRPr="00C47674" w:rsidRDefault="00C177E1" w:rsidP="00C177E1">
      <w:pPr>
        <w:rPr>
          <w:rFonts w:cs="Times New Roman"/>
          <w:sz w:val="24"/>
          <w:szCs w:val="24"/>
        </w:rPr>
      </w:pPr>
      <w:r w:rsidRPr="00C47674">
        <w:rPr>
          <w:rFonts w:cs="Times New Roman"/>
          <w:bCs/>
          <w:sz w:val="24"/>
          <w:szCs w:val="24"/>
        </w:rPr>
        <w:t>Организацията по прехрана и земеделие (FAO) към ООН набира младежи до 30 години за стажантската си програма</w:t>
      </w:r>
      <w:r w:rsidRPr="00C47674">
        <w:rPr>
          <w:rFonts w:cs="Times New Roman"/>
          <w:b/>
          <w:bCs/>
          <w:sz w:val="24"/>
          <w:szCs w:val="24"/>
        </w:rPr>
        <w:t xml:space="preserve">. </w:t>
      </w:r>
      <w:r w:rsidRPr="00C47674">
        <w:rPr>
          <w:rFonts w:cs="Times New Roman"/>
          <w:sz w:val="24"/>
          <w:szCs w:val="24"/>
        </w:rPr>
        <w:t xml:space="preserve">Стажовете са с продължителност между 3 и 6 месеца и се провеждат в седалището в Рим, Италия, или в регионалните офиси на институцията. На участниците в програмата се осигурява месечна стипендия с максимален размер 700 американски долара. Студенти, завършили минимум втори курс, и младежи, дипломирани през последните две години, с интереси в сферата на дейност на FAO ще получат възможност да работят и да се развиват в международната организация. </w:t>
      </w:r>
    </w:p>
    <w:p w:rsidR="00C177E1" w:rsidRPr="00C47674" w:rsidRDefault="00C177E1" w:rsidP="00C177E1">
      <w:pPr>
        <w:rPr>
          <w:rFonts w:cs="Times New Roman"/>
          <w:sz w:val="24"/>
          <w:szCs w:val="24"/>
        </w:rPr>
      </w:pPr>
      <w:r w:rsidRPr="00C47674">
        <w:rPr>
          <w:rFonts w:cs="Times New Roman"/>
          <w:sz w:val="24"/>
          <w:szCs w:val="24"/>
        </w:rPr>
        <w:t>Изискванията към кандидатите са: отлично владеене на английски,</w:t>
      </w:r>
      <w:r>
        <w:rPr>
          <w:rFonts w:cs="Times New Roman"/>
          <w:sz w:val="24"/>
          <w:szCs w:val="24"/>
        </w:rPr>
        <w:t xml:space="preserve"> испански или френски, като </w:t>
      </w:r>
      <w:r w:rsidRPr="00C47674">
        <w:rPr>
          <w:rFonts w:cs="Times New Roman"/>
          <w:sz w:val="24"/>
          <w:szCs w:val="24"/>
        </w:rPr>
        <w:t>за предимство ще се считат арабски, китайски или руски; добри технологични, комуникационни и аналитични умения и липса на роднинска връзка с членове на FAO.</w:t>
      </w:r>
    </w:p>
    <w:p w:rsidR="00C177E1" w:rsidRPr="00C47674" w:rsidRDefault="00C177E1" w:rsidP="00C177E1">
      <w:pPr>
        <w:rPr>
          <w:rFonts w:cs="Times New Roman"/>
          <w:sz w:val="24"/>
          <w:szCs w:val="24"/>
        </w:rPr>
      </w:pPr>
      <w:r w:rsidRPr="00C47674">
        <w:rPr>
          <w:rFonts w:cs="Times New Roman"/>
          <w:sz w:val="24"/>
          <w:szCs w:val="24"/>
        </w:rPr>
        <w:lastRenderedPageBreak/>
        <w:t xml:space="preserve">Повече за програмата и процеса на кандидатстване можете да откриете на </w:t>
      </w:r>
      <w:hyperlink r:id="rId15" w:tgtFrame="_blank" w:history="1">
        <w:r w:rsidRPr="00C47674">
          <w:rPr>
            <w:rFonts w:cs="Times New Roman"/>
            <w:sz w:val="24"/>
            <w:szCs w:val="24"/>
          </w:rPr>
          <w:t>сайта</w:t>
        </w:r>
      </w:hyperlink>
      <w:r w:rsidRPr="00C47674">
        <w:rPr>
          <w:rFonts w:cs="Times New Roman"/>
          <w:sz w:val="24"/>
          <w:szCs w:val="24"/>
        </w:rPr>
        <w:t xml:space="preserve"> на организацията.</w:t>
      </w:r>
    </w:p>
    <w:p w:rsidR="00C177E1" w:rsidRPr="001A023B" w:rsidRDefault="00C177E1" w:rsidP="00C177E1">
      <w:pPr>
        <w:spacing w:after="360"/>
        <w:rPr>
          <w:rFonts w:cs="Times New Roman"/>
          <w:b/>
          <w:sz w:val="24"/>
          <w:szCs w:val="24"/>
        </w:rPr>
      </w:pPr>
      <w:r w:rsidRPr="001A023B">
        <w:rPr>
          <w:rFonts w:cs="Times New Roman"/>
          <w:b/>
          <w:sz w:val="24"/>
          <w:szCs w:val="24"/>
        </w:rPr>
        <w:t>Краен срок: целогодишно</w:t>
      </w:r>
    </w:p>
    <w:p w:rsidR="00C177E1" w:rsidRPr="00A724B3" w:rsidRDefault="00C177E1" w:rsidP="00C177E1">
      <w:pPr>
        <w:pStyle w:val="Heading2"/>
        <w:ind w:left="426"/>
      </w:pPr>
      <w:bookmarkStart w:id="5" w:name="_Toc485041294"/>
      <w:r w:rsidRPr="00A724B3">
        <w:t>Стажове в Международната академия на нюрнбергските принципи</w:t>
      </w:r>
      <w:bookmarkEnd w:id="5"/>
    </w:p>
    <w:p w:rsidR="00C177E1" w:rsidRDefault="00C177E1" w:rsidP="00C177E1">
      <w:pPr>
        <w:spacing w:before="120" w:after="120"/>
        <w:rPr>
          <w:rFonts w:cs="Times New Roman"/>
          <w:sz w:val="24"/>
          <w:szCs w:val="24"/>
        </w:rPr>
      </w:pPr>
      <w:r w:rsidRPr="00A724B3">
        <w:rPr>
          <w:rFonts w:cs="Times New Roman"/>
          <w:bCs/>
          <w:sz w:val="24"/>
          <w:szCs w:val="24"/>
        </w:rPr>
        <w:t>Международната академия на нюрнбергските принципи търси студенти за 3-месечна стажантска програма.</w:t>
      </w:r>
      <w:r w:rsidRPr="00A724B3">
        <w:rPr>
          <w:rFonts w:cs="Times New Roman"/>
          <w:sz w:val="24"/>
          <w:szCs w:val="24"/>
        </w:rPr>
        <w:t xml:space="preserve"> Тяхното образование трябва да е свързано с организация на събития, медии и научни изследвания. Участниците трябва да имат основни умения за работа с MS Office, както и интерес към международното криминално право. С предимство са кандидати от държави, които все още се развиват в тази област. Работните езици по програмата са немски и английски. </w:t>
      </w:r>
    </w:p>
    <w:p w:rsidR="00C177E1" w:rsidRDefault="00C177E1" w:rsidP="00C177E1">
      <w:pPr>
        <w:spacing w:before="120" w:after="120"/>
        <w:rPr>
          <w:rFonts w:cs="Times New Roman"/>
          <w:color w:val="515151"/>
          <w:sz w:val="24"/>
          <w:szCs w:val="24"/>
        </w:rPr>
      </w:pPr>
      <w:r w:rsidRPr="00A724B3">
        <w:rPr>
          <w:rFonts w:cs="Times New Roman"/>
          <w:sz w:val="24"/>
          <w:szCs w:val="24"/>
        </w:rPr>
        <w:t>Стажуването в организацията включва: достъп до международна мрежа от професионалисти и източници на информация; гъвкаво работно време, както и финансова компенсация на база на изработените часове. Повече информация за необходимите документи за</w:t>
      </w:r>
      <w:r w:rsidRPr="00A724B3">
        <w:rPr>
          <w:rFonts w:ascii="Tahoma" w:hAnsi="Tahoma" w:cs="Tahoma"/>
          <w:sz w:val="23"/>
          <w:szCs w:val="23"/>
        </w:rPr>
        <w:t xml:space="preserve"> </w:t>
      </w:r>
      <w:r w:rsidRPr="00A724B3">
        <w:rPr>
          <w:rFonts w:cs="Times New Roman"/>
          <w:sz w:val="24"/>
          <w:szCs w:val="24"/>
        </w:rPr>
        <w:t>кандидатстването, което продължава през цялата година, можете да намерите на официалния</w:t>
      </w:r>
      <w:r w:rsidRPr="00A724B3">
        <w:rPr>
          <w:rFonts w:cs="Times New Roman"/>
          <w:color w:val="515151"/>
          <w:sz w:val="24"/>
          <w:szCs w:val="24"/>
        </w:rPr>
        <w:t xml:space="preserve"> </w:t>
      </w:r>
      <w:hyperlink r:id="rId16" w:tgtFrame="_blank" w:history="1">
        <w:r w:rsidRPr="00A724B3">
          <w:rPr>
            <w:rFonts w:cs="Times New Roman"/>
            <w:color w:val="2C80D5"/>
            <w:sz w:val="24"/>
            <w:szCs w:val="24"/>
          </w:rPr>
          <w:t>сайт</w:t>
        </w:r>
      </w:hyperlink>
      <w:r>
        <w:rPr>
          <w:rFonts w:cs="Times New Roman"/>
          <w:color w:val="2C80D5"/>
          <w:sz w:val="24"/>
          <w:szCs w:val="24"/>
        </w:rPr>
        <w:t xml:space="preserve"> на академията</w:t>
      </w:r>
      <w:r w:rsidRPr="00A724B3">
        <w:rPr>
          <w:rFonts w:cs="Times New Roman"/>
          <w:color w:val="515151"/>
          <w:sz w:val="24"/>
          <w:szCs w:val="24"/>
        </w:rPr>
        <w:t>.</w:t>
      </w:r>
    </w:p>
    <w:p w:rsidR="00C177E1" w:rsidRDefault="00C177E1" w:rsidP="00464393">
      <w:pPr>
        <w:spacing w:before="120" w:after="480"/>
        <w:rPr>
          <w:rFonts w:cs="Times New Roman"/>
          <w:b/>
          <w:sz w:val="24"/>
          <w:szCs w:val="24"/>
        </w:rPr>
      </w:pPr>
      <w:r w:rsidRPr="00A724B3">
        <w:rPr>
          <w:rFonts w:cs="Times New Roman"/>
          <w:b/>
          <w:sz w:val="24"/>
          <w:szCs w:val="24"/>
        </w:rPr>
        <w:t>Краен срок: целогодишно</w:t>
      </w:r>
    </w:p>
    <w:p w:rsidR="00464393" w:rsidRDefault="00464393" w:rsidP="00C177E1">
      <w:pPr>
        <w:spacing w:before="120" w:after="360"/>
        <w:rPr>
          <w:rFonts w:cs="Times New Roman"/>
          <w:b/>
          <w:sz w:val="24"/>
          <w:szCs w:val="24"/>
        </w:rPr>
      </w:pPr>
    </w:p>
    <w:p w:rsidR="006821DB" w:rsidRPr="006821DB" w:rsidRDefault="006821DB" w:rsidP="006821DB">
      <w:pPr>
        <w:spacing w:before="120" w:after="120"/>
        <w:rPr>
          <w:sz w:val="24"/>
          <w:szCs w:val="24"/>
        </w:rPr>
      </w:pPr>
    </w:p>
    <w:p w:rsidR="00E97B99" w:rsidRPr="0058044F" w:rsidRDefault="00E97B99" w:rsidP="001E2550">
      <w:pPr>
        <w:spacing w:before="120" w:after="120"/>
        <w:rPr>
          <w:sz w:val="24"/>
          <w:szCs w:val="24"/>
        </w:rPr>
        <w:sectPr w:rsidR="00E97B99" w:rsidRPr="0058044F" w:rsidSect="00AA7F9B">
          <w:footerReference w:type="default" r:id="rId17"/>
          <w:pgSz w:w="11906" w:h="16838"/>
          <w:pgMar w:top="1440" w:right="1080" w:bottom="1440" w:left="1080" w:header="708" w:footer="708" w:gutter="0"/>
          <w:cols w:space="708"/>
          <w:docGrid w:linePitch="360"/>
        </w:sectPr>
      </w:pPr>
    </w:p>
    <w:p w:rsidR="00D00941" w:rsidRDefault="00912146" w:rsidP="00B278E8">
      <w:pPr>
        <w:pStyle w:val="Programs"/>
      </w:pPr>
      <w:bookmarkStart w:id="6" w:name="_Toc485041295"/>
      <w:r>
        <w:lastRenderedPageBreak/>
        <w:t>ПРОГРАМИ</w:t>
      </w:r>
      <w:bookmarkEnd w:id="6"/>
    </w:p>
    <w:p w:rsidR="00D913A2" w:rsidRPr="00BA5AF5" w:rsidRDefault="0031346B" w:rsidP="00BA5AF5">
      <w:pPr>
        <w:pStyle w:val="Heading2"/>
        <w:ind w:left="426"/>
      </w:pPr>
      <w:bookmarkStart w:id="7" w:name="_Toc485041296"/>
      <w:r w:rsidRPr="00BA5AF5">
        <w:t xml:space="preserve">Конкурс </w:t>
      </w:r>
      <w:r w:rsidR="00BA5AF5" w:rsidRPr="00BA5AF5">
        <w:t xml:space="preserve">на </w:t>
      </w:r>
      <w:r w:rsidRPr="00BA5AF5">
        <w:t>ФНИ за финансиране на научни изследвания – 2017 год.</w:t>
      </w:r>
      <w:bookmarkEnd w:id="7"/>
    </w:p>
    <w:p w:rsidR="00A610E0" w:rsidRPr="0031346B" w:rsidRDefault="00A610E0" w:rsidP="0031346B">
      <w:pPr>
        <w:rPr>
          <w:rFonts w:cs="Times New Roman"/>
          <w:sz w:val="24"/>
          <w:szCs w:val="24"/>
          <w:lang w:eastAsia="bg-BG"/>
        </w:rPr>
      </w:pPr>
      <w:r w:rsidRPr="0031346B">
        <w:rPr>
          <w:rFonts w:cs="Times New Roman"/>
          <w:sz w:val="24"/>
          <w:szCs w:val="24"/>
          <w:lang w:eastAsia="bg-BG"/>
        </w:rPr>
        <w:t xml:space="preserve">Финансирането по настоящата процедура е единствено в подкрепа на осъществяване на нестопанска научна дейност за научни изследвания за придобиване на нови знания. Нестопанската научна дейност е съобразена с Националната стратегия за развитие на научните изследвания в Република България 2020 и допринася за нейните цели чрез: </w:t>
      </w:r>
    </w:p>
    <w:p w:rsidR="00A610E0" w:rsidRPr="0031346B" w:rsidRDefault="00A610E0" w:rsidP="0031346B">
      <w:pPr>
        <w:spacing w:before="120" w:after="120"/>
        <w:rPr>
          <w:rFonts w:cs="Times New Roman"/>
          <w:sz w:val="24"/>
          <w:szCs w:val="24"/>
          <w:lang w:eastAsia="bg-BG"/>
        </w:rPr>
      </w:pPr>
      <w:r w:rsidRPr="0031346B">
        <w:rPr>
          <w:rFonts w:cs="Times New Roman"/>
          <w:sz w:val="24"/>
          <w:szCs w:val="24"/>
          <w:lang w:eastAsia="bg-BG"/>
        </w:rPr>
        <w:t xml:space="preserve">– повишаване квалификацията на научните кадри; </w:t>
      </w:r>
    </w:p>
    <w:p w:rsidR="00A610E0" w:rsidRPr="0031346B" w:rsidRDefault="00A610E0" w:rsidP="0031346B">
      <w:pPr>
        <w:spacing w:before="120" w:after="120"/>
        <w:rPr>
          <w:rFonts w:cs="Times New Roman"/>
          <w:sz w:val="24"/>
          <w:szCs w:val="24"/>
          <w:lang w:eastAsia="bg-BG"/>
        </w:rPr>
      </w:pPr>
      <w:r w:rsidRPr="0031346B">
        <w:rPr>
          <w:rFonts w:cs="Times New Roman"/>
          <w:sz w:val="24"/>
          <w:szCs w:val="24"/>
          <w:lang w:eastAsia="bg-BG"/>
        </w:rPr>
        <w:t xml:space="preserve">– разпространение на резултатите от изследователската дейност; </w:t>
      </w:r>
    </w:p>
    <w:p w:rsidR="00A610E0" w:rsidRPr="0031346B" w:rsidRDefault="00A610E0" w:rsidP="0031346B">
      <w:pPr>
        <w:spacing w:before="120" w:after="120"/>
        <w:rPr>
          <w:rFonts w:cs="Times New Roman"/>
          <w:sz w:val="24"/>
          <w:szCs w:val="24"/>
          <w:lang w:eastAsia="bg-BG"/>
        </w:rPr>
      </w:pPr>
      <w:r w:rsidRPr="0031346B">
        <w:rPr>
          <w:rFonts w:cs="Times New Roman"/>
          <w:sz w:val="24"/>
          <w:szCs w:val="24"/>
          <w:lang w:eastAsia="bg-BG"/>
        </w:rPr>
        <w:t xml:space="preserve">– поощряване проекти с участието на млади учени. </w:t>
      </w:r>
    </w:p>
    <w:p w:rsidR="00A610E0" w:rsidRPr="0031346B" w:rsidRDefault="00A610E0" w:rsidP="0031346B">
      <w:pPr>
        <w:rPr>
          <w:rFonts w:cs="Times New Roman"/>
          <w:sz w:val="24"/>
          <w:szCs w:val="24"/>
          <w:lang w:eastAsia="bg-BG"/>
        </w:rPr>
      </w:pPr>
      <w:r w:rsidRPr="0031346B">
        <w:rPr>
          <w:rFonts w:cs="Times New Roman"/>
          <w:b/>
          <w:bCs/>
          <w:sz w:val="24"/>
          <w:szCs w:val="24"/>
          <w:lang w:eastAsia="bg-BG"/>
        </w:rPr>
        <w:t xml:space="preserve">1. Научни области </w:t>
      </w:r>
    </w:p>
    <w:p w:rsidR="00A610E0" w:rsidRPr="0031346B" w:rsidRDefault="00A610E0" w:rsidP="0031346B">
      <w:pPr>
        <w:rPr>
          <w:rFonts w:cs="Times New Roman"/>
          <w:sz w:val="24"/>
          <w:szCs w:val="24"/>
          <w:lang w:eastAsia="bg-BG"/>
        </w:rPr>
      </w:pPr>
      <w:r w:rsidRPr="0031346B">
        <w:rPr>
          <w:rFonts w:cs="Times New Roman"/>
          <w:sz w:val="24"/>
          <w:szCs w:val="24"/>
          <w:lang w:eastAsia="bg-BG"/>
        </w:rPr>
        <w:t xml:space="preserve">Целта на процедурата е да насърчи провеждане на качествени научни изследвания и получаване на високи научни постижения в следните области: </w:t>
      </w:r>
    </w:p>
    <w:p w:rsidR="00A610E0" w:rsidRPr="0031346B" w:rsidRDefault="00A610E0" w:rsidP="0031346B">
      <w:pPr>
        <w:spacing w:before="120" w:after="120"/>
        <w:rPr>
          <w:rFonts w:cs="Times New Roman"/>
          <w:sz w:val="24"/>
          <w:szCs w:val="24"/>
          <w:lang w:eastAsia="bg-BG"/>
        </w:rPr>
      </w:pPr>
      <w:r w:rsidRPr="0031346B">
        <w:rPr>
          <w:rFonts w:cs="Times New Roman"/>
          <w:sz w:val="24"/>
          <w:szCs w:val="24"/>
          <w:lang w:eastAsia="bg-BG"/>
        </w:rPr>
        <w:t xml:space="preserve">1) Биологически науки; </w:t>
      </w:r>
    </w:p>
    <w:p w:rsidR="00A610E0" w:rsidRPr="0031346B" w:rsidRDefault="00A610E0" w:rsidP="0031346B">
      <w:pPr>
        <w:spacing w:before="120" w:after="120"/>
        <w:rPr>
          <w:rFonts w:cs="Times New Roman"/>
          <w:sz w:val="24"/>
          <w:szCs w:val="24"/>
          <w:lang w:eastAsia="bg-BG"/>
        </w:rPr>
      </w:pPr>
      <w:r w:rsidRPr="0031346B">
        <w:rPr>
          <w:rFonts w:cs="Times New Roman"/>
          <w:sz w:val="24"/>
          <w:szCs w:val="24"/>
          <w:lang w:eastAsia="bg-BG"/>
        </w:rPr>
        <w:t xml:space="preserve">2) Математически науки и информатика; </w:t>
      </w:r>
    </w:p>
    <w:p w:rsidR="00A610E0" w:rsidRPr="0031346B" w:rsidRDefault="00A610E0" w:rsidP="0031346B">
      <w:pPr>
        <w:spacing w:before="120" w:after="120"/>
        <w:rPr>
          <w:rFonts w:cs="Times New Roman"/>
          <w:sz w:val="24"/>
          <w:szCs w:val="24"/>
          <w:lang w:eastAsia="bg-BG"/>
        </w:rPr>
      </w:pPr>
      <w:r w:rsidRPr="0031346B">
        <w:rPr>
          <w:rFonts w:cs="Times New Roman"/>
          <w:sz w:val="24"/>
          <w:szCs w:val="24"/>
          <w:lang w:eastAsia="bg-BG"/>
        </w:rPr>
        <w:t xml:space="preserve">3) Медицински науки; </w:t>
      </w:r>
    </w:p>
    <w:p w:rsidR="00A610E0" w:rsidRPr="0031346B" w:rsidRDefault="00A610E0" w:rsidP="0031346B">
      <w:pPr>
        <w:spacing w:before="120" w:after="120"/>
        <w:rPr>
          <w:rFonts w:cs="Times New Roman"/>
          <w:sz w:val="24"/>
          <w:szCs w:val="24"/>
          <w:lang w:eastAsia="bg-BG"/>
        </w:rPr>
      </w:pPr>
      <w:r w:rsidRPr="0031346B">
        <w:rPr>
          <w:rFonts w:cs="Times New Roman"/>
          <w:sz w:val="24"/>
          <w:szCs w:val="24"/>
          <w:lang w:eastAsia="bg-BG"/>
        </w:rPr>
        <w:t xml:space="preserve">4) Науки за земята; </w:t>
      </w:r>
    </w:p>
    <w:p w:rsidR="00A610E0" w:rsidRPr="0031346B" w:rsidRDefault="00A610E0" w:rsidP="0031346B">
      <w:pPr>
        <w:spacing w:before="120" w:after="120"/>
        <w:rPr>
          <w:rFonts w:cs="Times New Roman"/>
          <w:sz w:val="24"/>
          <w:szCs w:val="24"/>
          <w:lang w:eastAsia="bg-BG"/>
        </w:rPr>
      </w:pPr>
      <w:r w:rsidRPr="0031346B">
        <w:rPr>
          <w:rFonts w:cs="Times New Roman"/>
          <w:sz w:val="24"/>
          <w:szCs w:val="24"/>
          <w:lang w:eastAsia="bg-BG"/>
        </w:rPr>
        <w:t xml:space="preserve">5) Обществени науки; </w:t>
      </w:r>
    </w:p>
    <w:p w:rsidR="00A610E0" w:rsidRPr="0031346B" w:rsidRDefault="00A610E0" w:rsidP="0031346B">
      <w:pPr>
        <w:spacing w:before="120" w:after="120"/>
        <w:rPr>
          <w:rFonts w:cs="Times New Roman"/>
          <w:sz w:val="24"/>
          <w:szCs w:val="24"/>
          <w:lang w:eastAsia="bg-BG"/>
        </w:rPr>
      </w:pPr>
      <w:r w:rsidRPr="0031346B">
        <w:rPr>
          <w:rFonts w:cs="Times New Roman"/>
          <w:sz w:val="24"/>
          <w:szCs w:val="24"/>
          <w:lang w:eastAsia="bg-BG"/>
        </w:rPr>
        <w:t xml:space="preserve">6) Селскостопански науки; </w:t>
      </w:r>
    </w:p>
    <w:p w:rsidR="00A610E0" w:rsidRPr="0031346B" w:rsidRDefault="00A610E0" w:rsidP="0031346B">
      <w:pPr>
        <w:spacing w:before="120" w:after="120"/>
        <w:rPr>
          <w:rFonts w:cs="Times New Roman"/>
          <w:sz w:val="24"/>
          <w:szCs w:val="24"/>
          <w:lang w:eastAsia="bg-BG"/>
        </w:rPr>
      </w:pPr>
      <w:r w:rsidRPr="0031346B">
        <w:rPr>
          <w:rFonts w:cs="Times New Roman"/>
          <w:sz w:val="24"/>
          <w:szCs w:val="24"/>
          <w:lang w:eastAsia="bg-BG"/>
        </w:rPr>
        <w:t xml:space="preserve">7) Технически науки; </w:t>
      </w:r>
    </w:p>
    <w:p w:rsidR="00A610E0" w:rsidRPr="0031346B" w:rsidRDefault="00A610E0" w:rsidP="0031346B">
      <w:pPr>
        <w:spacing w:before="120" w:after="120"/>
        <w:rPr>
          <w:rFonts w:cs="Times New Roman"/>
          <w:sz w:val="24"/>
          <w:szCs w:val="24"/>
          <w:lang w:eastAsia="bg-BG"/>
        </w:rPr>
      </w:pPr>
      <w:r w:rsidRPr="0031346B">
        <w:rPr>
          <w:rFonts w:cs="Times New Roman"/>
          <w:sz w:val="24"/>
          <w:szCs w:val="24"/>
          <w:lang w:eastAsia="bg-BG"/>
        </w:rPr>
        <w:t xml:space="preserve">8) Физически науки; </w:t>
      </w:r>
    </w:p>
    <w:p w:rsidR="00A610E0" w:rsidRPr="0031346B" w:rsidRDefault="00A610E0" w:rsidP="0031346B">
      <w:pPr>
        <w:spacing w:before="120" w:after="120"/>
        <w:rPr>
          <w:rFonts w:cs="Times New Roman"/>
          <w:sz w:val="24"/>
          <w:szCs w:val="24"/>
          <w:lang w:eastAsia="bg-BG"/>
        </w:rPr>
      </w:pPr>
      <w:r w:rsidRPr="0031346B">
        <w:rPr>
          <w:rFonts w:cs="Times New Roman"/>
          <w:sz w:val="24"/>
          <w:szCs w:val="24"/>
          <w:lang w:eastAsia="bg-BG"/>
        </w:rPr>
        <w:t xml:space="preserve">9) Химически науки; </w:t>
      </w:r>
    </w:p>
    <w:p w:rsidR="00A610E0" w:rsidRPr="0031346B" w:rsidRDefault="00A610E0" w:rsidP="0031346B">
      <w:pPr>
        <w:spacing w:before="120" w:after="120"/>
        <w:rPr>
          <w:rFonts w:cs="Times New Roman"/>
          <w:sz w:val="24"/>
          <w:szCs w:val="24"/>
          <w:lang w:eastAsia="bg-BG"/>
        </w:rPr>
      </w:pPr>
      <w:r w:rsidRPr="0031346B">
        <w:rPr>
          <w:rFonts w:cs="Times New Roman"/>
          <w:sz w:val="24"/>
          <w:szCs w:val="24"/>
          <w:lang w:eastAsia="bg-BG"/>
        </w:rPr>
        <w:t xml:space="preserve">10) Хуманитарни науки. </w:t>
      </w:r>
    </w:p>
    <w:p w:rsidR="00A610E0" w:rsidRPr="0031346B" w:rsidRDefault="00A610E0" w:rsidP="0031346B">
      <w:pPr>
        <w:rPr>
          <w:rFonts w:cs="Times New Roman"/>
          <w:sz w:val="24"/>
          <w:szCs w:val="24"/>
          <w:lang w:eastAsia="bg-BG"/>
        </w:rPr>
      </w:pPr>
      <w:r w:rsidRPr="0031346B">
        <w:rPr>
          <w:rFonts w:cs="Times New Roman"/>
          <w:sz w:val="24"/>
          <w:szCs w:val="24"/>
          <w:lang w:eastAsia="bg-BG"/>
        </w:rPr>
        <w:t xml:space="preserve">Научните области, в които ще бъдат финансирани фундаментални изследвания са определени с решение на Изпълнителния съвет (ИС) на фонд „Научни изследвания“ (Фонда). </w:t>
      </w:r>
    </w:p>
    <w:p w:rsidR="00A610E0" w:rsidRPr="0031346B" w:rsidRDefault="00A610E0" w:rsidP="0031346B">
      <w:pPr>
        <w:rPr>
          <w:rFonts w:cs="Times New Roman"/>
          <w:sz w:val="24"/>
          <w:szCs w:val="24"/>
          <w:lang w:eastAsia="bg-BG"/>
        </w:rPr>
      </w:pPr>
      <w:r w:rsidRPr="0031346B">
        <w:rPr>
          <w:rFonts w:cs="Times New Roman"/>
          <w:b/>
          <w:bCs/>
          <w:sz w:val="24"/>
          <w:szCs w:val="24"/>
          <w:lang w:eastAsia="bg-BG"/>
        </w:rPr>
        <w:t xml:space="preserve">2. Общ бюджет на конкурса: </w:t>
      </w:r>
    </w:p>
    <w:p w:rsidR="00DB7DE9" w:rsidRDefault="00A610E0" w:rsidP="0031346B">
      <w:pPr>
        <w:rPr>
          <w:rFonts w:cs="Times New Roman"/>
          <w:sz w:val="24"/>
          <w:szCs w:val="24"/>
          <w:lang w:eastAsia="bg-BG"/>
        </w:rPr>
      </w:pPr>
      <w:r w:rsidRPr="0031346B">
        <w:rPr>
          <w:rFonts w:cs="Times New Roman"/>
          <w:sz w:val="24"/>
          <w:szCs w:val="24"/>
          <w:lang w:eastAsia="bg-BG"/>
        </w:rPr>
        <w:t xml:space="preserve">Прогнозният общ бюджет на конкурса за финансиране на фундаментални научни изследвания –2017 г. е 16 000 </w:t>
      </w:r>
      <w:proofErr w:type="spellStart"/>
      <w:r w:rsidRPr="0031346B">
        <w:rPr>
          <w:rFonts w:cs="Times New Roman"/>
          <w:sz w:val="24"/>
          <w:szCs w:val="24"/>
          <w:lang w:eastAsia="bg-BG"/>
        </w:rPr>
        <w:t>000</w:t>
      </w:r>
      <w:proofErr w:type="spellEnd"/>
      <w:r w:rsidRPr="0031346B">
        <w:rPr>
          <w:rFonts w:cs="Times New Roman"/>
          <w:sz w:val="24"/>
          <w:szCs w:val="24"/>
          <w:lang w:eastAsia="bg-BG"/>
        </w:rPr>
        <w:t xml:space="preserve"> лв., от които от 8 000 </w:t>
      </w:r>
      <w:proofErr w:type="spellStart"/>
      <w:r w:rsidRPr="0031346B">
        <w:rPr>
          <w:rFonts w:cs="Times New Roman"/>
          <w:sz w:val="24"/>
          <w:szCs w:val="24"/>
          <w:lang w:eastAsia="bg-BG"/>
        </w:rPr>
        <w:t>000</w:t>
      </w:r>
      <w:proofErr w:type="spellEnd"/>
      <w:r w:rsidRPr="0031346B">
        <w:rPr>
          <w:rFonts w:cs="Times New Roman"/>
          <w:sz w:val="24"/>
          <w:szCs w:val="24"/>
          <w:lang w:eastAsia="bg-BG"/>
        </w:rPr>
        <w:t xml:space="preserve"> лв. (50 % от общия размер) за първия етап на проектите. </w:t>
      </w:r>
    </w:p>
    <w:p w:rsidR="0031346B" w:rsidRDefault="0031346B">
      <w:pPr>
        <w:jc w:val="left"/>
        <w:rPr>
          <w:rFonts w:cs="Times New Roman"/>
          <w:sz w:val="24"/>
          <w:szCs w:val="24"/>
          <w:lang w:eastAsia="bg-BG"/>
        </w:rPr>
      </w:pPr>
      <w:r>
        <w:rPr>
          <w:rFonts w:cs="Times New Roman"/>
          <w:sz w:val="24"/>
          <w:szCs w:val="24"/>
          <w:lang w:eastAsia="bg-BG"/>
        </w:rPr>
        <w:br w:type="page"/>
      </w:r>
    </w:p>
    <w:p w:rsidR="00DB7DE9" w:rsidRPr="0031346B" w:rsidRDefault="00DB7DE9" w:rsidP="0031346B">
      <w:pPr>
        <w:rPr>
          <w:rFonts w:cs="Times New Roman"/>
          <w:b/>
          <w:bCs/>
          <w:sz w:val="24"/>
          <w:szCs w:val="24"/>
          <w:lang w:val="ru-RU" w:eastAsia="bg-BG"/>
        </w:rPr>
      </w:pPr>
      <w:r w:rsidRPr="0031346B">
        <w:rPr>
          <w:rFonts w:cs="Times New Roman"/>
          <w:b/>
          <w:bCs/>
          <w:sz w:val="24"/>
          <w:szCs w:val="24"/>
          <w:lang w:eastAsia="bg-BG"/>
        </w:rPr>
        <w:lastRenderedPageBreak/>
        <w:t xml:space="preserve">Предвидено е следното разпределение на наличния общ бюджет по научни области: </w:t>
      </w:r>
    </w:p>
    <w:tbl>
      <w:tblPr>
        <w:tblW w:w="0" w:type="auto"/>
        <w:tblBorders>
          <w:top w:val="nil"/>
          <w:left w:val="nil"/>
          <w:bottom w:val="nil"/>
          <w:right w:val="nil"/>
        </w:tblBorders>
        <w:tblLayout w:type="fixed"/>
        <w:tblLook w:val="0000" w:firstRow="0" w:lastRow="0" w:firstColumn="0" w:lastColumn="0" w:noHBand="0" w:noVBand="0"/>
      </w:tblPr>
      <w:tblGrid>
        <w:gridCol w:w="2274"/>
        <w:gridCol w:w="2274"/>
        <w:gridCol w:w="2274"/>
        <w:gridCol w:w="2274"/>
      </w:tblGrid>
      <w:tr w:rsidR="00A610E0" w:rsidRPr="0031346B" w:rsidTr="0031346B">
        <w:tblPrEx>
          <w:tblCellMar>
            <w:top w:w="0" w:type="dxa"/>
            <w:bottom w:w="0" w:type="dxa"/>
          </w:tblCellMar>
        </w:tblPrEx>
        <w:trPr>
          <w:trHeight w:val="383"/>
        </w:trPr>
        <w:tc>
          <w:tcPr>
            <w:tcW w:w="2274" w:type="dxa"/>
            <w:shd w:val="clear" w:color="auto" w:fill="92CDDC" w:themeFill="accent5" w:themeFillTint="99"/>
          </w:tcPr>
          <w:p w:rsidR="00A610E0" w:rsidRPr="0031346B" w:rsidRDefault="00A610E0" w:rsidP="0031346B">
            <w:pPr>
              <w:rPr>
                <w:rFonts w:cs="Times New Roman"/>
                <w:b/>
                <w:sz w:val="20"/>
                <w:szCs w:val="20"/>
                <w:lang w:eastAsia="bg-BG"/>
              </w:rPr>
            </w:pPr>
            <w:r w:rsidRPr="0031346B">
              <w:rPr>
                <w:rFonts w:cs="Times New Roman"/>
                <w:b/>
                <w:bCs/>
                <w:sz w:val="20"/>
                <w:szCs w:val="20"/>
                <w:lang w:eastAsia="bg-BG"/>
              </w:rPr>
              <w:t xml:space="preserve">Научна област </w:t>
            </w:r>
          </w:p>
        </w:tc>
        <w:tc>
          <w:tcPr>
            <w:tcW w:w="2274" w:type="dxa"/>
            <w:shd w:val="clear" w:color="auto" w:fill="92CDDC" w:themeFill="accent5" w:themeFillTint="99"/>
          </w:tcPr>
          <w:p w:rsidR="00A610E0" w:rsidRPr="0031346B" w:rsidRDefault="00A610E0" w:rsidP="0031346B">
            <w:pPr>
              <w:rPr>
                <w:rFonts w:cs="Times New Roman"/>
                <w:b/>
                <w:sz w:val="20"/>
                <w:szCs w:val="20"/>
                <w:lang w:eastAsia="bg-BG"/>
              </w:rPr>
            </w:pPr>
            <w:r w:rsidRPr="0031346B">
              <w:rPr>
                <w:rFonts w:cs="Times New Roman"/>
                <w:b/>
                <w:bCs/>
                <w:sz w:val="20"/>
                <w:szCs w:val="20"/>
                <w:lang w:eastAsia="bg-BG"/>
              </w:rPr>
              <w:t xml:space="preserve">Бюджет за двата етапа, лв. </w:t>
            </w:r>
          </w:p>
        </w:tc>
        <w:tc>
          <w:tcPr>
            <w:tcW w:w="2274" w:type="dxa"/>
            <w:shd w:val="clear" w:color="auto" w:fill="92CDDC" w:themeFill="accent5" w:themeFillTint="99"/>
          </w:tcPr>
          <w:p w:rsidR="00A610E0" w:rsidRPr="0031346B" w:rsidRDefault="00A610E0" w:rsidP="0031346B">
            <w:pPr>
              <w:rPr>
                <w:rFonts w:cs="Times New Roman"/>
                <w:b/>
                <w:sz w:val="20"/>
                <w:szCs w:val="20"/>
                <w:lang w:eastAsia="bg-BG"/>
              </w:rPr>
            </w:pPr>
            <w:r w:rsidRPr="0031346B">
              <w:rPr>
                <w:rFonts w:cs="Times New Roman"/>
                <w:b/>
                <w:bCs/>
                <w:sz w:val="20"/>
                <w:szCs w:val="20"/>
                <w:lang w:eastAsia="bg-BG"/>
              </w:rPr>
              <w:t xml:space="preserve">Бюджет за ЕТАП I , лв. </w:t>
            </w:r>
          </w:p>
        </w:tc>
        <w:tc>
          <w:tcPr>
            <w:tcW w:w="2274" w:type="dxa"/>
            <w:shd w:val="clear" w:color="auto" w:fill="92CDDC" w:themeFill="accent5" w:themeFillTint="99"/>
          </w:tcPr>
          <w:p w:rsidR="00A610E0" w:rsidRPr="0031346B" w:rsidRDefault="00A610E0" w:rsidP="0031346B">
            <w:pPr>
              <w:rPr>
                <w:rFonts w:cs="Times New Roman"/>
                <w:b/>
                <w:sz w:val="20"/>
                <w:szCs w:val="20"/>
                <w:lang w:eastAsia="bg-BG"/>
              </w:rPr>
            </w:pPr>
            <w:r w:rsidRPr="0031346B">
              <w:rPr>
                <w:rFonts w:cs="Times New Roman"/>
                <w:b/>
                <w:bCs/>
                <w:sz w:val="20"/>
                <w:szCs w:val="20"/>
                <w:lang w:eastAsia="bg-BG"/>
              </w:rPr>
              <w:t xml:space="preserve">Процент от общия бюджет </w:t>
            </w:r>
          </w:p>
        </w:tc>
      </w:tr>
      <w:tr w:rsidR="00DB7DE9" w:rsidRPr="0031346B" w:rsidTr="00430779">
        <w:tblPrEx>
          <w:tblCellMar>
            <w:top w:w="0" w:type="dxa"/>
            <w:bottom w:w="0" w:type="dxa"/>
          </w:tblCellMar>
        </w:tblPrEx>
        <w:trPr>
          <w:trHeight w:val="383"/>
        </w:trPr>
        <w:tc>
          <w:tcPr>
            <w:tcW w:w="2274" w:type="dxa"/>
            <w:tcBorders>
              <w:left w:val="nil"/>
            </w:tcBorders>
            <w:shd w:val="clear" w:color="auto" w:fill="auto"/>
          </w:tcPr>
          <w:p w:rsidR="00DB7DE9" w:rsidRPr="0031346B" w:rsidRDefault="00DB7DE9" w:rsidP="0031346B">
            <w:pPr>
              <w:rPr>
                <w:rFonts w:cs="Times New Roman"/>
                <w:b/>
                <w:bCs/>
                <w:sz w:val="20"/>
                <w:szCs w:val="20"/>
                <w:lang w:eastAsia="bg-BG"/>
              </w:rPr>
            </w:pPr>
            <w:r w:rsidRPr="0031346B">
              <w:rPr>
                <w:rFonts w:cs="Times New Roman"/>
                <w:b/>
                <w:bCs/>
                <w:sz w:val="20"/>
                <w:szCs w:val="20"/>
                <w:lang w:eastAsia="bg-BG"/>
              </w:rPr>
              <w:t xml:space="preserve">Биологически науки </w:t>
            </w:r>
          </w:p>
        </w:tc>
        <w:tc>
          <w:tcPr>
            <w:tcW w:w="2274" w:type="dxa"/>
            <w:shd w:val="clear" w:color="auto" w:fill="auto"/>
          </w:tcPr>
          <w:p w:rsidR="00DB7DE9" w:rsidRPr="0031346B" w:rsidRDefault="00DB7DE9" w:rsidP="0031346B">
            <w:pPr>
              <w:rPr>
                <w:rFonts w:cs="Times New Roman"/>
                <w:bCs/>
                <w:sz w:val="20"/>
                <w:szCs w:val="20"/>
                <w:lang w:eastAsia="bg-BG"/>
              </w:rPr>
            </w:pPr>
            <w:r w:rsidRPr="0031346B">
              <w:rPr>
                <w:rFonts w:cs="Times New Roman"/>
                <w:bCs/>
                <w:sz w:val="20"/>
                <w:szCs w:val="20"/>
                <w:lang w:eastAsia="bg-BG"/>
              </w:rPr>
              <w:t xml:space="preserve">2 080 000 </w:t>
            </w:r>
          </w:p>
        </w:tc>
        <w:tc>
          <w:tcPr>
            <w:tcW w:w="2274" w:type="dxa"/>
            <w:shd w:val="clear" w:color="auto" w:fill="auto"/>
          </w:tcPr>
          <w:p w:rsidR="00DB7DE9" w:rsidRPr="0031346B" w:rsidRDefault="00DB7DE9" w:rsidP="0031346B">
            <w:pPr>
              <w:rPr>
                <w:rFonts w:cs="Times New Roman"/>
                <w:bCs/>
                <w:sz w:val="20"/>
                <w:szCs w:val="20"/>
                <w:lang w:eastAsia="bg-BG"/>
              </w:rPr>
            </w:pPr>
            <w:r w:rsidRPr="0031346B">
              <w:rPr>
                <w:rFonts w:cs="Times New Roman"/>
                <w:bCs/>
                <w:sz w:val="20"/>
                <w:szCs w:val="20"/>
                <w:lang w:eastAsia="bg-BG"/>
              </w:rPr>
              <w:t xml:space="preserve">1 040 000 </w:t>
            </w:r>
          </w:p>
        </w:tc>
        <w:tc>
          <w:tcPr>
            <w:tcW w:w="2274" w:type="dxa"/>
            <w:tcBorders>
              <w:right w:val="nil"/>
            </w:tcBorders>
            <w:shd w:val="clear" w:color="auto" w:fill="auto"/>
          </w:tcPr>
          <w:p w:rsidR="00DB7DE9" w:rsidRPr="0031346B" w:rsidRDefault="00DB7DE9" w:rsidP="0031346B">
            <w:pPr>
              <w:rPr>
                <w:rFonts w:cs="Times New Roman"/>
                <w:bCs/>
                <w:sz w:val="20"/>
                <w:szCs w:val="20"/>
                <w:lang w:eastAsia="bg-BG"/>
              </w:rPr>
            </w:pPr>
            <w:r w:rsidRPr="0031346B">
              <w:rPr>
                <w:rFonts w:cs="Times New Roman"/>
                <w:bCs/>
                <w:sz w:val="20"/>
                <w:szCs w:val="20"/>
                <w:lang w:eastAsia="bg-BG"/>
              </w:rPr>
              <w:t xml:space="preserve">13% </w:t>
            </w:r>
          </w:p>
        </w:tc>
      </w:tr>
      <w:tr w:rsidR="00DB7DE9" w:rsidRPr="0031346B" w:rsidTr="0031346B">
        <w:tblPrEx>
          <w:tblCellMar>
            <w:top w:w="0" w:type="dxa"/>
            <w:bottom w:w="0" w:type="dxa"/>
          </w:tblCellMar>
        </w:tblPrEx>
        <w:trPr>
          <w:trHeight w:val="383"/>
        </w:trPr>
        <w:tc>
          <w:tcPr>
            <w:tcW w:w="2274" w:type="dxa"/>
            <w:tcBorders>
              <w:left w:val="nil"/>
            </w:tcBorders>
            <w:shd w:val="clear" w:color="auto" w:fill="DAEEF3" w:themeFill="accent5" w:themeFillTint="33"/>
          </w:tcPr>
          <w:p w:rsidR="00DB7DE9" w:rsidRPr="0031346B" w:rsidRDefault="00DB7DE9" w:rsidP="0031346B">
            <w:pPr>
              <w:rPr>
                <w:rFonts w:cs="Times New Roman"/>
                <w:b/>
                <w:bCs/>
                <w:sz w:val="20"/>
                <w:szCs w:val="20"/>
                <w:lang w:eastAsia="bg-BG"/>
              </w:rPr>
            </w:pPr>
            <w:r w:rsidRPr="0031346B">
              <w:rPr>
                <w:rFonts w:cs="Times New Roman"/>
                <w:b/>
                <w:bCs/>
                <w:sz w:val="20"/>
                <w:szCs w:val="20"/>
                <w:lang w:eastAsia="bg-BG"/>
              </w:rPr>
              <w:t xml:space="preserve">Математически науки и информатика </w:t>
            </w:r>
          </w:p>
        </w:tc>
        <w:tc>
          <w:tcPr>
            <w:tcW w:w="2274" w:type="dxa"/>
            <w:shd w:val="clear" w:color="auto" w:fill="DAEEF3" w:themeFill="accent5" w:themeFillTint="33"/>
          </w:tcPr>
          <w:p w:rsidR="00DB7DE9" w:rsidRPr="0031346B" w:rsidRDefault="00DB7DE9" w:rsidP="0031346B">
            <w:pPr>
              <w:rPr>
                <w:rFonts w:cs="Times New Roman"/>
                <w:bCs/>
                <w:sz w:val="20"/>
                <w:szCs w:val="20"/>
                <w:lang w:eastAsia="bg-BG"/>
              </w:rPr>
            </w:pPr>
            <w:r w:rsidRPr="0031346B">
              <w:rPr>
                <w:rFonts w:cs="Times New Roman"/>
                <w:bCs/>
                <w:sz w:val="20"/>
                <w:szCs w:val="20"/>
                <w:lang w:eastAsia="bg-BG"/>
              </w:rPr>
              <w:t xml:space="preserve">1 120 000 </w:t>
            </w:r>
          </w:p>
        </w:tc>
        <w:tc>
          <w:tcPr>
            <w:tcW w:w="2274" w:type="dxa"/>
            <w:shd w:val="clear" w:color="auto" w:fill="DAEEF3" w:themeFill="accent5" w:themeFillTint="33"/>
          </w:tcPr>
          <w:p w:rsidR="00DB7DE9" w:rsidRPr="0031346B" w:rsidRDefault="00DB7DE9" w:rsidP="0031346B">
            <w:pPr>
              <w:rPr>
                <w:rFonts w:cs="Times New Roman"/>
                <w:bCs/>
                <w:sz w:val="20"/>
                <w:szCs w:val="20"/>
                <w:lang w:eastAsia="bg-BG"/>
              </w:rPr>
            </w:pPr>
            <w:r w:rsidRPr="0031346B">
              <w:rPr>
                <w:rFonts w:cs="Times New Roman"/>
                <w:bCs/>
                <w:sz w:val="20"/>
                <w:szCs w:val="20"/>
                <w:lang w:eastAsia="bg-BG"/>
              </w:rPr>
              <w:t xml:space="preserve">560 000 </w:t>
            </w:r>
          </w:p>
        </w:tc>
        <w:tc>
          <w:tcPr>
            <w:tcW w:w="2274" w:type="dxa"/>
            <w:tcBorders>
              <w:right w:val="nil"/>
            </w:tcBorders>
            <w:shd w:val="clear" w:color="auto" w:fill="DAEEF3" w:themeFill="accent5" w:themeFillTint="33"/>
          </w:tcPr>
          <w:p w:rsidR="00DB7DE9" w:rsidRPr="0031346B" w:rsidRDefault="00DB7DE9" w:rsidP="0031346B">
            <w:pPr>
              <w:rPr>
                <w:rFonts w:cs="Times New Roman"/>
                <w:bCs/>
                <w:sz w:val="20"/>
                <w:szCs w:val="20"/>
                <w:lang w:eastAsia="bg-BG"/>
              </w:rPr>
            </w:pPr>
            <w:r w:rsidRPr="0031346B">
              <w:rPr>
                <w:rFonts w:cs="Times New Roman"/>
                <w:bCs/>
                <w:sz w:val="20"/>
                <w:szCs w:val="20"/>
                <w:lang w:eastAsia="bg-BG"/>
              </w:rPr>
              <w:t xml:space="preserve">7% </w:t>
            </w:r>
          </w:p>
        </w:tc>
      </w:tr>
      <w:tr w:rsidR="00DB7DE9" w:rsidRPr="0031346B" w:rsidTr="00430779">
        <w:tblPrEx>
          <w:tblCellMar>
            <w:top w:w="0" w:type="dxa"/>
            <w:bottom w:w="0" w:type="dxa"/>
          </w:tblCellMar>
        </w:tblPrEx>
        <w:trPr>
          <w:trHeight w:val="383"/>
        </w:trPr>
        <w:tc>
          <w:tcPr>
            <w:tcW w:w="2274" w:type="dxa"/>
            <w:tcBorders>
              <w:left w:val="nil"/>
            </w:tcBorders>
            <w:shd w:val="clear" w:color="auto" w:fill="auto"/>
          </w:tcPr>
          <w:p w:rsidR="00DB7DE9" w:rsidRPr="0031346B" w:rsidRDefault="00DB7DE9" w:rsidP="0031346B">
            <w:pPr>
              <w:rPr>
                <w:rFonts w:cs="Times New Roman"/>
                <w:b/>
                <w:bCs/>
                <w:sz w:val="20"/>
                <w:szCs w:val="20"/>
                <w:lang w:eastAsia="bg-BG"/>
              </w:rPr>
            </w:pPr>
            <w:r w:rsidRPr="0031346B">
              <w:rPr>
                <w:rFonts w:cs="Times New Roman"/>
                <w:b/>
                <w:bCs/>
                <w:sz w:val="20"/>
                <w:szCs w:val="20"/>
                <w:lang w:eastAsia="bg-BG"/>
              </w:rPr>
              <w:t xml:space="preserve">Медицински науки </w:t>
            </w:r>
          </w:p>
        </w:tc>
        <w:tc>
          <w:tcPr>
            <w:tcW w:w="2274" w:type="dxa"/>
            <w:shd w:val="clear" w:color="auto" w:fill="auto"/>
          </w:tcPr>
          <w:p w:rsidR="00DB7DE9" w:rsidRPr="0031346B" w:rsidRDefault="00DB7DE9" w:rsidP="0031346B">
            <w:pPr>
              <w:rPr>
                <w:rFonts w:cs="Times New Roman"/>
                <w:bCs/>
                <w:sz w:val="20"/>
                <w:szCs w:val="20"/>
                <w:lang w:eastAsia="bg-BG"/>
              </w:rPr>
            </w:pPr>
            <w:r w:rsidRPr="0031346B">
              <w:rPr>
                <w:rFonts w:cs="Times New Roman"/>
                <w:bCs/>
                <w:sz w:val="20"/>
                <w:szCs w:val="20"/>
                <w:lang w:eastAsia="bg-BG"/>
              </w:rPr>
              <w:t xml:space="preserve">1 600 000 </w:t>
            </w:r>
          </w:p>
        </w:tc>
        <w:tc>
          <w:tcPr>
            <w:tcW w:w="2274" w:type="dxa"/>
            <w:shd w:val="clear" w:color="auto" w:fill="auto"/>
          </w:tcPr>
          <w:p w:rsidR="00DB7DE9" w:rsidRPr="0031346B" w:rsidRDefault="00DB7DE9" w:rsidP="0031346B">
            <w:pPr>
              <w:rPr>
                <w:rFonts w:cs="Times New Roman"/>
                <w:bCs/>
                <w:sz w:val="20"/>
                <w:szCs w:val="20"/>
                <w:lang w:eastAsia="bg-BG"/>
              </w:rPr>
            </w:pPr>
            <w:r w:rsidRPr="0031346B">
              <w:rPr>
                <w:rFonts w:cs="Times New Roman"/>
                <w:bCs/>
                <w:sz w:val="20"/>
                <w:szCs w:val="20"/>
                <w:lang w:eastAsia="bg-BG"/>
              </w:rPr>
              <w:t xml:space="preserve">800 000 </w:t>
            </w:r>
          </w:p>
        </w:tc>
        <w:tc>
          <w:tcPr>
            <w:tcW w:w="2274" w:type="dxa"/>
            <w:tcBorders>
              <w:right w:val="nil"/>
            </w:tcBorders>
            <w:shd w:val="clear" w:color="auto" w:fill="auto"/>
          </w:tcPr>
          <w:p w:rsidR="00DB7DE9" w:rsidRPr="0031346B" w:rsidRDefault="00DB7DE9" w:rsidP="0031346B">
            <w:pPr>
              <w:rPr>
                <w:rFonts w:cs="Times New Roman"/>
                <w:bCs/>
                <w:sz w:val="20"/>
                <w:szCs w:val="20"/>
                <w:lang w:eastAsia="bg-BG"/>
              </w:rPr>
            </w:pPr>
            <w:r w:rsidRPr="0031346B">
              <w:rPr>
                <w:rFonts w:cs="Times New Roman"/>
                <w:bCs/>
                <w:sz w:val="20"/>
                <w:szCs w:val="20"/>
                <w:lang w:eastAsia="bg-BG"/>
              </w:rPr>
              <w:t xml:space="preserve">10% </w:t>
            </w:r>
          </w:p>
        </w:tc>
      </w:tr>
      <w:tr w:rsidR="00DB7DE9" w:rsidRPr="0031346B" w:rsidTr="0031346B">
        <w:tblPrEx>
          <w:tblCellMar>
            <w:top w:w="0" w:type="dxa"/>
            <w:bottom w:w="0" w:type="dxa"/>
          </w:tblCellMar>
        </w:tblPrEx>
        <w:trPr>
          <w:trHeight w:val="383"/>
        </w:trPr>
        <w:tc>
          <w:tcPr>
            <w:tcW w:w="2274" w:type="dxa"/>
            <w:tcBorders>
              <w:left w:val="nil"/>
            </w:tcBorders>
            <w:shd w:val="clear" w:color="auto" w:fill="DAEEF3" w:themeFill="accent5" w:themeFillTint="33"/>
          </w:tcPr>
          <w:p w:rsidR="00DB7DE9" w:rsidRPr="0031346B" w:rsidRDefault="00DB7DE9" w:rsidP="0031346B">
            <w:pPr>
              <w:rPr>
                <w:rFonts w:cs="Times New Roman"/>
                <w:b/>
                <w:bCs/>
                <w:sz w:val="20"/>
                <w:szCs w:val="20"/>
                <w:lang w:eastAsia="bg-BG"/>
              </w:rPr>
            </w:pPr>
            <w:r w:rsidRPr="0031346B">
              <w:rPr>
                <w:rFonts w:cs="Times New Roman"/>
                <w:b/>
                <w:bCs/>
                <w:sz w:val="20"/>
                <w:szCs w:val="20"/>
                <w:lang w:eastAsia="bg-BG"/>
              </w:rPr>
              <w:t xml:space="preserve">Науки за земята </w:t>
            </w:r>
          </w:p>
        </w:tc>
        <w:tc>
          <w:tcPr>
            <w:tcW w:w="2274" w:type="dxa"/>
            <w:shd w:val="clear" w:color="auto" w:fill="DAEEF3" w:themeFill="accent5" w:themeFillTint="33"/>
          </w:tcPr>
          <w:p w:rsidR="00DB7DE9" w:rsidRPr="0031346B" w:rsidRDefault="00DB7DE9" w:rsidP="0031346B">
            <w:pPr>
              <w:rPr>
                <w:rFonts w:cs="Times New Roman"/>
                <w:bCs/>
                <w:sz w:val="20"/>
                <w:szCs w:val="20"/>
                <w:lang w:eastAsia="bg-BG"/>
              </w:rPr>
            </w:pPr>
            <w:r w:rsidRPr="0031346B">
              <w:rPr>
                <w:rFonts w:cs="Times New Roman"/>
                <w:bCs/>
                <w:sz w:val="20"/>
                <w:szCs w:val="20"/>
                <w:lang w:eastAsia="bg-BG"/>
              </w:rPr>
              <w:t xml:space="preserve">800 000 </w:t>
            </w:r>
          </w:p>
        </w:tc>
        <w:tc>
          <w:tcPr>
            <w:tcW w:w="2274" w:type="dxa"/>
            <w:shd w:val="clear" w:color="auto" w:fill="DAEEF3" w:themeFill="accent5" w:themeFillTint="33"/>
          </w:tcPr>
          <w:p w:rsidR="00DB7DE9" w:rsidRPr="0031346B" w:rsidRDefault="00DB7DE9" w:rsidP="0031346B">
            <w:pPr>
              <w:rPr>
                <w:rFonts w:cs="Times New Roman"/>
                <w:bCs/>
                <w:sz w:val="20"/>
                <w:szCs w:val="20"/>
                <w:lang w:eastAsia="bg-BG"/>
              </w:rPr>
            </w:pPr>
            <w:r w:rsidRPr="0031346B">
              <w:rPr>
                <w:rFonts w:cs="Times New Roman"/>
                <w:bCs/>
                <w:sz w:val="20"/>
                <w:szCs w:val="20"/>
                <w:lang w:eastAsia="bg-BG"/>
              </w:rPr>
              <w:t xml:space="preserve">400 000 </w:t>
            </w:r>
          </w:p>
        </w:tc>
        <w:tc>
          <w:tcPr>
            <w:tcW w:w="2274" w:type="dxa"/>
            <w:tcBorders>
              <w:right w:val="nil"/>
            </w:tcBorders>
            <w:shd w:val="clear" w:color="auto" w:fill="DAEEF3" w:themeFill="accent5" w:themeFillTint="33"/>
          </w:tcPr>
          <w:p w:rsidR="00DB7DE9" w:rsidRPr="0031346B" w:rsidRDefault="00DB7DE9" w:rsidP="0031346B">
            <w:pPr>
              <w:rPr>
                <w:rFonts w:cs="Times New Roman"/>
                <w:bCs/>
                <w:sz w:val="20"/>
                <w:szCs w:val="20"/>
                <w:lang w:eastAsia="bg-BG"/>
              </w:rPr>
            </w:pPr>
            <w:r w:rsidRPr="0031346B">
              <w:rPr>
                <w:rFonts w:cs="Times New Roman"/>
                <w:bCs/>
                <w:sz w:val="20"/>
                <w:szCs w:val="20"/>
                <w:lang w:eastAsia="bg-BG"/>
              </w:rPr>
              <w:t xml:space="preserve">5% </w:t>
            </w:r>
          </w:p>
        </w:tc>
      </w:tr>
      <w:tr w:rsidR="00DB7DE9" w:rsidRPr="0031346B" w:rsidTr="00430779">
        <w:tblPrEx>
          <w:tblCellMar>
            <w:top w:w="0" w:type="dxa"/>
            <w:bottom w:w="0" w:type="dxa"/>
          </w:tblCellMar>
        </w:tblPrEx>
        <w:trPr>
          <w:trHeight w:val="383"/>
        </w:trPr>
        <w:tc>
          <w:tcPr>
            <w:tcW w:w="2274" w:type="dxa"/>
            <w:tcBorders>
              <w:left w:val="nil"/>
            </w:tcBorders>
            <w:shd w:val="clear" w:color="auto" w:fill="auto"/>
          </w:tcPr>
          <w:p w:rsidR="00DB7DE9" w:rsidRPr="0031346B" w:rsidRDefault="00DB7DE9" w:rsidP="0031346B">
            <w:pPr>
              <w:rPr>
                <w:rFonts w:cs="Times New Roman"/>
                <w:b/>
                <w:bCs/>
                <w:sz w:val="20"/>
                <w:szCs w:val="20"/>
                <w:lang w:eastAsia="bg-BG"/>
              </w:rPr>
            </w:pPr>
            <w:r w:rsidRPr="0031346B">
              <w:rPr>
                <w:rFonts w:cs="Times New Roman"/>
                <w:b/>
                <w:bCs/>
                <w:sz w:val="20"/>
                <w:szCs w:val="20"/>
                <w:lang w:eastAsia="bg-BG"/>
              </w:rPr>
              <w:t xml:space="preserve">Обществени науки </w:t>
            </w:r>
          </w:p>
        </w:tc>
        <w:tc>
          <w:tcPr>
            <w:tcW w:w="2274" w:type="dxa"/>
            <w:shd w:val="clear" w:color="auto" w:fill="auto"/>
          </w:tcPr>
          <w:p w:rsidR="00DB7DE9" w:rsidRPr="0031346B" w:rsidRDefault="00DB7DE9" w:rsidP="0031346B">
            <w:pPr>
              <w:rPr>
                <w:rFonts w:cs="Times New Roman"/>
                <w:bCs/>
                <w:sz w:val="20"/>
                <w:szCs w:val="20"/>
                <w:lang w:eastAsia="bg-BG"/>
              </w:rPr>
            </w:pPr>
            <w:r w:rsidRPr="0031346B">
              <w:rPr>
                <w:rFonts w:cs="Times New Roman"/>
                <w:bCs/>
                <w:sz w:val="20"/>
                <w:szCs w:val="20"/>
                <w:lang w:eastAsia="bg-BG"/>
              </w:rPr>
              <w:t xml:space="preserve">1 440 000 </w:t>
            </w:r>
          </w:p>
        </w:tc>
        <w:tc>
          <w:tcPr>
            <w:tcW w:w="2274" w:type="dxa"/>
            <w:shd w:val="clear" w:color="auto" w:fill="auto"/>
          </w:tcPr>
          <w:p w:rsidR="00DB7DE9" w:rsidRPr="0031346B" w:rsidRDefault="00DB7DE9" w:rsidP="0031346B">
            <w:pPr>
              <w:rPr>
                <w:rFonts w:cs="Times New Roman"/>
                <w:bCs/>
                <w:sz w:val="20"/>
                <w:szCs w:val="20"/>
                <w:lang w:eastAsia="bg-BG"/>
              </w:rPr>
            </w:pPr>
            <w:r w:rsidRPr="0031346B">
              <w:rPr>
                <w:rFonts w:cs="Times New Roman"/>
                <w:bCs/>
                <w:sz w:val="20"/>
                <w:szCs w:val="20"/>
                <w:lang w:eastAsia="bg-BG"/>
              </w:rPr>
              <w:t xml:space="preserve">720 000 </w:t>
            </w:r>
          </w:p>
        </w:tc>
        <w:tc>
          <w:tcPr>
            <w:tcW w:w="2274" w:type="dxa"/>
            <w:tcBorders>
              <w:right w:val="nil"/>
            </w:tcBorders>
            <w:shd w:val="clear" w:color="auto" w:fill="auto"/>
          </w:tcPr>
          <w:p w:rsidR="00DB7DE9" w:rsidRPr="0031346B" w:rsidRDefault="00DB7DE9" w:rsidP="0031346B">
            <w:pPr>
              <w:rPr>
                <w:rFonts w:cs="Times New Roman"/>
                <w:bCs/>
                <w:sz w:val="20"/>
                <w:szCs w:val="20"/>
                <w:lang w:eastAsia="bg-BG"/>
              </w:rPr>
            </w:pPr>
            <w:r w:rsidRPr="0031346B">
              <w:rPr>
                <w:rFonts w:cs="Times New Roman"/>
                <w:bCs/>
                <w:sz w:val="20"/>
                <w:szCs w:val="20"/>
                <w:lang w:eastAsia="bg-BG"/>
              </w:rPr>
              <w:t xml:space="preserve">9% </w:t>
            </w:r>
          </w:p>
        </w:tc>
      </w:tr>
      <w:tr w:rsidR="00DB7DE9" w:rsidRPr="0031346B" w:rsidTr="0031346B">
        <w:tblPrEx>
          <w:tblCellMar>
            <w:top w:w="0" w:type="dxa"/>
            <w:bottom w:w="0" w:type="dxa"/>
          </w:tblCellMar>
        </w:tblPrEx>
        <w:trPr>
          <w:trHeight w:val="383"/>
        </w:trPr>
        <w:tc>
          <w:tcPr>
            <w:tcW w:w="2274" w:type="dxa"/>
            <w:tcBorders>
              <w:left w:val="nil"/>
            </w:tcBorders>
            <w:shd w:val="clear" w:color="auto" w:fill="DAEEF3" w:themeFill="accent5" w:themeFillTint="33"/>
          </w:tcPr>
          <w:p w:rsidR="00DB7DE9" w:rsidRPr="0031346B" w:rsidRDefault="00DB7DE9" w:rsidP="0031346B">
            <w:pPr>
              <w:rPr>
                <w:rFonts w:cs="Times New Roman"/>
                <w:b/>
                <w:bCs/>
                <w:sz w:val="20"/>
                <w:szCs w:val="20"/>
                <w:lang w:eastAsia="bg-BG"/>
              </w:rPr>
            </w:pPr>
            <w:r w:rsidRPr="0031346B">
              <w:rPr>
                <w:rFonts w:cs="Times New Roman"/>
                <w:b/>
                <w:bCs/>
                <w:sz w:val="20"/>
                <w:szCs w:val="20"/>
                <w:lang w:eastAsia="bg-BG"/>
              </w:rPr>
              <w:t xml:space="preserve">Селскостопански науки </w:t>
            </w:r>
          </w:p>
        </w:tc>
        <w:tc>
          <w:tcPr>
            <w:tcW w:w="2274" w:type="dxa"/>
            <w:shd w:val="clear" w:color="auto" w:fill="DAEEF3" w:themeFill="accent5" w:themeFillTint="33"/>
          </w:tcPr>
          <w:p w:rsidR="00DB7DE9" w:rsidRPr="0031346B" w:rsidRDefault="00DB7DE9" w:rsidP="0031346B">
            <w:pPr>
              <w:rPr>
                <w:rFonts w:cs="Times New Roman"/>
                <w:bCs/>
                <w:sz w:val="20"/>
                <w:szCs w:val="20"/>
                <w:lang w:eastAsia="bg-BG"/>
              </w:rPr>
            </w:pPr>
            <w:r w:rsidRPr="0031346B">
              <w:rPr>
                <w:rFonts w:cs="Times New Roman"/>
                <w:bCs/>
                <w:sz w:val="20"/>
                <w:szCs w:val="20"/>
                <w:lang w:eastAsia="bg-BG"/>
              </w:rPr>
              <w:t xml:space="preserve">1 280 000 </w:t>
            </w:r>
          </w:p>
        </w:tc>
        <w:tc>
          <w:tcPr>
            <w:tcW w:w="2274" w:type="dxa"/>
            <w:shd w:val="clear" w:color="auto" w:fill="DAEEF3" w:themeFill="accent5" w:themeFillTint="33"/>
          </w:tcPr>
          <w:p w:rsidR="00DB7DE9" w:rsidRPr="0031346B" w:rsidRDefault="00DB7DE9" w:rsidP="0031346B">
            <w:pPr>
              <w:rPr>
                <w:rFonts w:cs="Times New Roman"/>
                <w:bCs/>
                <w:sz w:val="20"/>
                <w:szCs w:val="20"/>
                <w:lang w:eastAsia="bg-BG"/>
              </w:rPr>
            </w:pPr>
            <w:r w:rsidRPr="0031346B">
              <w:rPr>
                <w:rFonts w:cs="Times New Roman"/>
                <w:bCs/>
                <w:sz w:val="20"/>
                <w:szCs w:val="20"/>
                <w:lang w:eastAsia="bg-BG"/>
              </w:rPr>
              <w:t xml:space="preserve">640 000 </w:t>
            </w:r>
          </w:p>
        </w:tc>
        <w:tc>
          <w:tcPr>
            <w:tcW w:w="2274" w:type="dxa"/>
            <w:tcBorders>
              <w:right w:val="nil"/>
            </w:tcBorders>
            <w:shd w:val="clear" w:color="auto" w:fill="DAEEF3" w:themeFill="accent5" w:themeFillTint="33"/>
          </w:tcPr>
          <w:p w:rsidR="00DB7DE9" w:rsidRPr="0031346B" w:rsidRDefault="00DB7DE9" w:rsidP="0031346B">
            <w:pPr>
              <w:rPr>
                <w:rFonts w:cs="Times New Roman"/>
                <w:bCs/>
                <w:sz w:val="20"/>
                <w:szCs w:val="20"/>
                <w:lang w:eastAsia="bg-BG"/>
              </w:rPr>
            </w:pPr>
            <w:r w:rsidRPr="0031346B">
              <w:rPr>
                <w:rFonts w:cs="Times New Roman"/>
                <w:bCs/>
                <w:sz w:val="20"/>
                <w:szCs w:val="20"/>
                <w:lang w:eastAsia="bg-BG"/>
              </w:rPr>
              <w:t xml:space="preserve">8% </w:t>
            </w:r>
          </w:p>
        </w:tc>
      </w:tr>
      <w:tr w:rsidR="00DB7DE9" w:rsidRPr="0031346B" w:rsidTr="00430779">
        <w:tblPrEx>
          <w:tblCellMar>
            <w:top w:w="0" w:type="dxa"/>
            <w:bottom w:w="0" w:type="dxa"/>
          </w:tblCellMar>
        </w:tblPrEx>
        <w:trPr>
          <w:trHeight w:val="383"/>
        </w:trPr>
        <w:tc>
          <w:tcPr>
            <w:tcW w:w="2274" w:type="dxa"/>
            <w:tcBorders>
              <w:left w:val="nil"/>
            </w:tcBorders>
            <w:shd w:val="clear" w:color="auto" w:fill="auto"/>
          </w:tcPr>
          <w:p w:rsidR="00DB7DE9" w:rsidRPr="0031346B" w:rsidRDefault="00DB7DE9" w:rsidP="0031346B">
            <w:pPr>
              <w:rPr>
                <w:rFonts w:cs="Times New Roman"/>
                <w:b/>
                <w:bCs/>
                <w:sz w:val="20"/>
                <w:szCs w:val="20"/>
                <w:lang w:eastAsia="bg-BG"/>
              </w:rPr>
            </w:pPr>
            <w:r w:rsidRPr="0031346B">
              <w:rPr>
                <w:rFonts w:cs="Times New Roman"/>
                <w:b/>
                <w:bCs/>
                <w:sz w:val="20"/>
                <w:szCs w:val="20"/>
                <w:lang w:eastAsia="bg-BG"/>
              </w:rPr>
              <w:t xml:space="preserve">Технически науки </w:t>
            </w:r>
          </w:p>
        </w:tc>
        <w:tc>
          <w:tcPr>
            <w:tcW w:w="2274" w:type="dxa"/>
            <w:shd w:val="clear" w:color="auto" w:fill="auto"/>
          </w:tcPr>
          <w:p w:rsidR="00DB7DE9" w:rsidRPr="0031346B" w:rsidRDefault="00DB7DE9" w:rsidP="0031346B">
            <w:pPr>
              <w:rPr>
                <w:rFonts w:cs="Times New Roman"/>
                <w:bCs/>
                <w:sz w:val="20"/>
                <w:szCs w:val="20"/>
                <w:lang w:eastAsia="bg-BG"/>
              </w:rPr>
            </w:pPr>
            <w:r w:rsidRPr="0031346B">
              <w:rPr>
                <w:rFonts w:cs="Times New Roman"/>
                <w:bCs/>
                <w:sz w:val="20"/>
                <w:szCs w:val="20"/>
                <w:lang w:eastAsia="bg-BG"/>
              </w:rPr>
              <w:t xml:space="preserve">2 720 000 </w:t>
            </w:r>
          </w:p>
        </w:tc>
        <w:tc>
          <w:tcPr>
            <w:tcW w:w="2274" w:type="dxa"/>
            <w:shd w:val="clear" w:color="auto" w:fill="auto"/>
          </w:tcPr>
          <w:p w:rsidR="00DB7DE9" w:rsidRPr="0031346B" w:rsidRDefault="00DB7DE9" w:rsidP="0031346B">
            <w:pPr>
              <w:rPr>
                <w:rFonts w:cs="Times New Roman"/>
                <w:bCs/>
                <w:sz w:val="20"/>
                <w:szCs w:val="20"/>
                <w:lang w:eastAsia="bg-BG"/>
              </w:rPr>
            </w:pPr>
            <w:r w:rsidRPr="0031346B">
              <w:rPr>
                <w:rFonts w:cs="Times New Roman"/>
                <w:bCs/>
                <w:sz w:val="20"/>
                <w:szCs w:val="20"/>
                <w:lang w:eastAsia="bg-BG"/>
              </w:rPr>
              <w:t xml:space="preserve">1 360 000 </w:t>
            </w:r>
          </w:p>
        </w:tc>
        <w:tc>
          <w:tcPr>
            <w:tcW w:w="2274" w:type="dxa"/>
            <w:tcBorders>
              <w:right w:val="nil"/>
            </w:tcBorders>
            <w:shd w:val="clear" w:color="auto" w:fill="auto"/>
          </w:tcPr>
          <w:p w:rsidR="00DB7DE9" w:rsidRPr="0031346B" w:rsidRDefault="00DB7DE9" w:rsidP="0031346B">
            <w:pPr>
              <w:rPr>
                <w:rFonts w:cs="Times New Roman"/>
                <w:bCs/>
                <w:sz w:val="20"/>
                <w:szCs w:val="20"/>
                <w:lang w:eastAsia="bg-BG"/>
              </w:rPr>
            </w:pPr>
            <w:r w:rsidRPr="0031346B">
              <w:rPr>
                <w:rFonts w:cs="Times New Roman"/>
                <w:bCs/>
                <w:sz w:val="20"/>
                <w:szCs w:val="20"/>
                <w:lang w:eastAsia="bg-BG"/>
              </w:rPr>
              <w:t xml:space="preserve">17% </w:t>
            </w:r>
          </w:p>
        </w:tc>
      </w:tr>
      <w:tr w:rsidR="00DB7DE9" w:rsidRPr="0031346B" w:rsidTr="0031346B">
        <w:tblPrEx>
          <w:tblCellMar>
            <w:top w:w="0" w:type="dxa"/>
            <w:bottom w:w="0" w:type="dxa"/>
          </w:tblCellMar>
        </w:tblPrEx>
        <w:trPr>
          <w:trHeight w:val="383"/>
        </w:trPr>
        <w:tc>
          <w:tcPr>
            <w:tcW w:w="2274" w:type="dxa"/>
            <w:tcBorders>
              <w:left w:val="nil"/>
            </w:tcBorders>
            <w:shd w:val="clear" w:color="auto" w:fill="DAEEF3" w:themeFill="accent5" w:themeFillTint="33"/>
          </w:tcPr>
          <w:p w:rsidR="00DB7DE9" w:rsidRPr="0031346B" w:rsidRDefault="00DB7DE9" w:rsidP="0031346B">
            <w:pPr>
              <w:rPr>
                <w:rFonts w:cs="Times New Roman"/>
                <w:b/>
                <w:bCs/>
                <w:sz w:val="20"/>
                <w:szCs w:val="20"/>
                <w:lang w:eastAsia="bg-BG"/>
              </w:rPr>
            </w:pPr>
            <w:r w:rsidRPr="0031346B">
              <w:rPr>
                <w:rFonts w:cs="Times New Roman"/>
                <w:b/>
                <w:bCs/>
                <w:sz w:val="20"/>
                <w:szCs w:val="20"/>
                <w:lang w:eastAsia="bg-BG"/>
              </w:rPr>
              <w:t xml:space="preserve">Физически науки </w:t>
            </w:r>
          </w:p>
        </w:tc>
        <w:tc>
          <w:tcPr>
            <w:tcW w:w="2274" w:type="dxa"/>
            <w:shd w:val="clear" w:color="auto" w:fill="DAEEF3" w:themeFill="accent5" w:themeFillTint="33"/>
          </w:tcPr>
          <w:p w:rsidR="00DB7DE9" w:rsidRPr="0031346B" w:rsidRDefault="00DB7DE9" w:rsidP="0031346B">
            <w:pPr>
              <w:rPr>
                <w:rFonts w:cs="Times New Roman"/>
                <w:bCs/>
                <w:sz w:val="20"/>
                <w:szCs w:val="20"/>
                <w:lang w:eastAsia="bg-BG"/>
              </w:rPr>
            </w:pPr>
            <w:r w:rsidRPr="0031346B">
              <w:rPr>
                <w:rFonts w:cs="Times New Roman"/>
                <w:bCs/>
                <w:sz w:val="20"/>
                <w:szCs w:val="20"/>
                <w:lang w:eastAsia="bg-BG"/>
              </w:rPr>
              <w:t xml:space="preserve">1 920 000 </w:t>
            </w:r>
          </w:p>
        </w:tc>
        <w:tc>
          <w:tcPr>
            <w:tcW w:w="2274" w:type="dxa"/>
            <w:shd w:val="clear" w:color="auto" w:fill="DAEEF3" w:themeFill="accent5" w:themeFillTint="33"/>
          </w:tcPr>
          <w:p w:rsidR="00DB7DE9" w:rsidRPr="0031346B" w:rsidRDefault="00DB7DE9" w:rsidP="0031346B">
            <w:pPr>
              <w:rPr>
                <w:rFonts w:cs="Times New Roman"/>
                <w:bCs/>
                <w:sz w:val="20"/>
                <w:szCs w:val="20"/>
                <w:lang w:eastAsia="bg-BG"/>
              </w:rPr>
            </w:pPr>
            <w:r w:rsidRPr="0031346B">
              <w:rPr>
                <w:rFonts w:cs="Times New Roman"/>
                <w:bCs/>
                <w:sz w:val="20"/>
                <w:szCs w:val="20"/>
                <w:lang w:eastAsia="bg-BG"/>
              </w:rPr>
              <w:t xml:space="preserve">960 000 </w:t>
            </w:r>
          </w:p>
        </w:tc>
        <w:tc>
          <w:tcPr>
            <w:tcW w:w="2274" w:type="dxa"/>
            <w:tcBorders>
              <w:right w:val="nil"/>
            </w:tcBorders>
            <w:shd w:val="clear" w:color="auto" w:fill="DAEEF3" w:themeFill="accent5" w:themeFillTint="33"/>
          </w:tcPr>
          <w:p w:rsidR="00DB7DE9" w:rsidRPr="0031346B" w:rsidRDefault="00DB7DE9" w:rsidP="0031346B">
            <w:pPr>
              <w:rPr>
                <w:rFonts w:cs="Times New Roman"/>
                <w:bCs/>
                <w:sz w:val="20"/>
                <w:szCs w:val="20"/>
                <w:lang w:eastAsia="bg-BG"/>
              </w:rPr>
            </w:pPr>
            <w:r w:rsidRPr="0031346B">
              <w:rPr>
                <w:rFonts w:cs="Times New Roman"/>
                <w:bCs/>
                <w:sz w:val="20"/>
                <w:szCs w:val="20"/>
                <w:lang w:eastAsia="bg-BG"/>
              </w:rPr>
              <w:t xml:space="preserve">12% </w:t>
            </w:r>
          </w:p>
        </w:tc>
      </w:tr>
      <w:tr w:rsidR="00DB7DE9" w:rsidRPr="0031346B" w:rsidTr="00430779">
        <w:tblPrEx>
          <w:tblCellMar>
            <w:top w:w="0" w:type="dxa"/>
            <w:bottom w:w="0" w:type="dxa"/>
          </w:tblCellMar>
        </w:tblPrEx>
        <w:trPr>
          <w:trHeight w:val="383"/>
        </w:trPr>
        <w:tc>
          <w:tcPr>
            <w:tcW w:w="2274" w:type="dxa"/>
            <w:tcBorders>
              <w:left w:val="nil"/>
            </w:tcBorders>
            <w:shd w:val="clear" w:color="auto" w:fill="auto"/>
          </w:tcPr>
          <w:p w:rsidR="00DB7DE9" w:rsidRPr="0031346B" w:rsidRDefault="00DB7DE9" w:rsidP="0031346B">
            <w:pPr>
              <w:rPr>
                <w:rFonts w:cs="Times New Roman"/>
                <w:b/>
                <w:bCs/>
                <w:sz w:val="20"/>
                <w:szCs w:val="20"/>
                <w:lang w:eastAsia="bg-BG"/>
              </w:rPr>
            </w:pPr>
            <w:r w:rsidRPr="0031346B">
              <w:rPr>
                <w:rFonts w:cs="Times New Roman"/>
                <w:b/>
                <w:bCs/>
                <w:sz w:val="20"/>
                <w:szCs w:val="20"/>
                <w:lang w:eastAsia="bg-BG"/>
              </w:rPr>
              <w:t xml:space="preserve">Химически науки </w:t>
            </w:r>
          </w:p>
        </w:tc>
        <w:tc>
          <w:tcPr>
            <w:tcW w:w="2274" w:type="dxa"/>
            <w:shd w:val="clear" w:color="auto" w:fill="auto"/>
          </w:tcPr>
          <w:p w:rsidR="00DB7DE9" w:rsidRPr="0031346B" w:rsidRDefault="00DB7DE9" w:rsidP="0031346B">
            <w:pPr>
              <w:rPr>
                <w:rFonts w:cs="Times New Roman"/>
                <w:bCs/>
                <w:sz w:val="20"/>
                <w:szCs w:val="20"/>
                <w:lang w:eastAsia="bg-BG"/>
              </w:rPr>
            </w:pPr>
            <w:r w:rsidRPr="0031346B">
              <w:rPr>
                <w:rFonts w:cs="Times New Roman"/>
                <w:bCs/>
                <w:sz w:val="20"/>
                <w:szCs w:val="20"/>
                <w:lang w:eastAsia="bg-BG"/>
              </w:rPr>
              <w:t xml:space="preserve">1 600 000 </w:t>
            </w:r>
          </w:p>
        </w:tc>
        <w:tc>
          <w:tcPr>
            <w:tcW w:w="2274" w:type="dxa"/>
            <w:shd w:val="clear" w:color="auto" w:fill="auto"/>
          </w:tcPr>
          <w:p w:rsidR="00DB7DE9" w:rsidRPr="0031346B" w:rsidRDefault="00DB7DE9" w:rsidP="0031346B">
            <w:pPr>
              <w:rPr>
                <w:rFonts w:cs="Times New Roman"/>
                <w:bCs/>
                <w:sz w:val="20"/>
                <w:szCs w:val="20"/>
                <w:lang w:eastAsia="bg-BG"/>
              </w:rPr>
            </w:pPr>
            <w:r w:rsidRPr="0031346B">
              <w:rPr>
                <w:rFonts w:cs="Times New Roman"/>
                <w:bCs/>
                <w:sz w:val="20"/>
                <w:szCs w:val="20"/>
                <w:lang w:eastAsia="bg-BG"/>
              </w:rPr>
              <w:t xml:space="preserve">800 000 </w:t>
            </w:r>
          </w:p>
        </w:tc>
        <w:tc>
          <w:tcPr>
            <w:tcW w:w="2274" w:type="dxa"/>
            <w:tcBorders>
              <w:right w:val="nil"/>
            </w:tcBorders>
            <w:shd w:val="clear" w:color="auto" w:fill="auto"/>
          </w:tcPr>
          <w:p w:rsidR="00DB7DE9" w:rsidRPr="0031346B" w:rsidRDefault="00DB7DE9" w:rsidP="0031346B">
            <w:pPr>
              <w:rPr>
                <w:rFonts w:cs="Times New Roman"/>
                <w:bCs/>
                <w:sz w:val="20"/>
                <w:szCs w:val="20"/>
                <w:lang w:eastAsia="bg-BG"/>
              </w:rPr>
            </w:pPr>
            <w:r w:rsidRPr="0031346B">
              <w:rPr>
                <w:rFonts w:cs="Times New Roman"/>
                <w:bCs/>
                <w:sz w:val="20"/>
                <w:szCs w:val="20"/>
                <w:lang w:eastAsia="bg-BG"/>
              </w:rPr>
              <w:t xml:space="preserve">10% </w:t>
            </w:r>
          </w:p>
        </w:tc>
      </w:tr>
      <w:tr w:rsidR="00DB7DE9" w:rsidRPr="0031346B" w:rsidTr="0031346B">
        <w:tblPrEx>
          <w:tblCellMar>
            <w:top w:w="0" w:type="dxa"/>
            <w:bottom w:w="0" w:type="dxa"/>
          </w:tblCellMar>
        </w:tblPrEx>
        <w:trPr>
          <w:trHeight w:val="383"/>
        </w:trPr>
        <w:tc>
          <w:tcPr>
            <w:tcW w:w="2274" w:type="dxa"/>
            <w:tcBorders>
              <w:left w:val="nil"/>
              <w:bottom w:val="nil"/>
            </w:tcBorders>
            <w:shd w:val="clear" w:color="auto" w:fill="DAEEF3" w:themeFill="accent5" w:themeFillTint="33"/>
          </w:tcPr>
          <w:p w:rsidR="00DB7DE9" w:rsidRPr="0031346B" w:rsidRDefault="00DB7DE9" w:rsidP="0031346B">
            <w:pPr>
              <w:rPr>
                <w:rFonts w:cs="Times New Roman"/>
                <w:b/>
                <w:bCs/>
                <w:sz w:val="20"/>
                <w:szCs w:val="20"/>
                <w:lang w:eastAsia="bg-BG"/>
              </w:rPr>
            </w:pPr>
            <w:r w:rsidRPr="0031346B">
              <w:rPr>
                <w:rFonts w:cs="Times New Roman"/>
                <w:b/>
                <w:bCs/>
                <w:sz w:val="20"/>
                <w:szCs w:val="20"/>
                <w:lang w:eastAsia="bg-BG"/>
              </w:rPr>
              <w:t xml:space="preserve">Хуманитарни науки </w:t>
            </w:r>
          </w:p>
        </w:tc>
        <w:tc>
          <w:tcPr>
            <w:tcW w:w="2274" w:type="dxa"/>
            <w:tcBorders>
              <w:bottom w:val="nil"/>
            </w:tcBorders>
            <w:shd w:val="clear" w:color="auto" w:fill="DAEEF3" w:themeFill="accent5" w:themeFillTint="33"/>
          </w:tcPr>
          <w:p w:rsidR="00DB7DE9" w:rsidRPr="0031346B" w:rsidRDefault="00DB7DE9" w:rsidP="0031346B">
            <w:pPr>
              <w:rPr>
                <w:rFonts w:cs="Times New Roman"/>
                <w:bCs/>
                <w:sz w:val="20"/>
                <w:szCs w:val="20"/>
                <w:lang w:eastAsia="bg-BG"/>
              </w:rPr>
            </w:pPr>
            <w:r w:rsidRPr="0031346B">
              <w:rPr>
                <w:rFonts w:cs="Times New Roman"/>
                <w:bCs/>
                <w:sz w:val="20"/>
                <w:szCs w:val="20"/>
                <w:lang w:eastAsia="bg-BG"/>
              </w:rPr>
              <w:t xml:space="preserve">1 440 000 </w:t>
            </w:r>
          </w:p>
        </w:tc>
        <w:tc>
          <w:tcPr>
            <w:tcW w:w="2274" w:type="dxa"/>
            <w:tcBorders>
              <w:bottom w:val="nil"/>
            </w:tcBorders>
            <w:shd w:val="clear" w:color="auto" w:fill="DAEEF3" w:themeFill="accent5" w:themeFillTint="33"/>
          </w:tcPr>
          <w:p w:rsidR="00DB7DE9" w:rsidRPr="0031346B" w:rsidRDefault="00DB7DE9" w:rsidP="0031346B">
            <w:pPr>
              <w:rPr>
                <w:rFonts w:cs="Times New Roman"/>
                <w:bCs/>
                <w:sz w:val="20"/>
                <w:szCs w:val="20"/>
                <w:lang w:eastAsia="bg-BG"/>
              </w:rPr>
            </w:pPr>
            <w:r w:rsidRPr="0031346B">
              <w:rPr>
                <w:rFonts w:cs="Times New Roman"/>
                <w:bCs/>
                <w:sz w:val="20"/>
                <w:szCs w:val="20"/>
                <w:lang w:eastAsia="bg-BG"/>
              </w:rPr>
              <w:t xml:space="preserve">720 000 </w:t>
            </w:r>
          </w:p>
        </w:tc>
        <w:tc>
          <w:tcPr>
            <w:tcW w:w="2274" w:type="dxa"/>
            <w:tcBorders>
              <w:bottom w:val="nil"/>
              <w:right w:val="nil"/>
            </w:tcBorders>
            <w:shd w:val="clear" w:color="auto" w:fill="DAEEF3" w:themeFill="accent5" w:themeFillTint="33"/>
          </w:tcPr>
          <w:p w:rsidR="00DB7DE9" w:rsidRPr="0031346B" w:rsidRDefault="00DB7DE9" w:rsidP="0031346B">
            <w:pPr>
              <w:rPr>
                <w:rFonts w:cs="Times New Roman"/>
                <w:bCs/>
                <w:sz w:val="20"/>
                <w:szCs w:val="20"/>
                <w:lang w:eastAsia="bg-BG"/>
              </w:rPr>
            </w:pPr>
            <w:r w:rsidRPr="0031346B">
              <w:rPr>
                <w:rFonts w:cs="Times New Roman"/>
                <w:bCs/>
                <w:sz w:val="20"/>
                <w:szCs w:val="20"/>
                <w:lang w:eastAsia="bg-BG"/>
              </w:rPr>
              <w:t xml:space="preserve">9% </w:t>
            </w:r>
          </w:p>
        </w:tc>
      </w:tr>
    </w:tbl>
    <w:p w:rsidR="0031346B" w:rsidRDefault="0031346B" w:rsidP="0031346B">
      <w:pPr>
        <w:rPr>
          <w:rFonts w:cs="Times New Roman"/>
          <w:sz w:val="24"/>
          <w:szCs w:val="24"/>
          <w:lang w:val="ru-RU" w:eastAsia="bg-BG"/>
        </w:rPr>
      </w:pPr>
    </w:p>
    <w:p w:rsidR="00DB7DE9" w:rsidRPr="0031346B" w:rsidRDefault="00DB7DE9" w:rsidP="0031346B">
      <w:pPr>
        <w:rPr>
          <w:rFonts w:cs="Times New Roman"/>
          <w:sz w:val="24"/>
          <w:szCs w:val="24"/>
          <w:lang w:val="ru-RU" w:eastAsia="bg-BG"/>
        </w:rPr>
      </w:pPr>
      <w:r w:rsidRPr="0031346B">
        <w:rPr>
          <w:rFonts w:cs="Times New Roman"/>
          <w:sz w:val="24"/>
          <w:szCs w:val="24"/>
          <w:lang w:val="ru-RU" w:eastAsia="bg-BG"/>
        </w:rPr>
        <w:t>Минимален и максимален размер на финансирането за конкретен проект:</w:t>
      </w:r>
    </w:p>
    <w:p w:rsidR="00DB7DE9" w:rsidRPr="0031346B" w:rsidRDefault="00DB7DE9" w:rsidP="0031346B">
      <w:pPr>
        <w:rPr>
          <w:rFonts w:cs="Times New Roman"/>
          <w:sz w:val="24"/>
          <w:szCs w:val="24"/>
          <w:lang w:val="ru-RU" w:eastAsia="bg-BG"/>
        </w:rPr>
      </w:pPr>
      <w:r w:rsidRPr="0031346B">
        <w:rPr>
          <w:rFonts w:cs="Times New Roman"/>
          <w:sz w:val="24"/>
          <w:szCs w:val="24"/>
          <w:lang w:val="ru-RU" w:eastAsia="bg-BG"/>
        </w:rPr>
        <w:t>Общият размер на финансирането за всеки индивидуален проект по настоящата процедура следва да бъде в следните граници:</w:t>
      </w:r>
    </w:p>
    <w:p w:rsidR="00DB7DE9" w:rsidRPr="0031346B" w:rsidRDefault="00DB7DE9" w:rsidP="0031346B">
      <w:pPr>
        <w:spacing w:before="120" w:after="120"/>
        <w:rPr>
          <w:rFonts w:cs="Times New Roman"/>
          <w:sz w:val="24"/>
          <w:szCs w:val="24"/>
          <w:lang w:val="ru-RU" w:eastAsia="bg-BG"/>
        </w:rPr>
      </w:pPr>
      <w:r w:rsidRPr="0031346B">
        <w:rPr>
          <w:rFonts w:cs="Times New Roman"/>
          <w:sz w:val="24"/>
          <w:szCs w:val="24"/>
          <w:lang w:val="ru-RU" w:eastAsia="bg-BG"/>
        </w:rPr>
        <w:t>1) Минималната сума за всеки отделен проект е 60 000 лв..</w:t>
      </w:r>
    </w:p>
    <w:p w:rsidR="00DB7DE9" w:rsidRPr="0031346B" w:rsidRDefault="00DB7DE9" w:rsidP="0031346B">
      <w:pPr>
        <w:spacing w:before="120" w:after="120"/>
        <w:rPr>
          <w:rFonts w:cs="Times New Roman"/>
          <w:sz w:val="24"/>
          <w:szCs w:val="24"/>
          <w:lang w:val="ru-RU" w:eastAsia="bg-BG"/>
        </w:rPr>
      </w:pPr>
      <w:r w:rsidRPr="0031346B">
        <w:rPr>
          <w:rFonts w:cs="Times New Roman"/>
          <w:sz w:val="24"/>
          <w:szCs w:val="24"/>
          <w:lang w:val="ru-RU" w:eastAsia="bg-BG"/>
        </w:rPr>
        <w:t>2) Максималната сума за всеки отделен проект е 120 000 лв.</w:t>
      </w:r>
    </w:p>
    <w:p w:rsidR="00DB7DE9" w:rsidRPr="0031346B" w:rsidRDefault="00DB7DE9" w:rsidP="0031346B">
      <w:pPr>
        <w:spacing w:before="120" w:after="120"/>
        <w:rPr>
          <w:rFonts w:cs="Times New Roman"/>
          <w:sz w:val="24"/>
          <w:szCs w:val="24"/>
          <w:lang w:val="ru-RU" w:eastAsia="bg-BG"/>
        </w:rPr>
      </w:pPr>
      <w:r w:rsidRPr="0031346B">
        <w:rPr>
          <w:rFonts w:cs="Times New Roman"/>
          <w:sz w:val="24"/>
          <w:szCs w:val="24"/>
          <w:lang w:val="ru-RU" w:eastAsia="bg-BG"/>
        </w:rPr>
        <w:t>3) Не се допуска изкуствено разделяне на проекти, за да бъдат заобиколени горните прагове.</w:t>
      </w:r>
    </w:p>
    <w:p w:rsidR="00DB7DE9" w:rsidRPr="0031346B" w:rsidRDefault="00DB7DE9" w:rsidP="0031346B">
      <w:pPr>
        <w:spacing w:before="120" w:after="120"/>
        <w:rPr>
          <w:rFonts w:cs="Times New Roman"/>
          <w:sz w:val="24"/>
          <w:szCs w:val="24"/>
          <w:lang w:val="ru-RU" w:eastAsia="bg-BG"/>
        </w:rPr>
      </w:pPr>
      <w:r w:rsidRPr="0031346B">
        <w:rPr>
          <w:rFonts w:cs="Times New Roman"/>
          <w:sz w:val="24"/>
          <w:szCs w:val="24"/>
          <w:lang w:val="ru-RU" w:eastAsia="bg-BG"/>
        </w:rPr>
        <w:t>Публичното финансиране не трябва да надвишава 100% от общия размер на допустимите разходи на проекта.</w:t>
      </w:r>
    </w:p>
    <w:p w:rsidR="00DB7DE9" w:rsidRPr="0031346B" w:rsidRDefault="00DB7DE9" w:rsidP="0031346B">
      <w:pPr>
        <w:spacing w:before="120" w:after="120"/>
        <w:rPr>
          <w:rFonts w:cs="Times New Roman"/>
          <w:sz w:val="24"/>
          <w:szCs w:val="24"/>
          <w:lang w:val="ru-RU" w:eastAsia="bg-BG"/>
        </w:rPr>
      </w:pPr>
      <w:r w:rsidRPr="0031346B">
        <w:rPr>
          <w:rFonts w:cs="Times New Roman"/>
          <w:sz w:val="24"/>
          <w:szCs w:val="24"/>
          <w:lang w:val="ru-RU" w:eastAsia="bg-BG"/>
        </w:rPr>
        <w:t>3. Срок за изпълнение на проекта:</w:t>
      </w:r>
    </w:p>
    <w:p w:rsidR="00DB7DE9" w:rsidRPr="0031346B" w:rsidRDefault="00DB7DE9" w:rsidP="0031346B">
      <w:pPr>
        <w:spacing w:before="120" w:after="120"/>
        <w:rPr>
          <w:rFonts w:cs="Times New Roman"/>
          <w:sz w:val="24"/>
          <w:szCs w:val="24"/>
          <w:lang w:val="ru-RU" w:eastAsia="bg-BG"/>
        </w:rPr>
      </w:pPr>
      <w:r w:rsidRPr="0031346B">
        <w:rPr>
          <w:rFonts w:cs="Times New Roman"/>
          <w:sz w:val="24"/>
          <w:szCs w:val="24"/>
          <w:lang w:val="ru-RU" w:eastAsia="bg-BG"/>
        </w:rPr>
        <w:t>Срок за изпълнение на одобрените проекти: 36 месеца.</w:t>
      </w:r>
    </w:p>
    <w:p w:rsidR="00A610E0" w:rsidRPr="0031346B" w:rsidRDefault="00DB7DE9" w:rsidP="0031346B">
      <w:pPr>
        <w:spacing w:before="120" w:after="120"/>
        <w:rPr>
          <w:rFonts w:cs="Times New Roman"/>
          <w:sz w:val="24"/>
          <w:szCs w:val="24"/>
          <w:lang w:val="ru-RU" w:eastAsia="bg-BG"/>
        </w:rPr>
      </w:pPr>
      <w:r w:rsidRPr="0031346B">
        <w:rPr>
          <w:rFonts w:cs="Times New Roman"/>
          <w:sz w:val="24"/>
          <w:szCs w:val="24"/>
          <w:lang w:val="ru-RU" w:eastAsia="bg-BG"/>
        </w:rPr>
        <w:t>За начална дата на проекта се счита датата на подписване на договора за финансиране</w:t>
      </w:r>
    </w:p>
    <w:p w:rsidR="00DB7DE9" w:rsidRPr="0031346B" w:rsidRDefault="00DB7DE9" w:rsidP="0031346B">
      <w:pPr>
        <w:spacing w:before="120" w:after="120"/>
        <w:rPr>
          <w:rFonts w:cs="Times New Roman"/>
          <w:sz w:val="24"/>
          <w:szCs w:val="24"/>
          <w:lang w:eastAsia="bg-BG"/>
        </w:rPr>
      </w:pPr>
      <w:r w:rsidRPr="0031346B">
        <w:rPr>
          <w:rFonts w:cs="Times New Roman"/>
          <w:b/>
          <w:bCs/>
          <w:sz w:val="24"/>
          <w:szCs w:val="24"/>
          <w:lang w:eastAsia="bg-BG"/>
        </w:rPr>
        <w:t xml:space="preserve">4. Срок за подаване на проектните предложения </w:t>
      </w:r>
    </w:p>
    <w:p w:rsidR="00DB7DE9" w:rsidRPr="0031346B" w:rsidRDefault="00DB7DE9" w:rsidP="0031346B">
      <w:pPr>
        <w:rPr>
          <w:rFonts w:cs="Times New Roman"/>
          <w:sz w:val="24"/>
          <w:szCs w:val="24"/>
          <w:lang w:eastAsia="bg-BG"/>
        </w:rPr>
      </w:pPr>
      <w:r w:rsidRPr="0031346B">
        <w:rPr>
          <w:rFonts w:cs="Times New Roman"/>
          <w:sz w:val="24"/>
          <w:szCs w:val="24"/>
          <w:lang w:eastAsia="bg-BG"/>
        </w:rPr>
        <w:t xml:space="preserve">Проектните предложения се представят до 17 часа на 19.07.2017 г. в деловодството на Фонд "Научни изследвания", гр. София, бул. „Александър Стамболийски“ № 239Б, ет.3, на хартиен и електронен носител, както следва: </w:t>
      </w:r>
    </w:p>
    <w:p w:rsidR="00DB7DE9" w:rsidRPr="0031346B" w:rsidRDefault="00DB7DE9" w:rsidP="0031346B">
      <w:pPr>
        <w:rPr>
          <w:rFonts w:cs="Times New Roman"/>
          <w:sz w:val="24"/>
          <w:szCs w:val="24"/>
          <w:lang w:eastAsia="bg-BG"/>
        </w:rPr>
      </w:pPr>
      <w:r w:rsidRPr="0031346B">
        <w:rPr>
          <w:rFonts w:cs="Times New Roman"/>
          <w:sz w:val="24"/>
          <w:szCs w:val="24"/>
          <w:lang w:eastAsia="bg-BG"/>
        </w:rPr>
        <w:lastRenderedPageBreak/>
        <w:t xml:space="preserve">¬ на хартиен носител в един екземпляр на български и на английски език с оригинални подписи и печати; </w:t>
      </w:r>
    </w:p>
    <w:p w:rsidR="00DB7DE9" w:rsidRPr="0031346B" w:rsidRDefault="00DB7DE9" w:rsidP="0031346B">
      <w:pPr>
        <w:rPr>
          <w:rFonts w:cs="Times New Roman"/>
          <w:sz w:val="24"/>
          <w:szCs w:val="24"/>
          <w:lang w:eastAsia="bg-BG"/>
        </w:rPr>
      </w:pPr>
      <w:r w:rsidRPr="0031346B">
        <w:rPr>
          <w:rFonts w:cs="Times New Roman"/>
          <w:sz w:val="24"/>
          <w:szCs w:val="24"/>
          <w:lang w:eastAsia="bg-BG"/>
        </w:rPr>
        <w:t xml:space="preserve">¬ в електронен формат на български и на английски език като документите, съдържащи подписи, са сканирани; </w:t>
      </w:r>
    </w:p>
    <w:p w:rsidR="00DB7DE9" w:rsidRPr="0031346B" w:rsidRDefault="00DB7DE9" w:rsidP="0031346B">
      <w:pPr>
        <w:rPr>
          <w:rFonts w:cs="Times New Roman"/>
          <w:sz w:val="24"/>
          <w:szCs w:val="24"/>
          <w:lang w:eastAsia="bg-BG"/>
        </w:rPr>
      </w:pPr>
      <w:r w:rsidRPr="0031346B">
        <w:rPr>
          <w:rFonts w:cs="Times New Roman"/>
          <w:sz w:val="24"/>
          <w:szCs w:val="24"/>
          <w:lang w:eastAsia="bg-BG"/>
        </w:rPr>
        <w:t xml:space="preserve">¬ в електронен формат на български и на английски език, като документите да дават възможност за автоматично търсене (в pdf формат генериран автоматично от документа). </w:t>
      </w:r>
    </w:p>
    <w:p w:rsidR="00DB7DE9" w:rsidRPr="0031346B" w:rsidRDefault="00DB7DE9" w:rsidP="0031346B">
      <w:pPr>
        <w:rPr>
          <w:rFonts w:cs="Times New Roman"/>
          <w:sz w:val="24"/>
          <w:szCs w:val="24"/>
          <w:lang w:eastAsia="bg-BG"/>
        </w:rPr>
      </w:pPr>
      <w:r w:rsidRPr="0031346B">
        <w:rPr>
          <w:rFonts w:cs="Times New Roman"/>
          <w:b/>
          <w:bCs/>
          <w:sz w:val="24"/>
          <w:szCs w:val="24"/>
          <w:lang w:eastAsia="bg-BG"/>
        </w:rPr>
        <w:t xml:space="preserve">5. Изисквания към кандидатите и проектите. </w:t>
      </w:r>
    </w:p>
    <w:p w:rsidR="00DB7DE9" w:rsidRPr="0031346B" w:rsidRDefault="00DB7DE9" w:rsidP="0031346B">
      <w:pPr>
        <w:rPr>
          <w:rFonts w:cs="Times New Roman"/>
          <w:sz w:val="24"/>
          <w:szCs w:val="24"/>
          <w:lang w:eastAsia="bg-BG"/>
        </w:rPr>
      </w:pPr>
      <w:r w:rsidRPr="0031346B">
        <w:rPr>
          <w:rFonts w:cs="Times New Roman"/>
          <w:b/>
          <w:bCs/>
          <w:sz w:val="24"/>
          <w:szCs w:val="24"/>
          <w:lang w:eastAsia="bg-BG"/>
        </w:rPr>
        <w:t xml:space="preserve">Допустими кандидати: </w:t>
      </w:r>
    </w:p>
    <w:p w:rsidR="00DB7DE9" w:rsidRPr="0031346B" w:rsidRDefault="00DB7DE9" w:rsidP="0031346B">
      <w:pPr>
        <w:rPr>
          <w:rFonts w:cs="Times New Roman"/>
          <w:sz w:val="24"/>
          <w:szCs w:val="24"/>
          <w:lang w:eastAsia="bg-BG"/>
        </w:rPr>
      </w:pPr>
      <w:r w:rsidRPr="0031346B">
        <w:rPr>
          <w:rFonts w:cs="Times New Roman"/>
          <w:sz w:val="24"/>
          <w:szCs w:val="24"/>
          <w:lang w:eastAsia="bg-BG"/>
        </w:rPr>
        <w:t xml:space="preserve">Допустими по настоящата процедура за подбор на проекти са само кандидати, които са: </w:t>
      </w:r>
    </w:p>
    <w:p w:rsidR="00DB7DE9" w:rsidRPr="0031346B" w:rsidRDefault="00DB7DE9" w:rsidP="0031346B">
      <w:pPr>
        <w:rPr>
          <w:rFonts w:cs="Times New Roman"/>
          <w:sz w:val="24"/>
          <w:szCs w:val="24"/>
          <w:lang w:eastAsia="bg-BG"/>
        </w:rPr>
      </w:pPr>
      <w:r w:rsidRPr="0031346B">
        <w:rPr>
          <w:rFonts w:cs="Times New Roman"/>
          <w:sz w:val="24"/>
          <w:szCs w:val="24"/>
          <w:lang w:eastAsia="bg-BG"/>
        </w:rPr>
        <w:t xml:space="preserve">1) акредитирани висши училища по чл. 85, ал. 1, т.7 на ЗВО. </w:t>
      </w:r>
    </w:p>
    <w:p w:rsidR="00DB7DE9" w:rsidRPr="0031346B" w:rsidRDefault="00DB7DE9" w:rsidP="0031346B">
      <w:pPr>
        <w:rPr>
          <w:rFonts w:cs="Times New Roman"/>
          <w:sz w:val="24"/>
          <w:szCs w:val="24"/>
          <w:lang w:eastAsia="bg-BG"/>
        </w:rPr>
      </w:pPr>
      <w:r w:rsidRPr="0031346B">
        <w:rPr>
          <w:rFonts w:cs="Times New Roman"/>
          <w:sz w:val="24"/>
          <w:szCs w:val="24"/>
          <w:lang w:eastAsia="bg-BG"/>
        </w:rPr>
        <w:t xml:space="preserve">2) научни организации по чл. 47, ал. 1 на ЗВО. </w:t>
      </w:r>
    </w:p>
    <w:p w:rsidR="00DB7DE9" w:rsidRPr="0031346B" w:rsidRDefault="00DB7DE9" w:rsidP="0031346B">
      <w:pPr>
        <w:rPr>
          <w:rFonts w:cs="Times New Roman"/>
          <w:sz w:val="24"/>
          <w:szCs w:val="24"/>
          <w:lang w:eastAsia="bg-BG"/>
        </w:rPr>
      </w:pPr>
      <w:r w:rsidRPr="0031346B">
        <w:rPr>
          <w:rFonts w:cs="Times New Roman"/>
          <w:sz w:val="24"/>
          <w:szCs w:val="24"/>
          <w:lang w:eastAsia="bg-BG"/>
        </w:rPr>
        <w:t xml:space="preserve">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 </w:t>
      </w:r>
    </w:p>
    <w:p w:rsidR="0031346B" w:rsidRDefault="00DB7DE9" w:rsidP="0031346B">
      <w:pPr>
        <w:spacing w:before="120" w:after="120"/>
        <w:rPr>
          <w:rFonts w:cs="Times New Roman"/>
          <w:sz w:val="24"/>
          <w:szCs w:val="24"/>
          <w:lang w:eastAsia="bg-BG"/>
        </w:rPr>
      </w:pPr>
      <w:r w:rsidRPr="0031346B">
        <w:rPr>
          <w:rFonts w:cs="Times New Roman"/>
          <w:sz w:val="24"/>
          <w:szCs w:val="24"/>
          <w:lang w:eastAsia="bg-BG"/>
        </w:rPr>
        <w:t>Кандидатите по про</w:t>
      </w:r>
      <w:r w:rsidR="0031346B">
        <w:rPr>
          <w:rFonts w:cs="Times New Roman"/>
          <w:sz w:val="24"/>
          <w:szCs w:val="24"/>
          <w:lang w:eastAsia="bg-BG"/>
        </w:rPr>
        <w:t xml:space="preserve">цедурата трябва да са субекти: </w:t>
      </w:r>
    </w:p>
    <w:p w:rsidR="00DB7DE9" w:rsidRPr="0031346B" w:rsidRDefault="00DB7DE9" w:rsidP="000D4193">
      <w:pPr>
        <w:pStyle w:val="ListParagraph"/>
        <w:numPr>
          <w:ilvl w:val="0"/>
          <w:numId w:val="21"/>
        </w:numPr>
        <w:spacing w:before="120" w:after="120"/>
        <w:rPr>
          <w:rFonts w:cs="Times New Roman"/>
          <w:sz w:val="24"/>
          <w:szCs w:val="24"/>
          <w:lang w:eastAsia="bg-BG"/>
        </w:rPr>
      </w:pPr>
      <w:r w:rsidRPr="0031346B">
        <w:rPr>
          <w:rFonts w:cs="Times New Roman"/>
          <w:sz w:val="24"/>
          <w:szCs w:val="24"/>
          <w:lang w:eastAsia="bg-BG"/>
        </w:rPr>
        <w:t xml:space="preserve">осъществяващи научни изследвания; </w:t>
      </w:r>
    </w:p>
    <w:p w:rsidR="00DB7DE9" w:rsidRPr="0031346B" w:rsidRDefault="00DB7DE9" w:rsidP="0031346B">
      <w:pPr>
        <w:spacing w:before="120" w:after="120"/>
        <w:rPr>
          <w:rFonts w:cs="Times New Roman"/>
          <w:sz w:val="24"/>
          <w:szCs w:val="24"/>
          <w:lang w:eastAsia="bg-BG"/>
        </w:rPr>
      </w:pPr>
      <w:r w:rsidRPr="0031346B">
        <w:rPr>
          <w:rFonts w:cs="Times New Roman"/>
          <w:sz w:val="24"/>
          <w:szCs w:val="24"/>
          <w:lang w:eastAsia="bg-BG"/>
        </w:rPr>
        <w:t xml:space="preserve">и </w:t>
      </w:r>
    </w:p>
    <w:p w:rsidR="00DB7DE9" w:rsidRPr="0031346B" w:rsidRDefault="00DB7DE9" w:rsidP="000D4193">
      <w:pPr>
        <w:pStyle w:val="ListParagraph"/>
        <w:numPr>
          <w:ilvl w:val="0"/>
          <w:numId w:val="21"/>
        </w:numPr>
        <w:spacing w:before="120" w:after="120"/>
        <w:rPr>
          <w:rFonts w:cs="Times New Roman"/>
          <w:sz w:val="24"/>
          <w:szCs w:val="24"/>
          <w:lang w:eastAsia="bg-BG"/>
        </w:rPr>
      </w:pPr>
      <w:r w:rsidRPr="0031346B">
        <w:rPr>
          <w:rFonts w:cs="Times New Roman"/>
          <w:sz w:val="24"/>
          <w:szCs w:val="24"/>
          <w:lang w:eastAsia="bg-BG"/>
        </w:rPr>
        <w:t xml:space="preserve">чиито дейности са изцяло с нестопански характер </w:t>
      </w:r>
    </w:p>
    <w:p w:rsidR="00DB7DE9" w:rsidRPr="0031346B" w:rsidRDefault="00DB7DE9" w:rsidP="0031346B">
      <w:pPr>
        <w:spacing w:before="120" w:after="120"/>
        <w:rPr>
          <w:rFonts w:cs="Times New Roman"/>
          <w:sz w:val="24"/>
          <w:szCs w:val="24"/>
          <w:lang w:eastAsia="bg-BG"/>
        </w:rPr>
      </w:pPr>
      <w:r w:rsidRPr="0031346B">
        <w:rPr>
          <w:rFonts w:cs="Times New Roman"/>
          <w:sz w:val="24"/>
          <w:szCs w:val="24"/>
          <w:lang w:eastAsia="bg-BG"/>
        </w:rPr>
        <w:t xml:space="preserve">или </w:t>
      </w:r>
    </w:p>
    <w:p w:rsidR="00DB7DE9" w:rsidRPr="0031346B" w:rsidRDefault="00DB7DE9" w:rsidP="0031346B">
      <w:pPr>
        <w:spacing w:before="120" w:after="120"/>
        <w:rPr>
          <w:rFonts w:cs="Times New Roman"/>
          <w:sz w:val="24"/>
          <w:szCs w:val="24"/>
          <w:lang w:eastAsia="bg-BG"/>
        </w:rPr>
      </w:pPr>
      <w:r w:rsidRPr="0031346B">
        <w:rPr>
          <w:rFonts w:cs="Times New Roman"/>
          <w:sz w:val="24"/>
          <w:szCs w:val="24"/>
          <w:lang w:eastAsia="bg-BG"/>
        </w:rPr>
        <w:t xml:space="preserve">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 </w:t>
      </w:r>
    </w:p>
    <w:p w:rsidR="00DB7DE9" w:rsidRPr="0031346B" w:rsidRDefault="00DB7DE9" w:rsidP="0031346B">
      <w:pPr>
        <w:rPr>
          <w:rFonts w:cs="Times New Roman"/>
          <w:sz w:val="24"/>
          <w:szCs w:val="24"/>
          <w:lang w:eastAsia="bg-BG"/>
        </w:rPr>
      </w:pPr>
      <w:r w:rsidRPr="0031346B">
        <w:rPr>
          <w:rFonts w:cs="Times New Roman"/>
          <w:sz w:val="24"/>
          <w:szCs w:val="24"/>
          <w:lang w:eastAsia="bg-BG"/>
        </w:rPr>
        <w:t xml:space="preserve">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 </w:t>
      </w:r>
    </w:p>
    <w:p w:rsidR="00DB7DE9" w:rsidRPr="0031346B" w:rsidRDefault="00DB7DE9" w:rsidP="000D4193">
      <w:pPr>
        <w:pStyle w:val="ListParagraph"/>
        <w:numPr>
          <w:ilvl w:val="0"/>
          <w:numId w:val="21"/>
        </w:numPr>
        <w:rPr>
          <w:rFonts w:cs="Times New Roman"/>
          <w:sz w:val="24"/>
          <w:szCs w:val="24"/>
          <w:lang w:eastAsia="bg-BG"/>
        </w:rPr>
      </w:pPr>
      <w:r w:rsidRPr="0031346B">
        <w:rPr>
          <w:rFonts w:cs="Times New Roman"/>
          <w:sz w:val="24"/>
          <w:szCs w:val="24"/>
          <w:lang w:eastAsia="bg-BG"/>
        </w:rPr>
        <w:t xml:space="preserve">научни изследвания по договор с предприятия/отрасъл; </w:t>
      </w:r>
    </w:p>
    <w:p w:rsidR="00DB7DE9" w:rsidRPr="0031346B" w:rsidRDefault="00DB7DE9" w:rsidP="000D4193">
      <w:pPr>
        <w:pStyle w:val="ListParagraph"/>
        <w:numPr>
          <w:ilvl w:val="0"/>
          <w:numId w:val="21"/>
        </w:numPr>
        <w:rPr>
          <w:rFonts w:cs="Times New Roman"/>
          <w:sz w:val="24"/>
          <w:szCs w:val="24"/>
          <w:lang w:eastAsia="bg-BG"/>
        </w:rPr>
      </w:pPr>
      <w:r w:rsidRPr="0031346B">
        <w:rPr>
          <w:rFonts w:cs="Times New Roman"/>
          <w:sz w:val="24"/>
          <w:szCs w:val="24"/>
          <w:lang w:eastAsia="bg-BG"/>
        </w:rPr>
        <w:t xml:space="preserve">консултантски или други услуги, предоставяни на предприятия/отрасъл; </w:t>
      </w:r>
    </w:p>
    <w:p w:rsidR="00DB7DE9" w:rsidRDefault="00DB7DE9" w:rsidP="000D4193">
      <w:pPr>
        <w:pStyle w:val="ListParagraph"/>
        <w:numPr>
          <w:ilvl w:val="0"/>
          <w:numId w:val="21"/>
        </w:numPr>
        <w:rPr>
          <w:rFonts w:cs="Times New Roman"/>
          <w:sz w:val="24"/>
          <w:szCs w:val="24"/>
          <w:lang w:eastAsia="bg-BG"/>
        </w:rPr>
      </w:pPr>
      <w:r w:rsidRPr="0031346B">
        <w:rPr>
          <w:rFonts w:cs="Times New Roman"/>
          <w:sz w:val="24"/>
          <w:szCs w:val="24"/>
          <w:lang w:eastAsia="bg-BG"/>
        </w:rPr>
        <w:t xml:space="preserve">отдаване под наем на активите (инфраструктурата/оборудването). </w:t>
      </w:r>
    </w:p>
    <w:p w:rsidR="00430779" w:rsidRDefault="00430779" w:rsidP="00430779">
      <w:pPr>
        <w:rPr>
          <w:rFonts w:cs="Times New Roman"/>
          <w:sz w:val="24"/>
          <w:szCs w:val="24"/>
          <w:lang w:eastAsia="bg-BG"/>
        </w:rPr>
      </w:pPr>
    </w:p>
    <w:p w:rsidR="00430779" w:rsidRPr="00430779" w:rsidRDefault="00430779" w:rsidP="00430779">
      <w:pPr>
        <w:rPr>
          <w:rFonts w:cs="Times New Roman"/>
          <w:sz w:val="24"/>
          <w:szCs w:val="24"/>
          <w:lang w:eastAsia="bg-BG"/>
        </w:rPr>
      </w:pPr>
    </w:p>
    <w:p w:rsidR="00DB7DE9" w:rsidRPr="0031346B" w:rsidRDefault="00DB7DE9" w:rsidP="0031346B">
      <w:pPr>
        <w:spacing w:before="120" w:after="120"/>
        <w:rPr>
          <w:rFonts w:cs="Times New Roman"/>
          <w:sz w:val="24"/>
          <w:szCs w:val="24"/>
          <w:lang w:eastAsia="bg-BG"/>
        </w:rPr>
      </w:pPr>
      <w:r w:rsidRPr="0031346B">
        <w:rPr>
          <w:rFonts w:cs="Times New Roman"/>
          <w:b/>
          <w:bCs/>
          <w:sz w:val="24"/>
          <w:szCs w:val="24"/>
          <w:lang w:eastAsia="bg-BG"/>
        </w:rPr>
        <w:lastRenderedPageBreak/>
        <w:t xml:space="preserve">Партньорство и допустимост на партньорите </w:t>
      </w:r>
    </w:p>
    <w:p w:rsidR="00DB7DE9" w:rsidRPr="0031346B" w:rsidRDefault="00DB7DE9" w:rsidP="0031346B">
      <w:pPr>
        <w:spacing w:before="120" w:after="120"/>
        <w:rPr>
          <w:rFonts w:cs="Times New Roman"/>
          <w:sz w:val="24"/>
          <w:szCs w:val="24"/>
          <w:lang w:eastAsia="bg-BG"/>
        </w:rPr>
      </w:pPr>
      <w:r w:rsidRPr="0031346B">
        <w:rPr>
          <w:rFonts w:cs="Times New Roman"/>
          <w:sz w:val="24"/>
          <w:szCs w:val="24"/>
          <w:lang w:eastAsia="bg-BG"/>
        </w:rPr>
        <w:t xml:space="preserve">По настоящата процедура за конкурс кандидатите могат да участват съвместно с други допустими кандидати (партньори) чрез формиране на Обединение на кандидати. </w:t>
      </w:r>
    </w:p>
    <w:p w:rsidR="00DB7DE9" w:rsidRPr="0031346B" w:rsidRDefault="00DB7DE9" w:rsidP="0031346B">
      <w:pPr>
        <w:spacing w:before="120" w:after="120"/>
        <w:rPr>
          <w:rFonts w:cs="Times New Roman"/>
          <w:sz w:val="24"/>
          <w:szCs w:val="24"/>
          <w:lang w:eastAsia="bg-BG"/>
        </w:rPr>
      </w:pPr>
      <w:r w:rsidRPr="0031346B">
        <w:rPr>
          <w:rFonts w:cs="Times New Roman"/>
          <w:sz w:val="24"/>
          <w:szCs w:val="24"/>
          <w:lang w:eastAsia="bg-BG"/>
        </w:rPr>
        <w:t xml:space="preserve">Условията за допустимост на кандидатите по настоящата процедура са приложими и към всеки участник в Обединението. </w:t>
      </w:r>
    </w:p>
    <w:p w:rsidR="00DB7DE9" w:rsidRPr="0031346B" w:rsidRDefault="00DB7DE9" w:rsidP="0031346B">
      <w:pPr>
        <w:spacing w:before="120" w:after="120"/>
        <w:rPr>
          <w:rFonts w:cs="Times New Roman"/>
          <w:sz w:val="24"/>
          <w:szCs w:val="24"/>
          <w:lang w:val="ru-RU" w:eastAsia="bg-BG"/>
        </w:rPr>
      </w:pPr>
      <w:r w:rsidRPr="0031346B">
        <w:rPr>
          <w:rFonts w:cs="Times New Roman"/>
          <w:sz w:val="24"/>
          <w:szCs w:val="24"/>
          <w:lang w:eastAsia="bg-BG"/>
        </w:rPr>
        <w:t>В процеса на изпълнение на дейностите по проекта бенефициентите могат да възложат на изпълнители извършването на определени допълващи дейности по проекта. В случаите, когато бенефициентите се явяват възложители по смисъла на чл. 5 или чл. 6 от Закона за обществените поръчки1 (ЗОП), изборът на изпълнители се осъществява по реда на ЗОП. Изпълнителите в процедури по възлагане дейности по изпълнението на проекта не са партньори</w:t>
      </w:r>
    </w:p>
    <w:p w:rsidR="00DB7DE9" w:rsidRPr="0031346B" w:rsidRDefault="00DB7DE9" w:rsidP="0031346B">
      <w:pPr>
        <w:spacing w:before="120" w:after="120"/>
        <w:rPr>
          <w:rFonts w:cs="Times New Roman"/>
          <w:sz w:val="24"/>
          <w:szCs w:val="24"/>
          <w:lang w:eastAsia="bg-BG"/>
        </w:rPr>
      </w:pPr>
      <w:r w:rsidRPr="0031346B">
        <w:rPr>
          <w:rFonts w:cs="Times New Roman"/>
          <w:b/>
          <w:bCs/>
          <w:sz w:val="24"/>
          <w:szCs w:val="24"/>
          <w:lang w:eastAsia="bg-BG"/>
        </w:rPr>
        <w:t xml:space="preserve">Критерии за допустимост на проектните предложения </w:t>
      </w:r>
    </w:p>
    <w:p w:rsidR="00DB7DE9" w:rsidRPr="0031346B" w:rsidRDefault="00DB7DE9" w:rsidP="0031346B">
      <w:pPr>
        <w:spacing w:before="120" w:after="120"/>
        <w:rPr>
          <w:rFonts w:cs="Times New Roman"/>
          <w:sz w:val="24"/>
          <w:szCs w:val="24"/>
          <w:lang w:eastAsia="bg-BG"/>
        </w:rPr>
      </w:pPr>
      <w:r w:rsidRPr="0031346B">
        <w:rPr>
          <w:rFonts w:cs="Times New Roman"/>
          <w:sz w:val="24"/>
          <w:szCs w:val="24"/>
          <w:lang w:eastAsia="bg-BG"/>
        </w:rPr>
        <w:t xml:space="preserve">По настоящата процедура са допустими за финансиране само кандидати, чиито проектни предложения допринасят за развитието на поне една от областите, посочени в т. 1.1 от насоките. </w:t>
      </w:r>
    </w:p>
    <w:p w:rsidR="00DB7DE9" w:rsidRPr="0031346B" w:rsidRDefault="00DB7DE9" w:rsidP="0031346B">
      <w:pPr>
        <w:spacing w:before="120" w:after="120"/>
        <w:rPr>
          <w:rFonts w:cs="Times New Roman"/>
          <w:sz w:val="24"/>
          <w:szCs w:val="24"/>
          <w:lang w:eastAsia="bg-BG"/>
        </w:rPr>
      </w:pPr>
      <w:r w:rsidRPr="0031346B">
        <w:rPr>
          <w:rFonts w:cs="Times New Roman"/>
          <w:sz w:val="24"/>
          <w:szCs w:val="24"/>
          <w:lang w:eastAsia="bg-BG"/>
        </w:rPr>
        <w:t xml:space="preserve">По настоящата процедура могат да се предлагат само проекти за научни изследвания. </w:t>
      </w:r>
    </w:p>
    <w:p w:rsidR="00DB7DE9" w:rsidRPr="0031346B" w:rsidRDefault="00DB7DE9" w:rsidP="0031346B">
      <w:pPr>
        <w:spacing w:before="120" w:after="120"/>
        <w:rPr>
          <w:rFonts w:cs="Times New Roman"/>
          <w:sz w:val="24"/>
          <w:szCs w:val="24"/>
          <w:lang w:eastAsia="bg-BG"/>
        </w:rPr>
      </w:pPr>
      <w:r w:rsidRPr="0031346B">
        <w:rPr>
          <w:rFonts w:cs="Times New Roman"/>
          <w:b/>
          <w:bCs/>
          <w:sz w:val="24"/>
          <w:szCs w:val="24"/>
          <w:lang w:eastAsia="bg-BG"/>
        </w:rPr>
        <w:t xml:space="preserve">Критерии за недопустимост на проектните предложения </w:t>
      </w:r>
    </w:p>
    <w:p w:rsidR="00DB7DE9" w:rsidRPr="0031346B" w:rsidRDefault="00DB7DE9" w:rsidP="0031346B">
      <w:pPr>
        <w:spacing w:before="120" w:after="120"/>
        <w:rPr>
          <w:rFonts w:cs="Times New Roman"/>
          <w:sz w:val="24"/>
          <w:szCs w:val="24"/>
          <w:lang w:eastAsia="bg-BG"/>
        </w:rPr>
      </w:pPr>
      <w:r w:rsidRPr="0031346B">
        <w:rPr>
          <w:rFonts w:cs="Times New Roman"/>
          <w:sz w:val="24"/>
          <w:szCs w:val="24"/>
          <w:lang w:eastAsia="bg-BG"/>
        </w:rPr>
        <w:t xml:space="preserve">По настоящата процедура за конкурс са недопустими проектни предложения: </w:t>
      </w:r>
    </w:p>
    <w:p w:rsidR="00DB7DE9" w:rsidRPr="0031346B" w:rsidRDefault="00DB7DE9" w:rsidP="0031346B">
      <w:pPr>
        <w:spacing w:before="120" w:after="120"/>
        <w:rPr>
          <w:rFonts w:cs="Times New Roman"/>
          <w:sz w:val="24"/>
          <w:szCs w:val="24"/>
          <w:lang w:eastAsia="bg-BG"/>
        </w:rPr>
      </w:pPr>
      <w:r w:rsidRPr="0031346B">
        <w:rPr>
          <w:rFonts w:cs="Times New Roman"/>
          <w:sz w:val="24"/>
          <w:szCs w:val="24"/>
          <w:lang w:eastAsia="bg-BG"/>
        </w:rPr>
        <w:t xml:space="preserve">- включващи дейности, които вече са финансирани от други източници </w:t>
      </w:r>
    </w:p>
    <w:p w:rsidR="00DB7DE9" w:rsidRPr="0031346B" w:rsidRDefault="00DB7DE9" w:rsidP="0031346B">
      <w:pPr>
        <w:spacing w:before="120" w:after="120"/>
        <w:rPr>
          <w:rFonts w:cs="Times New Roman"/>
          <w:sz w:val="24"/>
          <w:szCs w:val="24"/>
          <w:lang w:eastAsia="bg-BG"/>
        </w:rPr>
      </w:pPr>
      <w:r w:rsidRPr="0031346B">
        <w:rPr>
          <w:rFonts w:cs="Times New Roman"/>
          <w:sz w:val="24"/>
          <w:szCs w:val="24"/>
          <w:lang w:eastAsia="bg-BG"/>
        </w:rPr>
        <w:t xml:space="preserve">- които не включват научни изследвания. </w:t>
      </w:r>
    </w:p>
    <w:p w:rsidR="00DB7DE9" w:rsidRPr="0031346B" w:rsidRDefault="00DB7DE9" w:rsidP="0031346B">
      <w:pPr>
        <w:spacing w:before="120" w:after="120"/>
        <w:rPr>
          <w:rFonts w:cs="Times New Roman"/>
          <w:sz w:val="24"/>
          <w:szCs w:val="24"/>
          <w:lang w:eastAsia="bg-BG"/>
        </w:rPr>
      </w:pPr>
      <w:r w:rsidRPr="0031346B">
        <w:rPr>
          <w:rFonts w:cs="Times New Roman"/>
          <w:sz w:val="24"/>
          <w:szCs w:val="24"/>
          <w:lang w:eastAsia="bg-BG"/>
        </w:rPr>
        <w:t xml:space="preserve">- които включват дейности, чието изпълнение е стартирало преди подписването на договора за финансиране на проекта по настоящата процедура. </w:t>
      </w:r>
    </w:p>
    <w:p w:rsidR="00DB7DE9" w:rsidRPr="0031346B" w:rsidRDefault="00DB7DE9" w:rsidP="0031346B">
      <w:pPr>
        <w:spacing w:before="120" w:after="120"/>
        <w:rPr>
          <w:rFonts w:cs="Times New Roman"/>
          <w:sz w:val="24"/>
          <w:szCs w:val="24"/>
          <w:lang w:eastAsia="bg-BG"/>
        </w:rPr>
      </w:pPr>
      <w:r w:rsidRPr="0031346B">
        <w:rPr>
          <w:rFonts w:cs="Times New Roman"/>
          <w:b/>
          <w:bCs/>
          <w:sz w:val="24"/>
          <w:szCs w:val="24"/>
          <w:lang w:eastAsia="bg-BG"/>
        </w:rPr>
        <w:t xml:space="preserve">ВАЖНО: </w:t>
      </w:r>
      <w:r w:rsidRPr="0031346B">
        <w:rPr>
          <w:rFonts w:cs="Times New Roman"/>
          <w:sz w:val="24"/>
          <w:szCs w:val="24"/>
          <w:lang w:eastAsia="bg-BG"/>
        </w:rPr>
        <w:t xml:space="preserve">Всяко обстоятелство по т. 3.4 от насоките подлежи на проверка и полученото неправомерно финансиране следва да бъде възстановено. </w:t>
      </w:r>
    </w:p>
    <w:p w:rsidR="00DB7DE9" w:rsidRPr="0031346B" w:rsidRDefault="00DB7DE9" w:rsidP="0031346B">
      <w:pPr>
        <w:spacing w:before="120" w:after="120"/>
        <w:rPr>
          <w:rFonts w:cs="Times New Roman"/>
          <w:sz w:val="24"/>
          <w:szCs w:val="24"/>
          <w:lang w:eastAsia="bg-BG"/>
        </w:rPr>
      </w:pPr>
      <w:r w:rsidRPr="0031346B">
        <w:rPr>
          <w:rFonts w:cs="Times New Roman"/>
          <w:sz w:val="24"/>
          <w:szCs w:val="24"/>
          <w:lang w:eastAsia="bg-BG"/>
        </w:rPr>
        <w:t xml:space="preserve">Поканата се публикува в централен ежедневник и на интернет страниците на Министерство на образованието и науката и Фонд „Научни изследвания“. </w:t>
      </w:r>
    </w:p>
    <w:p w:rsidR="00DB7DE9" w:rsidRPr="0031346B" w:rsidRDefault="00DB7DE9" w:rsidP="0031346B">
      <w:pPr>
        <w:spacing w:before="120" w:after="120"/>
        <w:rPr>
          <w:rFonts w:cs="Times New Roman"/>
          <w:sz w:val="24"/>
          <w:szCs w:val="24"/>
          <w:lang w:val="ru-RU" w:eastAsia="bg-BG"/>
        </w:rPr>
      </w:pPr>
      <w:r w:rsidRPr="0031346B">
        <w:rPr>
          <w:rFonts w:cs="Times New Roman"/>
          <w:sz w:val="24"/>
          <w:szCs w:val="24"/>
          <w:lang w:eastAsia="bg-BG"/>
        </w:rPr>
        <w:t xml:space="preserve">Пълната информация за конкурса и процедурите за кандидатстване може да намерите на интернет страницата на Фонд „Научни изследвания“. </w:t>
      </w:r>
      <w:r w:rsidRPr="0031346B">
        <w:rPr>
          <w:rFonts w:cs="Times New Roman"/>
          <w:b/>
          <w:bCs/>
          <w:sz w:val="24"/>
          <w:szCs w:val="24"/>
          <w:lang w:eastAsia="bg-BG"/>
        </w:rPr>
        <w:t>http://www.fni.bg</w:t>
      </w:r>
    </w:p>
    <w:p w:rsidR="00DB7DE9" w:rsidRDefault="00DB7DE9" w:rsidP="00430779">
      <w:pPr>
        <w:spacing w:before="120" w:after="480"/>
        <w:rPr>
          <w:b/>
          <w:sz w:val="24"/>
          <w:szCs w:val="24"/>
          <w:lang w:eastAsia="bg-BG"/>
        </w:rPr>
      </w:pPr>
      <w:r w:rsidRPr="0031346B">
        <w:rPr>
          <w:b/>
          <w:sz w:val="24"/>
          <w:szCs w:val="24"/>
          <w:lang w:eastAsia="bg-BG"/>
        </w:rPr>
        <w:t>Краен срок: 17 часа на 19.07.2017</w:t>
      </w:r>
    </w:p>
    <w:p w:rsidR="00430779" w:rsidRDefault="00430779">
      <w:pPr>
        <w:jc w:val="left"/>
        <w:rPr>
          <w:b/>
          <w:sz w:val="24"/>
          <w:szCs w:val="24"/>
          <w:lang w:eastAsia="bg-BG"/>
        </w:rPr>
      </w:pPr>
      <w:r>
        <w:rPr>
          <w:b/>
          <w:sz w:val="24"/>
          <w:szCs w:val="24"/>
          <w:lang w:eastAsia="bg-BG"/>
        </w:rPr>
        <w:br w:type="page"/>
      </w:r>
    </w:p>
    <w:p w:rsidR="00195AC2" w:rsidRPr="00430779" w:rsidRDefault="00195AC2" w:rsidP="00430779">
      <w:pPr>
        <w:pStyle w:val="Heading2"/>
        <w:ind w:left="426"/>
        <w:rPr>
          <w:lang w:val="ru-RU" w:eastAsia="bg-BG"/>
        </w:rPr>
      </w:pPr>
      <w:bookmarkStart w:id="8" w:name="_Toc485041297"/>
      <w:r w:rsidRPr="00430779">
        <w:rPr>
          <w:lang w:eastAsia="bg-BG"/>
        </w:rPr>
        <w:lastRenderedPageBreak/>
        <w:t>Конкурс</w:t>
      </w:r>
      <w:r w:rsidR="00430779" w:rsidRPr="00430779">
        <w:rPr>
          <w:lang w:eastAsia="bg-BG"/>
        </w:rPr>
        <w:t xml:space="preserve"> на ФНИ</w:t>
      </w:r>
      <w:r w:rsidRPr="00430779">
        <w:rPr>
          <w:lang w:eastAsia="bg-BG"/>
        </w:rPr>
        <w:t xml:space="preserve"> за финансиране на научни изследвания на млади уче</w:t>
      </w:r>
      <w:r w:rsidR="00430779" w:rsidRPr="00430779">
        <w:rPr>
          <w:lang w:eastAsia="bg-BG"/>
        </w:rPr>
        <w:t xml:space="preserve">ни и </w:t>
      </w:r>
      <w:proofErr w:type="spellStart"/>
      <w:r w:rsidR="00430779" w:rsidRPr="00430779">
        <w:rPr>
          <w:lang w:eastAsia="bg-BG"/>
        </w:rPr>
        <w:t>постдокторанти</w:t>
      </w:r>
      <w:proofErr w:type="spellEnd"/>
      <w:r w:rsidR="00430779" w:rsidRPr="00430779">
        <w:rPr>
          <w:lang w:eastAsia="bg-BG"/>
        </w:rPr>
        <w:t xml:space="preserve"> – 2017 год.</w:t>
      </w:r>
      <w:bookmarkEnd w:id="8"/>
    </w:p>
    <w:p w:rsidR="00195AC2" w:rsidRPr="00430779" w:rsidRDefault="00195AC2" w:rsidP="00430779">
      <w:pPr>
        <w:rPr>
          <w:rFonts w:cs="Times New Roman"/>
          <w:sz w:val="24"/>
          <w:szCs w:val="24"/>
          <w:lang w:eastAsia="bg-BG"/>
        </w:rPr>
      </w:pPr>
      <w:r w:rsidRPr="00430779">
        <w:rPr>
          <w:rFonts w:cs="Times New Roman"/>
          <w:sz w:val="24"/>
          <w:szCs w:val="24"/>
          <w:lang w:eastAsia="bg-BG"/>
        </w:rPr>
        <w:t xml:space="preserve">Финансирането по настоящата процедура е единствено в подкрепа на осъществяване на нестопанска научна дейност за научни изследвания за придобиване на нови знания за насърчаване участието на младите учени и </w:t>
      </w:r>
      <w:proofErr w:type="spellStart"/>
      <w:r w:rsidRPr="00430779">
        <w:rPr>
          <w:rFonts w:cs="Times New Roman"/>
          <w:sz w:val="24"/>
          <w:szCs w:val="24"/>
          <w:lang w:eastAsia="bg-BG"/>
        </w:rPr>
        <w:t>постодкторанти</w:t>
      </w:r>
      <w:proofErr w:type="spellEnd"/>
      <w:r w:rsidRPr="00430779">
        <w:rPr>
          <w:rFonts w:cs="Times New Roman"/>
          <w:sz w:val="24"/>
          <w:szCs w:val="24"/>
          <w:lang w:eastAsia="bg-BG"/>
        </w:rPr>
        <w:t xml:space="preserve"> в научноизследователска дейност. Нестопанската научна дейност е съобразена с Националната стратегия за развитие на научните изследвания в Република България 2020</w:t>
      </w:r>
      <w:r w:rsidRPr="00430779">
        <w:rPr>
          <w:rFonts w:cs="Times New Roman"/>
          <w:sz w:val="24"/>
          <w:szCs w:val="24"/>
          <w:lang w:val="ru-RU" w:eastAsia="bg-BG"/>
        </w:rPr>
        <w:t xml:space="preserve"> </w:t>
      </w:r>
      <w:r w:rsidRPr="00430779">
        <w:rPr>
          <w:rFonts w:cs="Times New Roman"/>
          <w:sz w:val="24"/>
          <w:szCs w:val="24"/>
          <w:lang w:eastAsia="bg-BG"/>
        </w:rPr>
        <w:t>и допринася за нейните цели чрез:</w:t>
      </w:r>
    </w:p>
    <w:p w:rsidR="00195AC2" w:rsidRPr="00430779" w:rsidRDefault="00195AC2" w:rsidP="000D4193">
      <w:pPr>
        <w:numPr>
          <w:ilvl w:val="0"/>
          <w:numId w:val="8"/>
        </w:numPr>
        <w:spacing w:before="120" w:after="120"/>
        <w:rPr>
          <w:rFonts w:cs="Times New Roman"/>
          <w:sz w:val="24"/>
          <w:szCs w:val="24"/>
          <w:lang w:eastAsia="bg-BG"/>
        </w:rPr>
      </w:pPr>
      <w:r w:rsidRPr="00430779">
        <w:rPr>
          <w:rFonts w:cs="Times New Roman"/>
          <w:sz w:val="24"/>
          <w:szCs w:val="24"/>
          <w:lang w:eastAsia="bg-BG"/>
        </w:rPr>
        <w:t xml:space="preserve">повишаване квалификацията на научните кадри; </w:t>
      </w:r>
    </w:p>
    <w:p w:rsidR="00195AC2" w:rsidRPr="00430779" w:rsidRDefault="00195AC2" w:rsidP="000D4193">
      <w:pPr>
        <w:numPr>
          <w:ilvl w:val="0"/>
          <w:numId w:val="8"/>
        </w:numPr>
        <w:spacing w:before="120" w:after="120"/>
        <w:rPr>
          <w:rFonts w:cs="Times New Roman"/>
          <w:sz w:val="24"/>
          <w:szCs w:val="24"/>
          <w:lang w:eastAsia="bg-BG"/>
        </w:rPr>
      </w:pPr>
      <w:r w:rsidRPr="00430779">
        <w:rPr>
          <w:rFonts w:cs="Times New Roman"/>
          <w:sz w:val="24"/>
          <w:szCs w:val="24"/>
          <w:lang w:eastAsia="bg-BG"/>
        </w:rPr>
        <w:t xml:space="preserve">разпространение на резултатите от изследователската дейност; </w:t>
      </w:r>
    </w:p>
    <w:p w:rsidR="00195AC2" w:rsidRPr="00430779" w:rsidRDefault="00195AC2" w:rsidP="000D4193">
      <w:pPr>
        <w:numPr>
          <w:ilvl w:val="0"/>
          <w:numId w:val="8"/>
        </w:numPr>
        <w:spacing w:before="120" w:after="120"/>
        <w:rPr>
          <w:rFonts w:cs="Times New Roman"/>
          <w:sz w:val="24"/>
          <w:szCs w:val="24"/>
          <w:lang w:eastAsia="bg-BG"/>
        </w:rPr>
      </w:pPr>
      <w:r w:rsidRPr="00430779">
        <w:rPr>
          <w:rFonts w:cs="Times New Roman"/>
          <w:sz w:val="24"/>
          <w:szCs w:val="24"/>
          <w:lang w:eastAsia="bg-BG"/>
        </w:rPr>
        <w:t xml:space="preserve">поощряване проекти с участието на млади учени и </w:t>
      </w:r>
      <w:proofErr w:type="spellStart"/>
      <w:r w:rsidRPr="00430779">
        <w:rPr>
          <w:rFonts w:cs="Times New Roman"/>
          <w:sz w:val="24"/>
          <w:szCs w:val="24"/>
          <w:lang w:eastAsia="bg-BG"/>
        </w:rPr>
        <w:t>постдокторанти</w:t>
      </w:r>
      <w:proofErr w:type="spellEnd"/>
      <w:r w:rsidRPr="00430779">
        <w:rPr>
          <w:rFonts w:cs="Times New Roman"/>
          <w:sz w:val="24"/>
          <w:szCs w:val="24"/>
          <w:lang w:eastAsia="bg-BG"/>
        </w:rPr>
        <w:t>.</w:t>
      </w:r>
    </w:p>
    <w:p w:rsidR="00195AC2" w:rsidRPr="00430779" w:rsidRDefault="00195AC2" w:rsidP="000D4193">
      <w:pPr>
        <w:numPr>
          <w:ilvl w:val="1"/>
          <w:numId w:val="8"/>
        </w:numPr>
        <w:spacing w:before="120" w:after="120"/>
        <w:rPr>
          <w:rFonts w:cs="Times New Roman"/>
          <w:b/>
          <w:bCs/>
          <w:sz w:val="24"/>
          <w:szCs w:val="24"/>
          <w:lang w:eastAsia="bg-BG"/>
        </w:rPr>
      </w:pPr>
      <w:r w:rsidRPr="00430779">
        <w:rPr>
          <w:rFonts w:cs="Times New Roman"/>
          <w:b/>
          <w:bCs/>
          <w:sz w:val="24"/>
          <w:szCs w:val="24"/>
          <w:lang w:eastAsia="bg-BG"/>
        </w:rPr>
        <w:t>Научни области</w:t>
      </w:r>
    </w:p>
    <w:p w:rsidR="00195AC2" w:rsidRPr="00430779" w:rsidRDefault="00195AC2" w:rsidP="000059D6">
      <w:pPr>
        <w:spacing w:before="120" w:after="120"/>
        <w:rPr>
          <w:rFonts w:cs="Times New Roman"/>
          <w:sz w:val="24"/>
          <w:szCs w:val="24"/>
          <w:lang w:eastAsia="bg-BG"/>
        </w:rPr>
      </w:pPr>
      <w:r w:rsidRPr="00430779">
        <w:rPr>
          <w:rFonts w:cs="Times New Roman"/>
          <w:sz w:val="24"/>
          <w:szCs w:val="24"/>
          <w:lang w:eastAsia="bg-BG"/>
        </w:rPr>
        <w:t xml:space="preserve">Целта на процедурата е да насърчи провеждане на качествени научни изследвания от млади учени и </w:t>
      </w:r>
      <w:proofErr w:type="spellStart"/>
      <w:r w:rsidRPr="00430779">
        <w:rPr>
          <w:rFonts w:cs="Times New Roman"/>
          <w:sz w:val="24"/>
          <w:szCs w:val="24"/>
          <w:lang w:eastAsia="bg-BG"/>
        </w:rPr>
        <w:t>постдокторанти</w:t>
      </w:r>
      <w:proofErr w:type="spellEnd"/>
      <w:r w:rsidRPr="00430779">
        <w:rPr>
          <w:rFonts w:cs="Times New Roman"/>
          <w:sz w:val="24"/>
          <w:szCs w:val="24"/>
          <w:lang w:eastAsia="bg-BG"/>
        </w:rPr>
        <w:t xml:space="preserve">, повишаване квалификацията им и получаване на високи научни постижения в следните области: </w:t>
      </w:r>
    </w:p>
    <w:p w:rsidR="00195AC2" w:rsidRPr="00430779" w:rsidRDefault="00195AC2" w:rsidP="000D4193">
      <w:pPr>
        <w:numPr>
          <w:ilvl w:val="0"/>
          <w:numId w:val="9"/>
        </w:numPr>
        <w:spacing w:before="120" w:after="120"/>
        <w:rPr>
          <w:rFonts w:cs="Times New Roman"/>
          <w:sz w:val="24"/>
          <w:szCs w:val="24"/>
          <w:lang w:eastAsia="bg-BG"/>
        </w:rPr>
      </w:pPr>
      <w:r w:rsidRPr="00430779">
        <w:rPr>
          <w:rFonts w:cs="Times New Roman"/>
          <w:sz w:val="24"/>
          <w:szCs w:val="24"/>
          <w:lang w:eastAsia="bg-BG"/>
        </w:rPr>
        <w:t>Биологически науки;</w:t>
      </w:r>
    </w:p>
    <w:p w:rsidR="00195AC2" w:rsidRPr="00430779" w:rsidRDefault="00195AC2" w:rsidP="000D4193">
      <w:pPr>
        <w:numPr>
          <w:ilvl w:val="0"/>
          <w:numId w:val="9"/>
        </w:numPr>
        <w:spacing w:before="120" w:after="120"/>
        <w:rPr>
          <w:rFonts w:cs="Times New Roman"/>
          <w:sz w:val="24"/>
          <w:szCs w:val="24"/>
          <w:lang w:eastAsia="bg-BG"/>
        </w:rPr>
      </w:pPr>
      <w:r w:rsidRPr="00430779">
        <w:rPr>
          <w:rFonts w:cs="Times New Roman"/>
          <w:sz w:val="24"/>
          <w:szCs w:val="24"/>
          <w:lang w:eastAsia="bg-BG"/>
        </w:rPr>
        <w:t>Математически науки и информатика;</w:t>
      </w:r>
    </w:p>
    <w:p w:rsidR="00195AC2" w:rsidRPr="00430779" w:rsidRDefault="00195AC2" w:rsidP="000D4193">
      <w:pPr>
        <w:numPr>
          <w:ilvl w:val="0"/>
          <w:numId w:val="9"/>
        </w:numPr>
        <w:spacing w:before="120" w:after="120"/>
        <w:rPr>
          <w:rFonts w:cs="Times New Roman"/>
          <w:sz w:val="24"/>
          <w:szCs w:val="24"/>
          <w:lang w:eastAsia="bg-BG"/>
        </w:rPr>
      </w:pPr>
      <w:r w:rsidRPr="00430779">
        <w:rPr>
          <w:rFonts w:cs="Times New Roman"/>
          <w:sz w:val="24"/>
          <w:szCs w:val="24"/>
          <w:lang w:eastAsia="bg-BG"/>
        </w:rPr>
        <w:t>Медицински науки;</w:t>
      </w:r>
    </w:p>
    <w:p w:rsidR="00195AC2" w:rsidRPr="00430779" w:rsidRDefault="00195AC2" w:rsidP="000D4193">
      <w:pPr>
        <w:numPr>
          <w:ilvl w:val="0"/>
          <w:numId w:val="9"/>
        </w:numPr>
        <w:spacing w:before="120" w:after="120"/>
        <w:rPr>
          <w:rFonts w:cs="Times New Roman"/>
          <w:sz w:val="24"/>
          <w:szCs w:val="24"/>
          <w:lang w:eastAsia="bg-BG"/>
        </w:rPr>
      </w:pPr>
      <w:r w:rsidRPr="00430779">
        <w:rPr>
          <w:rFonts w:cs="Times New Roman"/>
          <w:sz w:val="24"/>
          <w:szCs w:val="24"/>
          <w:lang w:eastAsia="bg-BG"/>
        </w:rPr>
        <w:t>Науки за земята;</w:t>
      </w:r>
    </w:p>
    <w:p w:rsidR="00195AC2" w:rsidRPr="00430779" w:rsidRDefault="00195AC2" w:rsidP="000D4193">
      <w:pPr>
        <w:numPr>
          <w:ilvl w:val="0"/>
          <w:numId w:val="9"/>
        </w:numPr>
        <w:spacing w:before="120" w:after="120"/>
        <w:rPr>
          <w:rFonts w:cs="Times New Roman"/>
          <w:sz w:val="24"/>
          <w:szCs w:val="24"/>
          <w:lang w:eastAsia="bg-BG"/>
        </w:rPr>
      </w:pPr>
      <w:r w:rsidRPr="00430779">
        <w:rPr>
          <w:rFonts w:cs="Times New Roman"/>
          <w:sz w:val="24"/>
          <w:szCs w:val="24"/>
          <w:lang w:eastAsia="bg-BG"/>
        </w:rPr>
        <w:t>Обществени науки;</w:t>
      </w:r>
    </w:p>
    <w:p w:rsidR="00195AC2" w:rsidRPr="00430779" w:rsidRDefault="00195AC2" w:rsidP="000D4193">
      <w:pPr>
        <w:numPr>
          <w:ilvl w:val="0"/>
          <w:numId w:val="9"/>
        </w:numPr>
        <w:spacing w:before="120" w:after="120"/>
        <w:rPr>
          <w:rFonts w:cs="Times New Roman"/>
          <w:sz w:val="24"/>
          <w:szCs w:val="24"/>
          <w:lang w:eastAsia="bg-BG"/>
        </w:rPr>
      </w:pPr>
      <w:r w:rsidRPr="00430779">
        <w:rPr>
          <w:rFonts w:cs="Times New Roman"/>
          <w:sz w:val="24"/>
          <w:szCs w:val="24"/>
          <w:lang w:eastAsia="bg-BG"/>
        </w:rPr>
        <w:t>Селскостопански науки;</w:t>
      </w:r>
    </w:p>
    <w:p w:rsidR="00195AC2" w:rsidRPr="00430779" w:rsidRDefault="00195AC2" w:rsidP="000D4193">
      <w:pPr>
        <w:numPr>
          <w:ilvl w:val="0"/>
          <w:numId w:val="9"/>
        </w:numPr>
        <w:spacing w:before="120" w:after="120"/>
        <w:rPr>
          <w:rFonts w:cs="Times New Roman"/>
          <w:sz w:val="24"/>
          <w:szCs w:val="24"/>
          <w:lang w:eastAsia="bg-BG"/>
        </w:rPr>
      </w:pPr>
      <w:r w:rsidRPr="00430779">
        <w:rPr>
          <w:rFonts w:cs="Times New Roman"/>
          <w:sz w:val="24"/>
          <w:szCs w:val="24"/>
          <w:lang w:eastAsia="bg-BG"/>
        </w:rPr>
        <w:t>Технически науки;</w:t>
      </w:r>
    </w:p>
    <w:p w:rsidR="00195AC2" w:rsidRPr="00430779" w:rsidRDefault="00195AC2" w:rsidP="000D4193">
      <w:pPr>
        <w:numPr>
          <w:ilvl w:val="0"/>
          <w:numId w:val="9"/>
        </w:numPr>
        <w:spacing w:before="120" w:after="120"/>
        <w:rPr>
          <w:rFonts w:cs="Times New Roman"/>
          <w:sz w:val="24"/>
          <w:szCs w:val="24"/>
          <w:lang w:eastAsia="bg-BG"/>
        </w:rPr>
      </w:pPr>
      <w:r w:rsidRPr="00430779">
        <w:rPr>
          <w:rFonts w:cs="Times New Roman"/>
          <w:sz w:val="24"/>
          <w:szCs w:val="24"/>
          <w:lang w:eastAsia="bg-BG"/>
        </w:rPr>
        <w:t>Физически науки;</w:t>
      </w:r>
    </w:p>
    <w:p w:rsidR="00195AC2" w:rsidRPr="00430779" w:rsidRDefault="00195AC2" w:rsidP="000D4193">
      <w:pPr>
        <w:numPr>
          <w:ilvl w:val="0"/>
          <w:numId w:val="9"/>
        </w:numPr>
        <w:spacing w:before="120" w:after="120"/>
        <w:rPr>
          <w:rFonts w:cs="Times New Roman"/>
          <w:sz w:val="24"/>
          <w:szCs w:val="24"/>
          <w:lang w:eastAsia="bg-BG"/>
        </w:rPr>
      </w:pPr>
      <w:r w:rsidRPr="00430779">
        <w:rPr>
          <w:rFonts w:cs="Times New Roman"/>
          <w:sz w:val="24"/>
          <w:szCs w:val="24"/>
          <w:lang w:eastAsia="bg-BG"/>
        </w:rPr>
        <w:t>Химически науки;</w:t>
      </w:r>
    </w:p>
    <w:p w:rsidR="00195AC2" w:rsidRPr="00430779" w:rsidRDefault="00195AC2" w:rsidP="000D4193">
      <w:pPr>
        <w:numPr>
          <w:ilvl w:val="0"/>
          <w:numId w:val="9"/>
        </w:numPr>
        <w:spacing w:before="120" w:after="120"/>
        <w:rPr>
          <w:rFonts w:cs="Times New Roman"/>
          <w:sz w:val="24"/>
          <w:szCs w:val="24"/>
          <w:lang w:eastAsia="bg-BG"/>
        </w:rPr>
      </w:pPr>
      <w:r w:rsidRPr="00430779">
        <w:rPr>
          <w:rFonts w:cs="Times New Roman"/>
          <w:sz w:val="24"/>
          <w:szCs w:val="24"/>
          <w:lang w:eastAsia="bg-BG"/>
        </w:rPr>
        <w:t>Хуманитарни науки.</w:t>
      </w:r>
    </w:p>
    <w:p w:rsidR="00195AC2" w:rsidRDefault="00195AC2" w:rsidP="000059D6">
      <w:pPr>
        <w:spacing w:before="120" w:after="120"/>
        <w:rPr>
          <w:rFonts w:cs="Times New Roman"/>
          <w:sz w:val="24"/>
          <w:szCs w:val="24"/>
          <w:lang w:eastAsia="bg-BG"/>
        </w:rPr>
      </w:pPr>
      <w:r w:rsidRPr="00430779">
        <w:rPr>
          <w:rFonts w:cs="Times New Roman"/>
          <w:sz w:val="24"/>
          <w:szCs w:val="24"/>
          <w:lang w:eastAsia="bg-BG"/>
        </w:rPr>
        <w:t>Научните области, в които ще бъдат финансирани фундаментални изследвания са определени с решение на Изпълнителния съвет (ИС) на фонд „Научни изследвания“ (Фонда).</w:t>
      </w:r>
    </w:p>
    <w:p w:rsidR="00B27B3D" w:rsidRPr="00430779" w:rsidRDefault="00B27B3D" w:rsidP="000059D6">
      <w:pPr>
        <w:spacing w:before="120" w:after="120"/>
        <w:rPr>
          <w:rFonts w:cs="Times New Roman"/>
          <w:sz w:val="24"/>
          <w:szCs w:val="24"/>
          <w:lang w:eastAsia="bg-BG"/>
        </w:rPr>
      </w:pPr>
    </w:p>
    <w:p w:rsidR="00195AC2" w:rsidRDefault="00195AC2" w:rsidP="000D4193">
      <w:pPr>
        <w:numPr>
          <w:ilvl w:val="1"/>
          <w:numId w:val="8"/>
        </w:numPr>
        <w:spacing w:before="120" w:after="120"/>
        <w:rPr>
          <w:rFonts w:cs="Times New Roman"/>
          <w:b/>
          <w:bCs/>
          <w:sz w:val="24"/>
          <w:szCs w:val="24"/>
          <w:lang w:eastAsia="bg-BG"/>
        </w:rPr>
      </w:pPr>
      <w:r w:rsidRPr="00430779">
        <w:rPr>
          <w:rFonts w:cs="Times New Roman"/>
          <w:b/>
          <w:bCs/>
          <w:sz w:val="24"/>
          <w:szCs w:val="24"/>
          <w:lang w:eastAsia="bg-BG"/>
        </w:rPr>
        <w:t>Общ бюджет на конкурса:</w:t>
      </w:r>
    </w:p>
    <w:p w:rsidR="00195AC2" w:rsidRDefault="00195AC2" w:rsidP="000059D6">
      <w:pPr>
        <w:spacing w:before="120" w:after="120"/>
        <w:rPr>
          <w:rFonts w:cs="Times New Roman"/>
          <w:sz w:val="24"/>
          <w:szCs w:val="24"/>
          <w:lang w:eastAsia="bg-BG"/>
        </w:rPr>
      </w:pPr>
      <w:r w:rsidRPr="00430779">
        <w:rPr>
          <w:rFonts w:cs="Times New Roman"/>
          <w:sz w:val="24"/>
          <w:szCs w:val="24"/>
          <w:lang w:eastAsia="bg-BG"/>
        </w:rPr>
        <w:t xml:space="preserve">Прогнозният общ бюджет на конкурса за финансиране на фундаментални научни изследвания на млади учени и </w:t>
      </w:r>
      <w:proofErr w:type="spellStart"/>
      <w:r w:rsidRPr="00430779">
        <w:rPr>
          <w:rFonts w:cs="Times New Roman"/>
          <w:sz w:val="24"/>
          <w:szCs w:val="24"/>
          <w:lang w:eastAsia="bg-BG"/>
        </w:rPr>
        <w:t>постдокторанти</w:t>
      </w:r>
      <w:proofErr w:type="spellEnd"/>
      <w:r w:rsidRPr="00430779">
        <w:rPr>
          <w:rFonts w:cs="Times New Roman"/>
          <w:sz w:val="24"/>
          <w:szCs w:val="24"/>
          <w:lang w:eastAsia="bg-BG"/>
        </w:rPr>
        <w:t xml:space="preserve"> – 2017 г. е 600 000 лв.</w:t>
      </w:r>
    </w:p>
    <w:p w:rsidR="00B27B3D" w:rsidRDefault="00B27B3D">
      <w:pPr>
        <w:jc w:val="left"/>
        <w:rPr>
          <w:rFonts w:cs="Times New Roman"/>
          <w:sz w:val="24"/>
          <w:szCs w:val="24"/>
          <w:lang w:eastAsia="bg-BG"/>
        </w:rPr>
      </w:pPr>
      <w:r>
        <w:rPr>
          <w:rFonts w:cs="Times New Roman"/>
          <w:sz w:val="24"/>
          <w:szCs w:val="24"/>
          <w:lang w:eastAsia="bg-BG"/>
        </w:rPr>
        <w:br w:type="page"/>
      </w:r>
    </w:p>
    <w:p w:rsidR="00195AC2" w:rsidRPr="00430779" w:rsidRDefault="00195AC2" w:rsidP="000059D6">
      <w:pPr>
        <w:spacing w:before="120" w:after="120"/>
        <w:rPr>
          <w:rFonts w:cs="Times New Roman"/>
          <w:b/>
          <w:sz w:val="24"/>
          <w:szCs w:val="24"/>
          <w:lang w:eastAsia="bg-BG"/>
        </w:rPr>
      </w:pPr>
      <w:r w:rsidRPr="00430779">
        <w:rPr>
          <w:rFonts w:cs="Times New Roman"/>
          <w:b/>
          <w:sz w:val="24"/>
          <w:szCs w:val="24"/>
          <w:lang w:eastAsia="bg-BG"/>
        </w:rPr>
        <w:lastRenderedPageBreak/>
        <w:t>Предвидено е следното разпределение на наличния общ бюджет по научни области:</w:t>
      </w:r>
    </w:p>
    <w:tbl>
      <w:tblPr>
        <w:tblStyle w:val="LightShading-Accent5"/>
        <w:tblW w:w="0" w:type="auto"/>
        <w:tblBorders>
          <w:top w:val="none" w:sz="0" w:space="0" w:color="auto"/>
          <w:bottom w:val="none" w:sz="0" w:space="0" w:color="auto"/>
        </w:tblBorders>
        <w:tblLook w:val="04A0" w:firstRow="1" w:lastRow="0" w:firstColumn="1" w:lastColumn="0" w:noHBand="0" w:noVBand="1"/>
      </w:tblPr>
      <w:tblGrid>
        <w:gridCol w:w="3936"/>
        <w:gridCol w:w="1984"/>
        <w:gridCol w:w="1951"/>
      </w:tblGrid>
      <w:tr w:rsidR="00195AC2" w:rsidRPr="000059D6" w:rsidTr="000059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Borders>
              <w:left w:val="nil"/>
              <w:right w:val="nil"/>
            </w:tcBorders>
            <w:shd w:val="clear" w:color="auto" w:fill="92CDDC" w:themeFill="accent5" w:themeFillTint="99"/>
            <w:vAlign w:val="center"/>
            <w:hideMark/>
          </w:tcPr>
          <w:p w:rsidR="00195AC2" w:rsidRPr="000059D6" w:rsidRDefault="00195AC2" w:rsidP="00430779">
            <w:pPr>
              <w:spacing w:after="200" w:line="276" w:lineRule="auto"/>
              <w:rPr>
                <w:rFonts w:cs="Times New Roman"/>
                <w:color w:val="auto"/>
                <w:sz w:val="20"/>
                <w:szCs w:val="20"/>
                <w:lang w:val="en-US" w:eastAsia="bg-BG"/>
              </w:rPr>
            </w:pPr>
            <w:proofErr w:type="spellStart"/>
            <w:r w:rsidRPr="000059D6">
              <w:rPr>
                <w:rFonts w:cs="Times New Roman"/>
                <w:color w:val="auto"/>
                <w:sz w:val="20"/>
                <w:szCs w:val="20"/>
                <w:lang w:val="en-US" w:eastAsia="bg-BG"/>
              </w:rPr>
              <w:t>Научна</w:t>
            </w:r>
            <w:proofErr w:type="spellEnd"/>
            <w:r w:rsidRPr="000059D6">
              <w:rPr>
                <w:rFonts w:cs="Times New Roman"/>
                <w:color w:val="auto"/>
                <w:sz w:val="20"/>
                <w:szCs w:val="20"/>
                <w:lang w:val="en-US" w:eastAsia="bg-BG"/>
              </w:rPr>
              <w:t xml:space="preserve"> </w:t>
            </w:r>
            <w:proofErr w:type="spellStart"/>
            <w:r w:rsidRPr="000059D6">
              <w:rPr>
                <w:rFonts w:cs="Times New Roman"/>
                <w:color w:val="auto"/>
                <w:sz w:val="20"/>
                <w:szCs w:val="20"/>
                <w:lang w:val="en-US" w:eastAsia="bg-BG"/>
              </w:rPr>
              <w:t>област</w:t>
            </w:r>
            <w:proofErr w:type="spellEnd"/>
          </w:p>
        </w:tc>
        <w:tc>
          <w:tcPr>
            <w:tcW w:w="1984" w:type="dxa"/>
            <w:tcBorders>
              <w:left w:val="nil"/>
              <w:right w:val="nil"/>
            </w:tcBorders>
            <w:shd w:val="clear" w:color="auto" w:fill="92CDDC" w:themeFill="accent5" w:themeFillTint="99"/>
            <w:vAlign w:val="center"/>
            <w:hideMark/>
          </w:tcPr>
          <w:p w:rsidR="00195AC2" w:rsidRPr="000059D6" w:rsidRDefault="00195AC2" w:rsidP="00430779">
            <w:pPr>
              <w:spacing w:after="200" w:line="276" w:lineRule="auto"/>
              <w:cnfStyle w:val="100000000000" w:firstRow="1" w:lastRow="0" w:firstColumn="0" w:lastColumn="0" w:oddVBand="0" w:evenVBand="0" w:oddHBand="0" w:evenHBand="0" w:firstRowFirstColumn="0" w:firstRowLastColumn="0" w:lastRowFirstColumn="0" w:lastRowLastColumn="0"/>
              <w:rPr>
                <w:rFonts w:cs="Times New Roman"/>
                <w:color w:val="auto"/>
                <w:sz w:val="20"/>
                <w:szCs w:val="20"/>
                <w:lang w:val="en-US" w:eastAsia="bg-BG"/>
              </w:rPr>
            </w:pPr>
            <w:proofErr w:type="spellStart"/>
            <w:r w:rsidRPr="000059D6">
              <w:rPr>
                <w:rFonts w:cs="Times New Roman"/>
                <w:color w:val="auto"/>
                <w:sz w:val="20"/>
                <w:szCs w:val="20"/>
                <w:lang w:val="en-US" w:eastAsia="bg-BG"/>
              </w:rPr>
              <w:t>Бюджет</w:t>
            </w:r>
            <w:proofErr w:type="spellEnd"/>
            <w:r w:rsidRPr="000059D6">
              <w:rPr>
                <w:rFonts w:cs="Times New Roman"/>
                <w:color w:val="auto"/>
                <w:sz w:val="20"/>
                <w:szCs w:val="20"/>
                <w:lang w:val="en-US" w:eastAsia="bg-BG"/>
              </w:rPr>
              <w:t xml:space="preserve">, </w:t>
            </w:r>
            <w:proofErr w:type="spellStart"/>
            <w:r w:rsidRPr="000059D6">
              <w:rPr>
                <w:rFonts w:cs="Times New Roman"/>
                <w:color w:val="auto"/>
                <w:sz w:val="20"/>
                <w:szCs w:val="20"/>
                <w:lang w:val="en-US" w:eastAsia="bg-BG"/>
              </w:rPr>
              <w:t>лв</w:t>
            </w:r>
            <w:proofErr w:type="spellEnd"/>
            <w:r w:rsidRPr="000059D6">
              <w:rPr>
                <w:rFonts w:cs="Times New Roman"/>
                <w:color w:val="auto"/>
                <w:sz w:val="20"/>
                <w:szCs w:val="20"/>
                <w:lang w:val="en-US" w:eastAsia="bg-BG"/>
              </w:rPr>
              <w:t>.</w:t>
            </w:r>
          </w:p>
        </w:tc>
        <w:tc>
          <w:tcPr>
            <w:tcW w:w="1951" w:type="dxa"/>
            <w:tcBorders>
              <w:left w:val="nil"/>
              <w:right w:val="nil"/>
            </w:tcBorders>
            <w:shd w:val="clear" w:color="auto" w:fill="92CDDC" w:themeFill="accent5" w:themeFillTint="99"/>
            <w:vAlign w:val="center"/>
            <w:hideMark/>
          </w:tcPr>
          <w:p w:rsidR="00195AC2" w:rsidRPr="000059D6" w:rsidRDefault="00195AC2" w:rsidP="00430779">
            <w:pPr>
              <w:spacing w:after="200" w:line="276" w:lineRule="auto"/>
              <w:cnfStyle w:val="100000000000" w:firstRow="1" w:lastRow="0" w:firstColumn="0" w:lastColumn="0" w:oddVBand="0" w:evenVBand="0" w:oddHBand="0" w:evenHBand="0" w:firstRowFirstColumn="0" w:firstRowLastColumn="0" w:lastRowFirstColumn="0" w:lastRowLastColumn="0"/>
              <w:rPr>
                <w:rFonts w:cs="Times New Roman"/>
                <w:color w:val="auto"/>
                <w:sz w:val="20"/>
                <w:szCs w:val="20"/>
                <w:lang w:val="en-US" w:eastAsia="bg-BG"/>
              </w:rPr>
            </w:pPr>
            <w:proofErr w:type="spellStart"/>
            <w:r w:rsidRPr="000059D6">
              <w:rPr>
                <w:rFonts w:cs="Times New Roman"/>
                <w:color w:val="auto"/>
                <w:sz w:val="20"/>
                <w:szCs w:val="20"/>
                <w:lang w:val="en-US" w:eastAsia="bg-BG"/>
              </w:rPr>
              <w:t>Процент</w:t>
            </w:r>
            <w:proofErr w:type="spellEnd"/>
            <w:r w:rsidRPr="000059D6">
              <w:rPr>
                <w:rFonts w:cs="Times New Roman"/>
                <w:color w:val="auto"/>
                <w:sz w:val="20"/>
                <w:szCs w:val="20"/>
                <w:lang w:val="en-US" w:eastAsia="bg-BG"/>
              </w:rPr>
              <w:t xml:space="preserve"> </w:t>
            </w:r>
            <w:proofErr w:type="spellStart"/>
            <w:r w:rsidRPr="000059D6">
              <w:rPr>
                <w:rFonts w:cs="Times New Roman"/>
                <w:color w:val="auto"/>
                <w:sz w:val="20"/>
                <w:szCs w:val="20"/>
                <w:lang w:val="en-US" w:eastAsia="bg-BG"/>
              </w:rPr>
              <w:t>от</w:t>
            </w:r>
            <w:proofErr w:type="spellEnd"/>
            <w:r w:rsidRPr="000059D6">
              <w:rPr>
                <w:rFonts w:cs="Times New Roman"/>
                <w:color w:val="auto"/>
                <w:sz w:val="20"/>
                <w:szCs w:val="20"/>
                <w:lang w:val="en-US" w:eastAsia="bg-BG"/>
              </w:rPr>
              <w:t xml:space="preserve"> </w:t>
            </w:r>
            <w:r w:rsidRPr="000059D6">
              <w:rPr>
                <w:rFonts w:cs="Times New Roman"/>
                <w:color w:val="auto"/>
                <w:sz w:val="20"/>
                <w:szCs w:val="20"/>
                <w:lang w:val="en-US" w:eastAsia="bg-BG"/>
              </w:rPr>
              <w:br/>
            </w:r>
            <w:proofErr w:type="spellStart"/>
            <w:r w:rsidRPr="000059D6">
              <w:rPr>
                <w:rFonts w:cs="Times New Roman"/>
                <w:color w:val="auto"/>
                <w:sz w:val="20"/>
                <w:szCs w:val="20"/>
                <w:lang w:val="en-US" w:eastAsia="bg-BG"/>
              </w:rPr>
              <w:t>общия</w:t>
            </w:r>
            <w:proofErr w:type="spellEnd"/>
            <w:r w:rsidRPr="000059D6">
              <w:rPr>
                <w:rFonts w:cs="Times New Roman"/>
                <w:color w:val="auto"/>
                <w:sz w:val="20"/>
                <w:szCs w:val="20"/>
                <w:lang w:val="en-US" w:eastAsia="bg-BG"/>
              </w:rPr>
              <w:t xml:space="preserve"> </w:t>
            </w:r>
            <w:proofErr w:type="spellStart"/>
            <w:r w:rsidRPr="000059D6">
              <w:rPr>
                <w:rFonts w:cs="Times New Roman"/>
                <w:color w:val="auto"/>
                <w:sz w:val="20"/>
                <w:szCs w:val="20"/>
                <w:lang w:val="en-US" w:eastAsia="bg-BG"/>
              </w:rPr>
              <w:t>бюджет</w:t>
            </w:r>
            <w:proofErr w:type="spellEnd"/>
            <w:r w:rsidRPr="000059D6">
              <w:rPr>
                <w:rFonts w:cs="Times New Roman"/>
                <w:color w:val="auto"/>
                <w:sz w:val="20"/>
                <w:szCs w:val="20"/>
                <w:lang w:val="en-US" w:eastAsia="bg-BG"/>
              </w:rPr>
              <w:t xml:space="preserve"> </w:t>
            </w:r>
          </w:p>
        </w:tc>
      </w:tr>
      <w:tr w:rsidR="000059D6" w:rsidRPr="000059D6" w:rsidTr="00005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shd w:val="clear" w:color="auto" w:fill="FFFFFF" w:themeFill="background1"/>
            <w:hideMark/>
          </w:tcPr>
          <w:p w:rsidR="00195AC2" w:rsidRPr="000059D6" w:rsidRDefault="00195AC2" w:rsidP="00430779">
            <w:pPr>
              <w:spacing w:after="200" w:line="276" w:lineRule="auto"/>
              <w:rPr>
                <w:rFonts w:cs="Times New Roman"/>
                <w:color w:val="auto"/>
                <w:sz w:val="20"/>
                <w:szCs w:val="20"/>
                <w:lang w:val="en-US" w:eastAsia="bg-BG"/>
              </w:rPr>
            </w:pPr>
            <w:proofErr w:type="spellStart"/>
            <w:r w:rsidRPr="000059D6">
              <w:rPr>
                <w:rFonts w:cs="Times New Roman"/>
                <w:color w:val="auto"/>
                <w:sz w:val="20"/>
                <w:szCs w:val="20"/>
                <w:lang w:val="en-US" w:eastAsia="bg-BG"/>
              </w:rPr>
              <w:t>Биологически</w:t>
            </w:r>
            <w:proofErr w:type="spellEnd"/>
            <w:r w:rsidRPr="000059D6">
              <w:rPr>
                <w:rFonts w:cs="Times New Roman"/>
                <w:color w:val="auto"/>
                <w:sz w:val="20"/>
                <w:szCs w:val="20"/>
                <w:lang w:val="en-US" w:eastAsia="bg-BG"/>
              </w:rPr>
              <w:t xml:space="preserve"> </w:t>
            </w:r>
            <w:proofErr w:type="spellStart"/>
            <w:r w:rsidRPr="000059D6">
              <w:rPr>
                <w:rFonts w:cs="Times New Roman"/>
                <w:color w:val="auto"/>
                <w:sz w:val="20"/>
                <w:szCs w:val="20"/>
                <w:lang w:val="en-US" w:eastAsia="bg-BG"/>
              </w:rPr>
              <w:t>науки</w:t>
            </w:r>
            <w:proofErr w:type="spellEnd"/>
          </w:p>
        </w:tc>
        <w:tc>
          <w:tcPr>
            <w:tcW w:w="1984" w:type="dxa"/>
            <w:shd w:val="clear" w:color="auto" w:fill="FFFFFF" w:themeFill="background1"/>
            <w:vAlign w:val="bottom"/>
            <w:hideMark/>
          </w:tcPr>
          <w:p w:rsidR="00195AC2" w:rsidRPr="000059D6" w:rsidRDefault="00195AC2" w:rsidP="00430779">
            <w:pPr>
              <w:spacing w:after="200" w:line="276"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US" w:eastAsia="bg-BG"/>
              </w:rPr>
            </w:pPr>
            <w:r w:rsidRPr="000059D6">
              <w:rPr>
                <w:rFonts w:cs="Times New Roman"/>
                <w:color w:val="auto"/>
                <w:sz w:val="20"/>
                <w:szCs w:val="20"/>
                <w:lang w:val="en-US" w:eastAsia="bg-BG"/>
              </w:rPr>
              <w:t>78 000</w:t>
            </w:r>
          </w:p>
        </w:tc>
        <w:tc>
          <w:tcPr>
            <w:tcW w:w="1951" w:type="dxa"/>
            <w:shd w:val="clear" w:color="auto" w:fill="FFFFFF" w:themeFill="background1"/>
            <w:vAlign w:val="bottom"/>
            <w:hideMark/>
          </w:tcPr>
          <w:p w:rsidR="00195AC2" w:rsidRPr="000059D6" w:rsidRDefault="00195AC2" w:rsidP="00430779">
            <w:pPr>
              <w:spacing w:after="200" w:line="276"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US" w:eastAsia="bg-BG"/>
              </w:rPr>
            </w:pPr>
            <w:r w:rsidRPr="000059D6">
              <w:rPr>
                <w:rFonts w:cs="Times New Roman"/>
                <w:color w:val="auto"/>
                <w:sz w:val="20"/>
                <w:szCs w:val="20"/>
                <w:lang w:val="en-US" w:eastAsia="bg-BG"/>
              </w:rPr>
              <w:t>13%</w:t>
            </w:r>
          </w:p>
        </w:tc>
      </w:tr>
      <w:tr w:rsidR="000059D6" w:rsidRPr="000059D6" w:rsidTr="000059D6">
        <w:tc>
          <w:tcPr>
            <w:cnfStyle w:val="001000000000" w:firstRow="0" w:lastRow="0" w:firstColumn="1" w:lastColumn="0" w:oddVBand="0" w:evenVBand="0" w:oddHBand="0" w:evenHBand="0" w:firstRowFirstColumn="0" w:firstRowLastColumn="0" w:lastRowFirstColumn="0" w:lastRowLastColumn="0"/>
            <w:tcW w:w="3936" w:type="dxa"/>
            <w:shd w:val="clear" w:color="auto" w:fill="DAEEF3" w:themeFill="accent5" w:themeFillTint="33"/>
            <w:hideMark/>
          </w:tcPr>
          <w:p w:rsidR="00195AC2" w:rsidRPr="000059D6" w:rsidRDefault="00195AC2" w:rsidP="00430779">
            <w:pPr>
              <w:spacing w:after="200" w:line="276" w:lineRule="auto"/>
              <w:rPr>
                <w:rFonts w:cs="Times New Roman"/>
                <w:color w:val="auto"/>
                <w:sz w:val="20"/>
                <w:szCs w:val="20"/>
                <w:lang w:val="en-US" w:eastAsia="bg-BG"/>
              </w:rPr>
            </w:pPr>
            <w:proofErr w:type="spellStart"/>
            <w:r w:rsidRPr="000059D6">
              <w:rPr>
                <w:rFonts w:cs="Times New Roman"/>
                <w:color w:val="auto"/>
                <w:sz w:val="20"/>
                <w:szCs w:val="20"/>
                <w:lang w:val="en-US" w:eastAsia="bg-BG"/>
              </w:rPr>
              <w:t>Математически</w:t>
            </w:r>
            <w:proofErr w:type="spellEnd"/>
            <w:r w:rsidRPr="000059D6">
              <w:rPr>
                <w:rFonts w:cs="Times New Roman"/>
                <w:color w:val="auto"/>
                <w:sz w:val="20"/>
                <w:szCs w:val="20"/>
                <w:lang w:val="en-US" w:eastAsia="bg-BG"/>
              </w:rPr>
              <w:t xml:space="preserve"> </w:t>
            </w:r>
            <w:proofErr w:type="spellStart"/>
            <w:r w:rsidRPr="000059D6">
              <w:rPr>
                <w:rFonts w:cs="Times New Roman"/>
                <w:color w:val="auto"/>
                <w:sz w:val="20"/>
                <w:szCs w:val="20"/>
                <w:lang w:val="en-US" w:eastAsia="bg-BG"/>
              </w:rPr>
              <w:t>науки</w:t>
            </w:r>
            <w:proofErr w:type="spellEnd"/>
            <w:r w:rsidRPr="000059D6">
              <w:rPr>
                <w:rFonts w:cs="Times New Roman"/>
                <w:color w:val="auto"/>
                <w:sz w:val="20"/>
                <w:szCs w:val="20"/>
                <w:lang w:val="en-US" w:eastAsia="bg-BG"/>
              </w:rPr>
              <w:t xml:space="preserve"> и </w:t>
            </w:r>
            <w:proofErr w:type="spellStart"/>
            <w:r w:rsidRPr="000059D6">
              <w:rPr>
                <w:rFonts w:cs="Times New Roman"/>
                <w:color w:val="auto"/>
                <w:sz w:val="20"/>
                <w:szCs w:val="20"/>
                <w:lang w:val="en-US" w:eastAsia="bg-BG"/>
              </w:rPr>
              <w:t>информатика</w:t>
            </w:r>
            <w:proofErr w:type="spellEnd"/>
          </w:p>
        </w:tc>
        <w:tc>
          <w:tcPr>
            <w:tcW w:w="1984" w:type="dxa"/>
            <w:shd w:val="clear" w:color="auto" w:fill="DAEEF3" w:themeFill="accent5" w:themeFillTint="33"/>
            <w:vAlign w:val="bottom"/>
            <w:hideMark/>
          </w:tcPr>
          <w:p w:rsidR="00195AC2" w:rsidRPr="000059D6" w:rsidRDefault="00195AC2" w:rsidP="00430779">
            <w:pPr>
              <w:spacing w:after="200" w:line="276"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US" w:eastAsia="bg-BG"/>
              </w:rPr>
            </w:pPr>
            <w:r w:rsidRPr="000059D6">
              <w:rPr>
                <w:rFonts w:cs="Times New Roman"/>
                <w:color w:val="auto"/>
                <w:sz w:val="20"/>
                <w:szCs w:val="20"/>
                <w:lang w:val="en-US" w:eastAsia="bg-BG"/>
              </w:rPr>
              <w:t>42 000</w:t>
            </w:r>
          </w:p>
        </w:tc>
        <w:tc>
          <w:tcPr>
            <w:tcW w:w="1951" w:type="dxa"/>
            <w:shd w:val="clear" w:color="auto" w:fill="DAEEF3" w:themeFill="accent5" w:themeFillTint="33"/>
            <w:vAlign w:val="bottom"/>
            <w:hideMark/>
          </w:tcPr>
          <w:p w:rsidR="00195AC2" w:rsidRPr="000059D6" w:rsidRDefault="00195AC2" w:rsidP="00430779">
            <w:pPr>
              <w:spacing w:after="200" w:line="276"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US" w:eastAsia="bg-BG"/>
              </w:rPr>
            </w:pPr>
            <w:r w:rsidRPr="000059D6">
              <w:rPr>
                <w:rFonts w:cs="Times New Roman"/>
                <w:color w:val="auto"/>
                <w:sz w:val="20"/>
                <w:szCs w:val="20"/>
                <w:lang w:val="en-US" w:eastAsia="bg-BG"/>
              </w:rPr>
              <w:t>7%</w:t>
            </w:r>
          </w:p>
        </w:tc>
      </w:tr>
      <w:tr w:rsidR="000059D6" w:rsidRPr="000059D6" w:rsidTr="00005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shd w:val="clear" w:color="auto" w:fill="FFFFFF" w:themeFill="background1"/>
            <w:hideMark/>
          </w:tcPr>
          <w:p w:rsidR="00195AC2" w:rsidRPr="000059D6" w:rsidRDefault="00195AC2" w:rsidP="00430779">
            <w:pPr>
              <w:spacing w:after="200" w:line="276" w:lineRule="auto"/>
              <w:rPr>
                <w:rFonts w:cs="Times New Roman"/>
                <w:color w:val="auto"/>
                <w:sz w:val="20"/>
                <w:szCs w:val="20"/>
                <w:lang w:val="en-US" w:eastAsia="bg-BG"/>
              </w:rPr>
            </w:pPr>
            <w:proofErr w:type="spellStart"/>
            <w:r w:rsidRPr="000059D6">
              <w:rPr>
                <w:rFonts w:cs="Times New Roman"/>
                <w:color w:val="auto"/>
                <w:sz w:val="20"/>
                <w:szCs w:val="20"/>
                <w:lang w:val="en-US" w:eastAsia="bg-BG"/>
              </w:rPr>
              <w:t>Медицински</w:t>
            </w:r>
            <w:proofErr w:type="spellEnd"/>
            <w:r w:rsidRPr="000059D6">
              <w:rPr>
                <w:rFonts w:cs="Times New Roman"/>
                <w:color w:val="auto"/>
                <w:sz w:val="20"/>
                <w:szCs w:val="20"/>
                <w:lang w:val="en-US" w:eastAsia="bg-BG"/>
              </w:rPr>
              <w:t xml:space="preserve"> </w:t>
            </w:r>
            <w:proofErr w:type="spellStart"/>
            <w:r w:rsidRPr="000059D6">
              <w:rPr>
                <w:rFonts w:cs="Times New Roman"/>
                <w:color w:val="auto"/>
                <w:sz w:val="20"/>
                <w:szCs w:val="20"/>
                <w:lang w:val="en-US" w:eastAsia="bg-BG"/>
              </w:rPr>
              <w:t>науки</w:t>
            </w:r>
            <w:proofErr w:type="spellEnd"/>
          </w:p>
        </w:tc>
        <w:tc>
          <w:tcPr>
            <w:tcW w:w="1984" w:type="dxa"/>
            <w:shd w:val="clear" w:color="auto" w:fill="FFFFFF" w:themeFill="background1"/>
            <w:vAlign w:val="bottom"/>
            <w:hideMark/>
          </w:tcPr>
          <w:p w:rsidR="00195AC2" w:rsidRPr="000059D6" w:rsidRDefault="00195AC2" w:rsidP="00430779">
            <w:pPr>
              <w:spacing w:after="200" w:line="276"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US" w:eastAsia="bg-BG"/>
              </w:rPr>
            </w:pPr>
            <w:r w:rsidRPr="000059D6">
              <w:rPr>
                <w:rFonts w:cs="Times New Roman"/>
                <w:color w:val="auto"/>
                <w:sz w:val="20"/>
                <w:szCs w:val="20"/>
                <w:lang w:val="en-US" w:eastAsia="bg-BG"/>
              </w:rPr>
              <w:t>60 000</w:t>
            </w:r>
          </w:p>
        </w:tc>
        <w:tc>
          <w:tcPr>
            <w:tcW w:w="1951" w:type="dxa"/>
            <w:shd w:val="clear" w:color="auto" w:fill="FFFFFF" w:themeFill="background1"/>
            <w:vAlign w:val="bottom"/>
            <w:hideMark/>
          </w:tcPr>
          <w:p w:rsidR="00195AC2" w:rsidRPr="000059D6" w:rsidRDefault="00195AC2" w:rsidP="00430779">
            <w:pPr>
              <w:spacing w:after="200" w:line="276"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US" w:eastAsia="bg-BG"/>
              </w:rPr>
            </w:pPr>
            <w:r w:rsidRPr="000059D6">
              <w:rPr>
                <w:rFonts w:cs="Times New Roman"/>
                <w:color w:val="auto"/>
                <w:sz w:val="20"/>
                <w:szCs w:val="20"/>
                <w:lang w:val="en-US" w:eastAsia="bg-BG"/>
              </w:rPr>
              <w:t>10%</w:t>
            </w:r>
          </w:p>
        </w:tc>
      </w:tr>
      <w:tr w:rsidR="000059D6" w:rsidRPr="000059D6" w:rsidTr="000059D6">
        <w:tc>
          <w:tcPr>
            <w:cnfStyle w:val="001000000000" w:firstRow="0" w:lastRow="0" w:firstColumn="1" w:lastColumn="0" w:oddVBand="0" w:evenVBand="0" w:oddHBand="0" w:evenHBand="0" w:firstRowFirstColumn="0" w:firstRowLastColumn="0" w:lastRowFirstColumn="0" w:lastRowLastColumn="0"/>
            <w:tcW w:w="3936" w:type="dxa"/>
            <w:shd w:val="clear" w:color="auto" w:fill="DAEEF3" w:themeFill="accent5" w:themeFillTint="33"/>
            <w:hideMark/>
          </w:tcPr>
          <w:p w:rsidR="00195AC2" w:rsidRPr="000059D6" w:rsidRDefault="00195AC2" w:rsidP="00430779">
            <w:pPr>
              <w:spacing w:after="200" w:line="276" w:lineRule="auto"/>
              <w:rPr>
                <w:rFonts w:cs="Times New Roman"/>
                <w:color w:val="auto"/>
                <w:sz w:val="20"/>
                <w:szCs w:val="20"/>
                <w:lang w:val="en-US" w:eastAsia="bg-BG"/>
              </w:rPr>
            </w:pPr>
            <w:proofErr w:type="spellStart"/>
            <w:r w:rsidRPr="000059D6">
              <w:rPr>
                <w:rFonts w:cs="Times New Roman"/>
                <w:color w:val="auto"/>
                <w:sz w:val="20"/>
                <w:szCs w:val="20"/>
                <w:lang w:val="en-US" w:eastAsia="bg-BG"/>
              </w:rPr>
              <w:t>Науки</w:t>
            </w:r>
            <w:proofErr w:type="spellEnd"/>
            <w:r w:rsidRPr="000059D6">
              <w:rPr>
                <w:rFonts w:cs="Times New Roman"/>
                <w:color w:val="auto"/>
                <w:sz w:val="20"/>
                <w:szCs w:val="20"/>
                <w:lang w:val="en-US" w:eastAsia="bg-BG"/>
              </w:rPr>
              <w:t xml:space="preserve"> </w:t>
            </w:r>
            <w:proofErr w:type="spellStart"/>
            <w:r w:rsidRPr="000059D6">
              <w:rPr>
                <w:rFonts w:cs="Times New Roman"/>
                <w:color w:val="auto"/>
                <w:sz w:val="20"/>
                <w:szCs w:val="20"/>
                <w:lang w:val="en-US" w:eastAsia="bg-BG"/>
              </w:rPr>
              <w:t>за</w:t>
            </w:r>
            <w:proofErr w:type="spellEnd"/>
            <w:r w:rsidRPr="000059D6">
              <w:rPr>
                <w:rFonts w:cs="Times New Roman"/>
                <w:color w:val="auto"/>
                <w:sz w:val="20"/>
                <w:szCs w:val="20"/>
                <w:lang w:val="en-US" w:eastAsia="bg-BG"/>
              </w:rPr>
              <w:t xml:space="preserve"> </w:t>
            </w:r>
            <w:proofErr w:type="spellStart"/>
            <w:r w:rsidRPr="000059D6">
              <w:rPr>
                <w:rFonts w:cs="Times New Roman"/>
                <w:color w:val="auto"/>
                <w:sz w:val="20"/>
                <w:szCs w:val="20"/>
                <w:lang w:val="en-US" w:eastAsia="bg-BG"/>
              </w:rPr>
              <w:t>земята</w:t>
            </w:r>
            <w:proofErr w:type="spellEnd"/>
          </w:p>
        </w:tc>
        <w:tc>
          <w:tcPr>
            <w:tcW w:w="1984" w:type="dxa"/>
            <w:shd w:val="clear" w:color="auto" w:fill="DAEEF3" w:themeFill="accent5" w:themeFillTint="33"/>
            <w:vAlign w:val="bottom"/>
            <w:hideMark/>
          </w:tcPr>
          <w:p w:rsidR="00195AC2" w:rsidRPr="000059D6" w:rsidRDefault="00195AC2" w:rsidP="00430779">
            <w:pPr>
              <w:spacing w:after="200" w:line="276"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US" w:eastAsia="bg-BG"/>
              </w:rPr>
            </w:pPr>
            <w:r w:rsidRPr="000059D6">
              <w:rPr>
                <w:rFonts w:cs="Times New Roman"/>
                <w:color w:val="auto"/>
                <w:sz w:val="20"/>
                <w:szCs w:val="20"/>
                <w:lang w:val="en-US" w:eastAsia="bg-BG"/>
              </w:rPr>
              <w:t>30 000</w:t>
            </w:r>
          </w:p>
        </w:tc>
        <w:tc>
          <w:tcPr>
            <w:tcW w:w="1951" w:type="dxa"/>
            <w:shd w:val="clear" w:color="auto" w:fill="DAEEF3" w:themeFill="accent5" w:themeFillTint="33"/>
            <w:vAlign w:val="bottom"/>
            <w:hideMark/>
          </w:tcPr>
          <w:p w:rsidR="00195AC2" w:rsidRPr="000059D6" w:rsidRDefault="00195AC2" w:rsidP="00430779">
            <w:pPr>
              <w:spacing w:after="200" w:line="276"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US" w:eastAsia="bg-BG"/>
              </w:rPr>
            </w:pPr>
            <w:r w:rsidRPr="000059D6">
              <w:rPr>
                <w:rFonts w:cs="Times New Roman"/>
                <w:color w:val="auto"/>
                <w:sz w:val="20"/>
                <w:szCs w:val="20"/>
                <w:lang w:val="en-US" w:eastAsia="bg-BG"/>
              </w:rPr>
              <w:t>5%</w:t>
            </w:r>
          </w:p>
        </w:tc>
      </w:tr>
      <w:tr w:rsidR="000059D6" w:rsidRPr="000059D6" w:rsidTr="00005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shd w:val="clear" w:color="auto" w:fill="FFFFFF" w:themeFill="background1"/>
            <w:hideMark/>
          </w:tcPr>
          <w:p w:rsidR="00195AC2" w:rsidRPr="000059D6" w:rsidRDefault="00195AC2" w:rsidP="00430779">
            <w:pPr>
              <w:spacing w:after="200" w:line="276" w:lineRule="auto"/>
              <w:rPr>
                <w:rFonts w:cs="Times New Roman"/>
                <w:color w:val="auto"/>
                <w:sz w:val="20"/>
                <w:szCs w:val="20"/>
                <w:lang w:val="en-US" w:eastAsia="bg-BG"/>
              </w:rPr>
            </w:pPr>
            <w:proofErr w:type="spellStart"/>
            <w:r w:rsidRPr="000059D6">
              <w:rPr>
                <w:rFonts w:cs="Times New Roman"/>
                <w:color w:val="auto"/>
                <w:sz w:val="20"/>
                <w:szCs w:val="20"/>
                <w:lang w:val="en-US" w:eastAsia="bg-BG"/>
              </w:rPr>
              <w:t>Обществени</w:t>
            </w:r>
            <w:proofErr w:type="spellEnd"/>
            <w:r w:rsidRPr="000059D6">
              <w:rPr>
                <w:rFonts w:cs="Times New Roman"/>
                <w:color w:val="auto"/>
                <w:sz w:val="20"/>
                <w:szCs w:val="20"/>
                <w:lang w:val="en-US" w:eastAsia="bg-BG"/>
              </w:rPr>
              <w:t xml:space="preserve"> </w:t>
            </w:r>
            <w:proofErr w:type="spellStart"/>
            <w:r w:rsidRPr="000059D6">
              <w:rPr>
                <w:rFonts w:cs="Times New Roman"/>
                <w:color w:val="auto"/>
                <w:sz w:val="20"/>
                <w:szCs w:val="20"/>
                <w:lang w:val="en-US" w:eastAsia="bg-BG"/>
              </w:rPr>
              <w:t>науки</w:t>
            </w:r>
            <w:proofErr w:type="spellEnd"/>
          </w:p>
        </w:tc>
        <w:tc>
          <w:tcPr>
            <w:tcW w:w="1984" w:type="dxa"/>
            <w:shd w:val="clear" w:color="auto" w:fill="FFFFFF" w:themeFill="background1"/>
            <w:vAlign w:val="bottom"/>
            <w:hideMark/>
          </w:tcPr>
          <w:p w:rsidR="00195AC2" w:rsidRPr="000059D6" w:rsidRDefault="00195AC2" w:rsidP="00430779">
            <w:pPr>
              <w:spacing w:after="200" w:line="276"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US" w:eastAsia="bg-BG"/>
              </w:rPr>
            </w:pPr>
            <w:r w:rsidRPr="000059D6">
              <w:rPr>
                <w:rFonts w:cs="Times New Roman"/>
                <w:color w:val="auto"/>
                <w:sz w:val="20"/>
                <w:szCs w:val="20"/>
                <w:lang w:val="en-US" w:eastAsia="bg-BG"/>
              </w:rPr>
              <w:t>54 000</w:t>
            </w:r>
          </w:p>
        </w:tc>
        <w:tc>
          <w:tcPr>
            <w:tcW w:w="1951" w:type="dxa"/>
            <w:shd w:val="clear" w:color="auto" w:fill="FFFFFF" w:themeFill="background1"/>
            <w:vAlign w:val="bottom"/>
            <w:hideMark/>
          </w:tcPr>
          <w:p w:rsidR="00195AC2" w:rsidRPr="000059D6" w:rsidRDefault="00195AC2" w:rsidP="00430779">
            <w:pPr>
              <w:spacing w:after="200" w:line="276"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US" w:eastAsia="bg-BG"/>
              </w:rPr>
            </w:pPr>
            <w:r w:rsidRPr="000059D6">
              <w:rPr>
                <w:rFonts w:cs="Times New Roman"/>
                <w:color w:val="auto"/>
                <w:sz w:val="20"/>
                <w:szCs w:val="20"/>
                <w:lang w:val="en-US" w:eastAsia="bg-BG"/>
              </w:rPr>
              <w:t>9%</w:t>
            </w:r>
          </w:p>
        </w:tc>
      </w:tr>
      <w:tr w:rsidR="000059D6" w:rsidRPr="000059D6" w:rsidTr="000059D6">
        <w:tc>
          <w:tcPr>
            <w:cnfStyle w:val="001000000000" w:firstRow="0" w:lastRow="0" w:firstColumn="1" w:lastColumn="0" w:oddVBand="0" w:evenVBand="0" w:oddHBand="0" w:evenHBand="0" w:firstRowFirstColumn="0" w:firstRowLastColumn="0" w:lastRowFirstColumn="0" w:lastRowLastColumn="0"/>
            <w:tcW w:w="3936" w:type="dxa"/>
            <w:shd w:val="clear" w:color="auto" w:fill="DAEEF3" w:themeFill="accent5" w:themeFillTint="33"/>
            <w:hideMark/>
          </w:tcPr>
          <w:p w:rsidR="00195AC2" w:rsidRPr="000059D6" w:rsidRDefault="00195AC2" w:rsidP="00430779">
            <w:pPr>
              <w:spacing w:after="200" w:line="276" w:lineRule="auto"/>
              <w:rPr>
                <w:rFonts w:cs="Times New Roman"/>
                <w:color w:val="auto"/>
                <w:sz w:val="20"/>
                <w:szCs w:val="20"/>
                <w:lang w:val="en-US" w:eastAsia="bg-BG"/>
              </w:rPr>
            </w:pPr>
            <w:proofErr w:type="spellStart"/>
            <w:r w:rsidRPr="000059D6">
              <w:rPr>
                <w:rFonts w:cs="Times New Roman"/>
                <w:color w:val="auto"/>
                <w:sz w:val="20"/>
                <w:szCs w:val="20"/>
                <w:lang w:val="en-US" w:eastAsia="bg-BG"/>
              </w:rPr>
              <w:t>Селскостопански</w:t>
            </w:r>
            <w:proofErr w:type="spellEnd"/>
            <w:r w:rsidRPr="000059D6">
              <w:rPr>
                <w:rFonts w:cs="Times New Roman"/>
                <w:color w:val="auto"/>
                <w:sz w:val="20"/>
                <w:szCs w:val="20"/>
                <w:lang w:val="en-US" w:eastAsia="bg-BG"/>
              </w:rPr>
              <w:t xml:space="preserve"> </w:t>
            </w:r>
            <w:proofErr w:type="spellStart"/>
            <w:r w:rsidRPr="000059D6">
              <w:rPr>
                <w:rFonts w:cs="Times New Roman"/>
                <w:color w:val="auto"/>
                <w:sz w:val="20"/>
                <w:szCs w:val="20"/>
                <w:lang w:val="en-US" w:eastAsia="bg-BG"/>
              </w:rPr>
              <w:t>науки</w:t>
            </w:r>
            <w:proofErr w:type="spellEnd"/>
          </w:p>
        </w:tc>
        <w:tc>
          <w:tcPr>
            <w:tcW w:w="1984" w:type="dxa"/>
            <w:shd w:val="clear" w:color="auto" w:fill="DAEEF3" w:themeFill="accent5" w:themeFillTint="33"/>
            <w:vAlign w:val="bottom"/>
            <w:hideMark/>
          </w:tcPr>
          <w:p w:rsidR="00195AC2" w:rsidRPr="000059D6" w:rsidRDefault="00195AC2" w:rsidP="00430779">
            <w:pPr>
              <w:spacing w:after="200" w:line="276"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US" w:eastAsia="bg-BG"/>
              </w:rPr>
            </w:pPr>
            <w:r w:rsidRPr="000059D6">
              <w:rPr>
                <w:rFonts w:cs="Times New Roman"/>
                <w:color w:val="auto"/>
                <w:sz w:val="20"/>
                <w:szCs w:val="20"/>
                <w:lang w:val="en-US" w:eastAsia="bg-BG"/>
              </w:rPr>
              <w:t>48 000</w:t>
            </w:r>
          </w:p>
        </w:tc>
        <w:tc>
          <w:tcPr>
            <w:tcW w:w="1951" w:type="dxa"/>
            <w:shd w:val="clear" w:color="auto" w:fill="DAEEF3" w:themeFill="accent5" w:themeFillTint="33"/>
            <w:vAlign w:val="bottom"/>
            <w:hideMark/>
          </w:tcPr>
          <w:p w:rsidR="00195AC2" w:rsidRPr="000059D6" w:rsidRDefault="00195AC2" w:rsidP="00430779">
            <w:pPr>
              <w:spacing w:after="200" w:line="276"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US" w:eastAsia="bg-BG"/>
              </w:rPr>
            </w:pPr>
            <w:r w:rsidRPr="000059D6">
              <w:rPr>
                <w:rFonts w:cs="Times New Roman"/>
                <w:color w:val="auto"/>
                <w:sz w:val="20"/>
                <w:szCs w:val="20"/>
                <w:lang w:val="en-US" w:eastAsia="bg-BG"/>
              </w:rPr>
              <w:t>8%</w:t>
            </w:r>
          </w:p>
        </w:tc>
      </w:tr>
      <w:tr w:rsidR="000059D6" w:rsidRPr="000059D6" w:rsidTr="00005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shd w:val="clear" w:color="auto" w:fill="FFFFFF" w:themeFill="background1"/>
            <w:hideMark/>
          </w:tcPr>
          <w:p w:rsidR="00195AC2" w:rsidRPr="000059D6" w:rsidRDefault="00195AC2" w:rsidP="00430779">
            <w:pPr>
              <w:spacing w:after="200" w:line="276" w:lineRule="auto"/>
              <w:rPr>
                <w:rFonts w:cs="Times New Roman"/>
                <w:color w:val="auto"/>
                <w:sz w:val="20"/>
                <w:szCs w:val="20"/>
                <w:lang w:val="en-US" w:eastAsia="bg-BG"/>
              </w:rPr>
            </w:pPr>
            <w:proofErr w:type="spellStart"/>
            <w:r w:rsidRPr="000059D6">
              <w:rPr>
                <w:rFonts w:cs="Times New Roman"/>
                <w:color w:val="auto"/>
                <w:sz w:val="20"/>
                <w:szCs w:val="20"/>
                <w:lang w:val="en-US" w:eastAsia="bg-BG"/>
              </w:rPr>
              <w:t>Технически</w:t>
            </w:r>
            <w:proofErr w:type="spellEnd"/>
            <w:r w:rsidRPr="000059D6">
              <w:rPr>
                <w:rFonts w:cs="Times New Roman"/>
                <w:color w:val="auto"/>
                <w:sz w:val="20"/>
                <w:szCs w:val="20"/>
                <w:lang w:val="en-US" w:eastAsia="bg-BG"/>
              </w:rPr>
              <w:t xml:space="preserve"> </w:t>
            </w:r>
            <w:proofErr w:type="spellStart"/>
            <w:r w:rsidRPr="000059D6">
              <w:rPr>
                <w:rFonts w:cs="Times New Roman"/>
                <w:color w:val="auto"/>
                <w:sz w:val="20"/>
                <w:szCs w:val="20"/>
                <w:lang w:val="en-US" w:eastAsia="bg-BG"/>
              </w:rPr>
              <w:t>науки</w:t>
            </w:r>
            <w:proofErr w:type="spellEnd"/>
          </w:p>
        </w:tc>
        <w:tc>
          <w:tcPr>
            <w:tcW w:w="1984" w:type="dxa"/>
            <w:shd w:val="clear" w:color="auto" w:fill="FFFFFF" w:themeFill="background1"/>
            <w:vAlign w:val="bottom"/>
            <w:hideMark/>
          </w:tcPr>
          <w:p w:rsidR="00195AC2" w:rsidRPr="000059D6" w:rsidRDefault="00195AC2" w:rsidP="00430779">
            <w:pPr>
              <w:spacing w:after="200" w:line="276"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US" w:eastAsia="bg-BG"/>
              </w:rPr>
            </w:pPr>
            <w:r w:rsidRPr="000059D6">
              <w:rPr>
                <w:rFonts w:cs="Times New Roman"/>
                <w:color w:val="auto"/>
                <w:sz w:val="20"/>
                <w:szCs w:val="20"/>
                <w:lang w:val="en-US" w:eastAsia="bg-BG"/>
              </w:rPr>
              <w:t>102 000</w:t>
            </w:r>
          </w:p>
        </w:tc>
        <w:tc>
          <w:tcPr>
            <w:tcW w:w="1951" w:type="dxa"/>
            <w:shd w:val="clear" w:color="auto" w:fill="FFFFFF" w:themeFill="background1"/>
            <w:vAlign w:val="bottom"/>
            <w:hideMark/>
          </w:tcPr>
          <w:p w:rsidR="00195AC2" w:rsidRPr="000059D6" w:rsidRDefault="00195AC2" w:rsidP="00430779">
            <w:pPr>
              <w:spacing w:after="200" w:line="276"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US" w:eastAsia="bg-BG"/>
              </w:rPr>
            </w:pPr>
            <w:r w:rsidRPr="000059D6">
              <w:rPr>
                <w:rFonts w:cs="Times New Roman"/>
                <w:color w:val="auto"/>
                <w:sz w:val="20"/>
                <w:szCs w:val="20"/>
                <w:lang w:val="en-US" w:eastAsia="bg-BG"/>
              </w:rPr>
              <w:t>17%</w:t>
            </w:r>
          </w:p>
        </w:tc>
      </w:tr>
      <w:tr w:rsidR="000059D6" w:rsidRPr="000059D6" w:rsidTr="000059D6">
        <w:tc>
          <w:tcPr>
            <w:cnfStyle w:val="001000000000" w:firstRow="0" w:lastRow="0" w:firstColumn="1" w:lastColumn="0" w:oddVBand="0" w:evenVBand="0" w:oddHBand="0" w:evenHBand="0" w:firstRowFirstColumn="0" w:firstRowLastColumn="0" w:lastRowFirstColumn="0" w:lastRowLastColumn="0"/>
            <w:tcW w:w="3936" w:type="dxa"/>
            <w:shd w:val="clear" w:color="auto" w:fill="DAEEF3" w:themeFill="accent5" w:themeFillTint="33"/>
            <w:hideMark/>
          </w:tcPr>
          <w:p w:rsidR="00195AC2" w:rsidRPr="000059D6" w:rsidRDefault="00195AC2" w:rsidP="00430779">
            <w:pPr>
              <w:spacing w:after="200" w:line="276" w:lineRule="auto"/>
              <w:rPr>
                <w:rFonts w:cs="Times New Roman"/>
                <w:color w:val="auto"/>
                <w:sz w:val="20"/>
                <w:szCs w:val="20"/>
                <w:lang w:val="en-US" w:eastAsia="bg-BG"/>
              </w:rPr>
            </w:pPr>
            <w:proofErr w:type="spellStart"/>
            <w:r w:rsidRPr="000059D6">
              <w:rPr>
                <w:rFonts w:cs="Times New Roman"/>
                <w:color w:val="auto"/>
                <w:sz w:val="20"/>
                <w:szCs w:val="20"/>
                <w:lang w:val="en-US" w:eastAsia="bg-BG"/>
              </w:rPr>
              <w:t>Физически</w:t>
            </w:r>
            <w:proofErr w:type="spellEnd"/>
            <w:r w:rsidRPr="000059D6">
              <w:rPr>
                <w:rFonts w:cs="Times New Roman"/>
                <w:color w:val="auto"/>
                <w:sz w:val="20"/>
                <w:szCs w:val="20"/>
                <w:lang w:val="en-US" w:eastAsia="bg-BG"/>
              </w:rPr>
              <w:t xml:space="preserve"> </w:t>
            </w:r>
            <w:proofErr w:type="spellStart"/>
            <w:r w:rsidRPr="000059D6">
              <w:rPr>
                <w:rFonts w:cs="Times New Roman"/>
                <w:color w:val="auto"/>
                <w:sz w:val="20"/>
                <w:szCs w:val="20"/>
                <w:lang w:val="en-US" w:eastAsia="bg-BG"/>
              </w:rPr>
              <w:t>науки</w:t>
            </w:r>
            <w:proofErr w:type="spellEnd"/>
          </w:p>
        </w:tc>
        <w:tc>
          <w:tcPr>
            <w:tcW w:w="1984" w:type="dxa"/>
            <w:shd w:val="clear" w:color="auto" w:fill="DAEEF3" w:themeFill="accent5" w:themeFillTint="33"/>
            <w:vAlign w:val="bottom"/>
            <w:hideMark/>
          </w:tcPr>
          <w:p w:rsidR="00195AC2" w:rsidRPr="000059D6" w:rsidRDefault="00195AC2" w:rsidP="00430779">
            <w:pPr>
              <w:spacing w:after="200" w:line="276"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US" w:eastAsia="bg-BG"/>
              </w:rPr>
            </w:pPr>
            <w:r w:rsidRPr="000059D6">
              <w:rPr>
                <w:rFonts w:cs="Times New Roman"/>
                <w:color w:val="auto"/>
                <w:sz w:val="20"/>
                <w:szCs w:val="20"/>
                <w:lang w:val="en-US" w:eastAsia="bg-BG"/>
              </w:rPr>
              <w:t>72 000</w:t>
            </w:r>
          </w:p>
        </w:tc>
        <w:tc>
          <w:tcPr>
            <w:tcW w:w="1951" w:type="dxa"/>
            <w:shd w:val="clear" w:color="auto" w:fill="DAEEF3" w:themeFill="accent5" w:themeFillTint="33"/>
            <w:vAlign w:val="bottom"/>
            <w:hideMark/>
          </w:tcPr>
          <w:p w:rsidR="00195AC2" w:rsidRPr="000059D6" w:rsidRDefault="00195AC2" w:rsidP="00430779">
            <w:pPr>
              <w:spacing w:after="200" w:line="276"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US" w:eastAsia="bg-BG"/>
              </w:rPr>
            </w:pPr>
            <w:r w:rsidRPr="000059D6">
              <w:rPr>
                <w:rFonts w:cs="Times New Roman"/>
                <w:color w:val="auto"/>
                <w:sz w:val="20"/>
                <w:szCs w:val="20"/>
                <w:lang w:val="en-US" w:eastAsia="bg-BG"/>
              </w:rPr>
              <w:t>12%</w:t>
            </w:r>
          </w:p>
        </w:tc>
      </w:tr>
      <w:tr w:rsidR="000059D6" w:rsidRPr="000059D6" w:rsidTr="00005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shd w:val="clear" w:color="auto" w:fill="FFFFFF" w:themeFill="background1"/>
            <w:hideMark/>
          </w:tcPr>
          <w:p w:rsidR="00195AC2" w:rsidRPr="000059D6" w:rsidRDefault="00195AC2" w:rsidP="00430779">
            <w:pPr>
              <w:spacing w:after="200" w:line="276" w:lineRule="auto"/>
              <w:rPr>
                <w:rFonts w:cs="Times New Roman"/>
                <w:color w:val="auto"/>
                <w:sz w:val="20"/>
                <w:szCs w:val="20"/>
                <w:lang w:val="en-US" w:eastAsia="bg-BG"/>
              </w:rPr>
            </w:pPr>
            <w:proofErr w:type="spellStart"/>
            <w:r w:rsidRPr="000059D6">
              <w:rPr>
                <w:rFonts w:cs="Times New Roman"/>
                <w:color w:val="auto"/>
                <w:sz w:val="20"/>
                <w:szCs w:val="20"/>
                <w:lang w:val="en-US" w:eastAsia="bg-BG"/>
              </w:rPr>
              <w:t>Химически</w:t>
            </w:r>
            <w:proofErr w:type="spellEnd"/>
            <w:r w:rsidRPr="000059D6">
              <w:rPr>
                <w:rFonts w:cs="Times New Roman"/>
                <w:color w:val="auto"/>
                <w:sz w:val="20"/>
                <w:szCs w:val="20"/>
                <w:lang w:val="en-US" w:eastAsia="bg-BG"/>
              </w:rPr>
              <w:t xml:space="preserve"> </w:t>
            </w:r>
            <w:proofErr w:type="spellStart"/>
            <w:r w:rsidRPr="000059D6">
              <w:rPr>
                <w:rFonts w:cs="Times New Roman"/>
                <w:color w:val="auto"/>
                <w:sz w:val="20"/>
                <w:szCs w:val="20"/>
                <w:lang w:val="en-US" w:eastAsia="bg-BG"/>
              </w:rPr>
              <w:t>науки</w:t>
            </w:r>
            <w:proofErr w:type="spellEnd"/>
          </w:p>
        </w:tc>
        <w:tc>
          <w:tcPr>
            <w:tcW w:w="1984" w:type="dxa"/>
            <w:shd w:val="clear" w:color="auto" w:fill="FFFFFF" w:themeFill="background1"/>
            <w:vAlign w:val="bottom"/>
            <w:hideMark/>
          </w:tcPr>
          <w:p w:rsidR="00195AC2" w:rsidRPr="000059D6" w:rsidRDefault="00195AC2" w:rsidP="00430779">
            <w:pPr>
              <w:spacing w:after="200" w:line="276"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US" w:eastAsia="bg-BG"/>
              </w:rPr>
            </w:pPr>
            <w:r w:rsidRPr="000059D6">
              <w:rPr>
                <w:rFonts w:cs="Times New Roman"/>
                <w:color w:val="auto"/>
                <w:sz w:val="20"/>
                <w:szCs w:val="20"/>
                <w:lang w:val="en-US" w:eastAsia="bg-BG"/>
              </w:rPr>
              <w:t>60 000</w:t>
            </w:r>
          </w:p>
        </w:tc>
        <w:tc>
          <w:tcPr>
            <w:tcW w:w="1951" w:type="dxa"/>
            <w:shd w:val="clear" w:color="auto" w:fill="FFFFFF" w:themeFill="background1"/>
            <w:vAlign w:val="bottom"/>
            <w:hideMark/>
          </w:tcPr>
          <w:p w:rsidR="00195AC2" w:rsidRPr="000059D6" w:rsidRDefault="00195AC2" w:rsidP="00430779">
            <w:pPr>
              <w:spacing w:after="200" w:line="276"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US" w:eastAsia="bg-BG"/>
              </w:rPr>
            </w:pPr>
            <w:r w:rsidRPr="000059D6">
              <w:rPr>
                <w:rFonts w:cs="Times New Roman"/>
                <w:color w:val="auto"/>
                <w:sz w:val="20"/>
                <w:szCs w:val="20"/>
                <w:lang w:val="en-US" w:eastAsia="bg-BG"/>
              </w:rPr>
              <w:t>10%</w:t>
            </w:r>
          </w:p>
        </w:tc>
      </w:tr>
      <w:tr w:rsidR="000059D6" w:rsidRPr="000059D6" w:rsidTr="000059D6">
        <w:tc>
          <w:tcPr>
            <w:cnfStyle w:val="001000000000" w:firstRow="0" w:lastRow="0" w:firstColumn="1" w:lastColumn="0" w:oddVBand="0" w:evenVBand="0" w:oddHBand="0" w:evenHBand="0" w:firstRowFirstColumn="0" w:firstRowLastColumn="0" w:lastRowFirstColumn="0" w:lastRowLastColumn="0"/>
            <w:tcW w:w="3936" w:type="dxa"/>
            <w:shd w:val="clear" w:color="auto" w:fill="DAEEF3" w:themeFill="accent5" w:themeFillTint="33"/>
            <w:hideMark/>
          </w:tcPr>
          <w:p w:rsidR="00195AC2" w:rsidRPr="000059D6" w:rsidRDefault="00195AC2" w:rsidP="00430779">
            <w:pPr>
              <w:spacing w:after="200" w:line="276" w:lineRule="auto"/>
              <w:rPr>
                <w:rFonts w:cs="Times New Roman"/>
                <w:color w:val="auto"/>
                <w:sz w:val="20"/>
                <w:szCs w:val="20"/>
                <w:lang w:val="en-US" w:eastAsia="bg-BG"/>
              </w:rPr>
            </w:pPr>
            <w:proofErr w:type="spellStart"/>
            <w:r w:rsidRPr="000059D6">
              <w:rPr>
                <w:rFonts w:cs="Times New Roman"/>
                <w:color w:val="auto"/>
                <w:sz w:val="20"/>
                <w:szCs w:val="20"/>
                <w:lang w:val="en-US" w:eastAsia="bg-BG"/>
              </w:rPr>
              <w:t>Хуманитарни</w:t>
            </w:r>
            <w:proofErr w:type="spellEnd"/>
            <w:r w:rsidRPr="000059D6">
              <w:rPr>
                <w:rFonts w:cs="Times New Roman"/>
                <w:color w:val="auto"/>
                <w:sz w:val="20"/>
                <w:szCs w:val="20"/>
                <w:lang w:val="en-US" w:eastAsia="bg-BG"/>
              </w:rPr>
              <w:t xml:space="preserve"> </w:t>
            </w:r>
            <w:proofErr w:type="spellStart"/>
            <w:r w:rsidRPr="000059D6">
              <w:rPr>
                <w:rFonts w:cs="Times New Roman"/>
                <w:color w:val="auto"/>
                <w:sz w:val="20"/>
                <w:szCs w:val="20"/>
                <w:lang w:val="en-US" w:eastAsia="bg-BG"/>
              </w:rPr>
              <w:t>науки</w:t>
            </w:r>
            <w:proofErr w:type="spellEnd"/>
          </w:p>
        </w:tc>
        <w:tc>
          <w:tcPr>
            <w:tcW w:w="1984" w:type="dxa"/>
            <w:shd w:val="clear" w:color="auto" w:fill="DAEEF3" w:themeFill="accent5" w:themeFillTint="33"/>
            <w:vAlign w:val="bottom"/>
            <w:hideMark/>
          </w:tcPr>
          <w:p w:rsidR="00195AC2" w:rsidRPr="000059D6" w:rsidRDefault="00195AC2" w:rsidP="00430779">
            <w:pPr>
              <w:spacing w:after="200" w:line="276"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US" w:eastAsia="bg-BG"/>
              </w:rPr>
            </w:pPr>
            <w:r w:rsidRPr="000059D6">
              <w:rPr>
                <w:rFonts w:cs="Times New Roman"/>
                <w:color w:val="auto"/>
                <w:sz w:val="20"/>
                <w:szCs w:val="20"/>
                <w:lang w:val="en-US" w:eastAsia="bg-BG"/>
              </w:rPr>
              <w:t>54 000</w:t>
            </w:r>
          </w:p>
        </w:tc>
        <w:tc>
          <w:tcPr>
            <w:tcW w:w="1951" w:type="dxa"/>
            <w:shd w:val="clear" w:color="auto" w:fill="DAEEF3" w:themeFill="accent5" w:themeFillTint="33"/>
            <w:vAlign w:val="bottom"/>
            <w:hideMark/>
          </w:tcPr>
          <w:p w:rsidR="00195AC2" w:rsidRPr="000059D6" w:rsidRDefault="00195AC2" w:rsidP="00430779">
            <w:pPr>
              <w:spacing w:after="200" w:line="276"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US" w:eastAsia="bg-BG"/>
              </w:rPr>
            </w:pPr>
            <w:r w:rsidRPr="000059D6">
              <w:rPr>
                <w:rFonts w:cs="Times New Roman"/>
                <w:color w:val="auto"/>
                <w:sz w:val="20"/>
                <w:szCs w:val="20"/>
                <w:lang w:val="en-US" w:eastAsia="bg-BG"/>
              </w:rPr>
              <w:t>9%</w:t>
            </w:r>
          </w:p>
        </w:tc>
      </w:tr>
    </w:tbl>
    <w:p w:rsidR="00195AC2" w:rsidRPr="00430779" w:rsidRDefault="00195AC2" w:rsidP="00B27B3D">
      <w:pPr>
        <w:spacing w:before="120" w:after="120"/>
        <w:rPr>
          <w:rFonts w:cs="Times New Roman"/>
          <w:b/>
          <w:sz w:val="24"/>
          <w:szCs w:val="24"/>
          <w:lang w:eastAsia="bg-BG"/>
        </w:rPr>
      </w:pPr>
    </w:p>
    <w:p w:rsidR="00195AC2" w:rsidRPr="002636F1" w:rsidRDefault="00195AC2" w:rsidP="000D4193">
      <w:pPr>
        <w:pStyle w:val="ListParagraph"/>
        <w:numPr>
          <w:ilvl w:val="1"/>
          <w:numId w:val="8"/>
        </w:numPr>
        <w:tabs>
          <w:tab w:val="clear" w:pos="1440"/>
        </w:tabs>
        <w:spacing w:before="120" w:after="120"/>
        <w:ind w:left="709"/>
        <w:rPr>
          <w:rFonts w:cs="Times New Roman"/>
          <w:b/>
          <w:bCs/>
          <w:sz w:val="24"/>
          <w:szCs w:val="24"/>
          <w:lang w:eastAsia="bg-BG"/>
        </w:rPr>
      </w:pPr>
      <w:bookmarkStart w:id="9" w:name="_Toc448240550"/>
      <w:r w:rsidRPr="002636F1">
        <w:rPr>
          <w:rFonts w:cs="Times New Roman"/>
          <w:b/>
          <w:bCs/>
          <w:sz w:val="24"/>
          <w:szCs w:val="24"/>
          <w:lang w:eastAsia="bg-BG"/>
        </w:rPr>
        <w:t>Минимален и максимален размер на финансирането за конкретен проект:</w:t>
      </w:r>
      <w:bookmarkEnd w:id="9"/>
    </w:p>
    <w:p w:rsidR="00195AC2" w:rsidRPr="00430779" w:rsidRDefault="00195AC2" w:rsidP="00B27B3D">
      <w:pPr>
        <w:spacing w:before="120" w:after="120"/>
        <w:rPr>
          <w:rFonts w:cs="Times New Roman"/>
          <w:sz w:val="24"/>
          <w:szCs w:val="24"/>
          <w:lang w:eastAsia="bg-BG"/>
        </w:rPr>
      </w:pPr>
      <w:r w:rsidRPr="00430779">
        <w:rPr>
          <w:rFonts w:cs="Times New Roman"/>
          <w:sz w:val="24"/>
          <w:szCs w:val="24"/>
          <w:lang w:eastAsia="bg-BG"/>
        </w:rPr>
        <w:t xml:space="preserve">Общият размер на финансирането за всеки индивидуален проект по настоящата процедура следва да бъде в следните граници: </w:t>
      </w:r>
    </w:p>
    <w:p w:rsidR="00195AC2" w:rsidRPr="00430779" w:rsidRDefault="00195AC2" w:rsidP="000D4193">
      <w:pPr>
        <w:numPr>
          <w:ilvl w:val="0"/>
          <w:numId w:val="10"/>
        </w:numPr>
        <w:spacing w:before="120" w:after="120"/>
        <w:rPr>
          <w:rFonts w:cs="Times New Roman"/>
          <w:sz w:val="24"/>
          <w:szCs w:val="24"/>
          <w:lang w:eastAsia="bg-BG"/>
        </w:rPr>
      </w:pPr>
      <w:r w:rsidRPr="00430779">
        <w:rPr>
          <w:rFonts w:cs="Times New Roman"/>
          <w:sz w:val="24"/>
          <w:szCs w:val="24"/>
          <w:lang w:eastAsia="bg-BG"/>
        </w:rPr>
        <w:t>Минималната сума</w:t>
      </w:r>
      <w:r w:rsidRPr="00430779">
        <w:rPr>
          <w:rFonts w:cs="Times New Roman"/>
          <w:sz w:val="24"/>
          <w:szCs w:val="24"/>
          <w:lang w:val="ru-RU" w:eastAsia="bg-BG"/>
        </w:rPr>
        <w:t xml:space="preserve"> </w:t>
      </w:r>
      <w:r w:rsidRPr="00430779">
        <w:rPr>
          <w:rFonts w:cs="Times New Roman"/>
          <w:sz w:val="24"/>
          <w:szCs w:val="24"/>
          <w:lang w:eastAsia="bg-BG"/>
        </w:rPr>
        <w:t>за всеки отделен проект е 10 000 лв.</w:t>
      </w:r>
    </w:p>
    <w:p w:rsidR="00195AC2" w:rsidRPr="00430779" w:rsidRDefault="00195AC2" w:rsidP="000D4193">
      <w:pPr>
        <w:numPr>
          <w:ilvl w:val="0"/>
          <w:numId w:val="10"/>
        </w:numPr>
        <w:spacing w:before="120" w:after="120"/>
        <w:rPr>
          <w:rFonts w:cs="Times New Roman"/>
          <w:sz w:val="24"/>
          <w:szCs w:val="24"/>
          <w:lang w:eastAsia="bg-BG"/>
        </w:rPr>
      </w:pPr>
      <w:r w:rsidRPr="00430779">
        <w:rPr>
          <w:rFonts w:cs="Times New Roman"/>
          <w:sz w:val="24"/>
          <w:szCs w:val="24"/>
          <w:lang w:eastAsia="bg-BG"/>
        </w:rPr>
        <w:t>Максималната сума за всеки отделен проект е 20 000 лв.</w:t>
      </w:r>
      <w:bookmarkStart w:id="10" w:name="_Toc298834442"/>
    </w:p>
    <w:bookmarkEnd w:id="10"/>
    <w:p w:rsidR="00195AC2" w:rsidRPr="00430779" w:rsidRDefault="00195AC2" w:rsidP="000D4193">
      <w:pPr>
        <w:numPr>
          <w:ilvl w:val="0"/>
          <w:numId w:val="10"/>
        </w:numPr>
        <w:spacing w:before="120" w:after="120"/>
        <w:rPr>
          <w:rFonts w:cs="Times New Roman"/>
          <w:sz w:val="24"/>
          <w:szCs w:val="24"/>
          <w:lang w:eastAsia="bg-BG"/>
        </w:rPr>
      </w:pPr>
      <w:r w:rsidRPr="00430779">
        <w:rPr>
          <w:rFonts w:cs="Times New Roman"/>
          <w:sz w:val="24"/>
          <w:szCs w:val="24"/>
          <w:lang w:eastAsia="bg-BG"/>
        </w:rPr>
        <w:t>Не се допуска изкуствено разделяне на проекти, за да бъдат заобиколени горните прагове.</w:t>
      </w:r>
    </w:p>
    <w:p w:rsidR="00195AC2" w:rsidRPr="00430779" w:rsidRDefault="00195AC2" w:rsidP="00B27B3D">
      <w:pPr>
        <w:spacing w:before="120" w:after="120"/>
        <w:rPr>
          <w:rFonts w:cs="Times New Roman"/>
          <w:sz w:val="24"/>
          <w:szCs w:val="24"/>
          <w:lang w:eastAsia="bg-BG"/>
        </w:rPr>
      </w:pPr>
      <w:r w:rsidRPr="00430779">
        <w:rPr>
          <w:rFonts w:cs="Times New Roman"/>
          <w:sz w:val="24"/>
          <w:szCs w:val="24"/>
          <w:lang w:eastAsia="bg-BG"/>
        </w:rPr>
        <w:t xml:space="preserve">Публичното финансиране не трябва да надвишава 100% от общия размер на допустимите разходи на проекта. </w:t>
      </w:r>
    </w:p>
    <w:p w:rsidR="00195AC2" w:rsidRPr="00413583" w:rsidRDefault="00195AC2" w:rsidP="000D4193">
      <w:pPr>
        <w:pStyle w:val="ListParagraph"/>
        <w:numPr>
          <w:ilvl w:val="0"/>
          <w:numId w:val="22"/>
        </w:numPr>
        <w:spacing w:before="120" w:after="120"/>
        <w:rPr>
          <w:rFonts w:cs="Times New Roman"/>
          <w:b/>
          <w:bCs/>
          <w:sz w:val="24"/>
          <w:szCs w:val="24"/>
          <w:lang w:eastAsia="bg-BG"/>
        </w:rPr>
      </w:pPr>
      <w:bookmarkStart w:id="11" w:name="_Toc448240567"/>
      <w:r w:rsidRPr="00413583">
        <w:rPr>
          <w:rFonts w:cs="Times New Roman"/>
          <w:b/>
          <w:bCs/>
          <w:sz w:val="24"/>
          <w:szCs w:val="24"/>
          <w:lang w:eastAsia="bg-BG"/>
        </w:rPr>
        <w:t>Срок за изпълнение на проекта:</w:t>
      </w:r>
      <w:bookmarkEnd w:id="11"/>
    </w:p>
    <w:p w:rsidR="00195AC2" w:rsidRPr="00430779" w:rsidRDefault="00195AC2" w:rsidP="00B27B3D">
      <w:pPr>
        <w:spacing w:before="120" w:after="120"/>
        <w:rPr>
          <w:rFonts w:cs="Times New Roman"/>
          <w:sz w:val="24"/>
          <w:szCs w:val="24"/>
          <w:lang w:eastAsia="bg-BG"/>
        </w:rPr>
      </w:pPr>
      <w:r w:rsidRPr="00430779">
        <w:rPr>
          <w:rFonts w:cs="Times New Roman"/>
          <w:sz w:val="24"/>
          <w:szCs w:val="24"/>
          <w:lang w:eastAsia="bg-BG"/>
        </w:rPr>
        <w:t xml:space="preserve">Срок за изпълнение на одобрените проекти: </w:t>
      </w:r>
      <w:r w:rsidRPr="00430779">
        <w:rPr>
          <w:rFonts w:cs="Times New Roman"/>
          <w:sz w:val="24"/>
          <w:szCs w:val="24"/>
          <w:u w:val="single"/>
          <w:lang w:eastAsia="bg-BG"/>
        </w:rPr>
        <w:t>24  месеца</w:t>
      </w:r>
      <w:r w:rsidRPr="00430779">
        <w:rPr>
          <w:rFonts w:cs="Times New Roman"/>
          <w:sz w:val="24"/>
          <w:szCs w:val="24"/>
          <w:lang w:eastAsia="bg-BG"/>
        </w:rPr>
        <w:t>.</w:t>
      </w:r>
    </w:p>
    <w:p w:rsidR="00195AC2" w:rsidRPr="00430779" w:rsidRDefault="00195AC2" w:rsidP="00B27B3D">
      <w:pPr>
        <w:spacing w:before="120" w:after="120"/>
        <w:rPr>
          <w:rFonts w:cs="Times New Roman"/>
          <w:sz w:val="24"/>
          <w:szCs w:val="24"/>
          <w:lang w:eastAsia="bg-BG"/>
        </w:rPr>
      </w:pPr>
      <w:r w:rsidRPr="00430779">
        <w:rPr>
          <w:rFonts w:cs="Times New Roman"/>
          <w:sz w:val="24"/>
          <w:szCs w:val="24"/>
          <w:lang w:eastAsia="bg-BG"/>
        </w:rPr>
        <w:t>За начална дата на проекта се счита датата на подписване на договора за финансиране.</w:t>
      </w:r>
    </w:p>
    <w:p w:rsidR="00195AC2" w:rsidRPr="00413583" w:rsidRDefault="00195AC2" w:rsidP="000D4193">
      <w:pPr>
        <w:pStyle w:val="ListParagraph"/>
        <w:numPr>
          <w:ilvl w:val="0"/>
          <w:numId w:val="22"/>
        </w:numPr>
        <w:spacing w:before="120" w:after="120"/>
        <w:rPr>
          <w:rFonts w:cs="Times New Roman"/>
          <w:b/>
          <w:bCs/>
          <w:sz w:val="24"/>
          <w:szCs w:val="24"/>
          <w:lang w:eastAsia="bg-BG"/>
        </w:rPr>
      </w:pPr>
      <w:bookmarkStart w:id="12" w:name="_Toc448240576"/>
      <w:r w:rsidRPr="00413583">
        <w:rPr>
          <w:rFonts w:cs="Times New Roman"/>
          <w:b/>
          <w:bCs/>
          <w:sz w:val="24"/>
          <w:szCs w:val="24"/>
          <w:lang w:eastAsia="bg-BG"/>
        </w:rPr>
        <w:t>Срок за подаване на проектните предложения</w:t>
      </w:r>
      <w:bookmarkEnd w:id="12"/>
    </w:p>
    <w:p w:rsidR="00195AC2" w:rsidRPr="00430779" w:rsidRDefault="00195AC2" w:rsidP="00B27B3D">
      <w:pPr>
        <w:spacing w:before="120" w:after="120"/>
        <w:rPr>
          <w:rFonts w:cs="Times New Roman"/>
          <w:sz w:val="24"/>
          <w:szCs w:val="24"/>
          <w:lang w:eastAsia="bg-BG"/>
        </w:rPr>
      </w:pPr>
      <w:r w:rsidRPr="00430779">
        <w:rPr>
          <w:rFonts w:cs="Times New Roman"/>
          <w:sz w:val="24"/>
          <w:szCs w:val="24"/>
          <w:lang w:eastAsia="bg-BG"/>
        </w:rPr>
        <w:t xml:space="preserve">Проектните предложения  се представят до 17 часа на 25.07.2017 г. в деловодството на Фонд "Научни изследвания" на хартиен и електронен носител, както следва: </w:t>
      </w:r>
    </w:p>
    <w:p w:rsidR="00195AC2" w:rsidRPr="00430779" w:rsidRDefault="00195AC2" w:rsidP="000D4193">
      <w:pPr>
        <w:numPr>
          <w:ilvl w:val="0"/>
          <w:numId w:val="11"/>
        </w:numPr>
        <w:spacing w:before="120" w:after="120"/>
        <w:rPr>
          <w:rFonts w:cs="Times New Roman"/>
          <w:sz w:val="24"/>
          <w:szCs w:val="24"/>
          <w:lang w:eastAsia="bg-BG"/>
        </w:rPr>
      </w:pPr>
      <w:r w:rsidRPr="00430779">
        <w:rPr>
          <w:rFonts w:cs="Times New Roman"/>
          <w:sz w:val="24"/>
          <w:szCs w:val="24"/>
          <w:lang w:eastAsia="bg-BG"/>
        </w:rPr>
        <w:t xml:space="preserve">на хартиен носител в един екземпляр на български и на английски език с оригинални подписи и печати; </w:t>
      </w:r>
    </w:p>
    <w:p w:rsidR="00195AC2" w:rsidRPr="00430779" w:rsidRDefault="00195AC2" w:rsidP="000D4193">
      <w:pPr>
        <w:numPr>
          <w:ilvl w:val="0"/>
          <w:numId w:val="11"/>
        </w:numPr>
        <w:spacing w:before="120" w:after="120"/>
        <w:rPr>
          <w:rFonts w:cs="Times New Roman"/>
          <w:sz w:val="24"/>
          <w:szCs w:val="24"/>
          <w:lang w:eastAsia="bg-BG"/>
        </w:rPr>
      </w:pPr>
      <w:r w:rsidRPr="00430779">
        <w:rPr>
          <w:rFonts w:cs="Times New Roman"/>
          <w:sz w:val="24"/>
          <w:szCs w:val="24"/>
          <w:lang w:eastAsia="bg-BG"/>
        </w:rPr>
        <w:t>в електронен формат на български и на английски език като документите, съдържащи подписи, са сканирани;</w:t>
      </w:r>
    </w:p>
    <w:p w:rsidR="00195AC2" w:rsidRPr="00430779" w:rsidRDefault="00195AC2" w:rsidP="000D4193">
      <w:pPr>
        <w:numPr>
          <w:ilvl w:val="0"/>
          <w:numId w:val="11"/>
        </w:numPr>
        <w:spacing w:before="120" w:after="120"/>
        <w:rPr>
          <w:rFonts w:cs="Times New Roman"/>
          <w:sz w:val="24"/>
          <w:szCs w:val="24"/>
          <w:lang w:eastAsia="bg-BG"/>
        </w:rPr>
      </w:pPr>
      <w:r w:rsidRPr="00430779">
        <w:rPr>
          <w:rFonts w:cs="Times New Roman"/>
          <w:sz w:val="24"/>
          <w:szCs w:val="24"/>
          <w:lang w:eastAsia="bg-BG"/>
        </w:rPr>
        <w:lastRenderedPageBreak/>
        <w:t>в електронен формат на български и на английски език, като документите да дават възможност за автоматично търсене</w:t>
      </w:r>
      <w:r w:rsidRPr="00430779">
        <w:rPr>
          <w:rFonts w:cs="Times New Roman"/>
          <w:sz w:val="24"/>
          <w:szCs w:val="24"/>
          <w:lang w:val="ru-RU" w:eastAsia="bg-BG"/>
        </w:rPr>
        <w:t xml:space="preserve"> (</w:t>
      </w:r>
      <w:r w:rsidRPr="00430779">
        <w:rPr>
          <w:rFonts w:cs="Times New Roman"/>
          <w:sz w:val="24"/>
          <w:szCs w:val="24"/>
          <w:lang w:eastAsia="bg-BG"/>
        </w:rPr>
        <w:t xml:space="preserve">в </w:t>
      </w:r>
      <w:r w:rsidRPr="00430779">
        <w:rPr>
          <w:rFonts w:cs="Times New Roman"/>
          <w:sz w:val="24"/>
          <w:szCs w:val="24"/>
          <w:lang w:val="en-US" w:eastAsia="bg-BG"/>
        </w:rPr>
        <w:t>pdf</w:t>
      </w:r>
      <w:r w:rsidRPr="00430779">
        <w:rPr>
          <w:rFonts w:cs="Times New Roman"/>
          <w:sz w:val="24"/>
          <w:szCs w:val="24"/>
          <w:lang w:val="ru-RU" w:eastAsia="bg-BG"/>
        </w:rPr>
        <w:t xml:space="preserve"> </w:t>
      </w:r>
      <w:r w:rsidRPr="00430779">
        <w:rPr>
          <w:rFonts w:cs="Times New Roman"/>
          <w:sz w:val="24"/>
          <w:szCs w:val="24"/>
          <w:lang w:eastAsia="bg-BG"/>
        </w:rPr>
        <w:t>формат генериран автоматично от документа).</w:t>
      </w:r>
    </w:p>
    <w:p w:rsidR="00195AC2" w:rsidRPr="00413583" w:rsidRDefault="00195AC2" w:rsidP="000D4193">
      <w:pPr>
        <w:pStyle w:val="ListParagraph"/>
        <w:numPr>
          <w:ilvl w:val="0"/>
          <w:numId w:val="22"/>
        </w:numPr>
        <w:spacing w:before="120" w:after="120"/>
        <w:rPr>
          <w:rFonts w:cs="Times New Roman"/>
          <w:b/>
          <w:bCs/>
          <w:sz w:val="24"/>
          <w:szCs w:val="24"/>
          <w:lang w:eastAsia="bg-BG"/>
        </w:rPr>
      </w:pPr>
      <w:r w:rsidRPr="00413583">
        <w:rPr>
          <w:rFonts w:cs="Times New Roman"/>
          <w:b/>
          <w:bCs/>
          <w:sz w:val="24"/>
          <w:szCs w:val="24"/>
          <w:lang w:eastAsia="bg-BG"/>
        </w:rPr>
        <w:t>Изисквания към кандидатите и проектите.</w:t>
      </w:r>
    </w:p>
    <w:p w:rsidR="00195AC2" w:rsidRPr="00430779" w:rsidRDefault="00413583" w:rsidP="00B27B3D">
      <w:pPr>
        <w:spacing w:before="120" w:after="120"/>
        <w:ind w:left="720"/>
        <w:rPr>
          <w:rFonts w:cs="Times New Roman"/>
          <w:b/>
          <w:bCs/>
          <w:sz w:val="24"/>
          <w:szCs w:val="24"/>
          <w:lang w:eastAsia="bg-BG"/>
        </w:rPr>
      </w:pPr>
      <w:bookmarkStart w:id="13" w:name="_Toc448240553"/>
      <w:r>
        <w:rPr>
          <w:rFonts w:cs="Times New Roman"/>
          <w:b/>
          <w:bCs/>
          <w:sz w:val="24"/>
          <w:szCs w:val="24"/>
          <w:lang w:eastAsia="bg-BG"/>
        </w:rPr>
        <w:t xml:space="preserve">а/ </w:t>
      </w:r>
      <w:r w:rsidR="00195AC2" w:rsidRPr="00430779">
        <w:rPr>
          <w:rFonts w:cs="Times New Roman"/>
          <w:b/>
          <w:bCs/>
          <w:sz w:val="24"/>
          <w:szCs w:val="24"/>
          <w:lang w:eastAsia="bg-BG"/>
        </w:rPr>
        <w:t>Допустими кандидати:</w:t>
      </w:r>
      <w:bookmarkEnd w:id="13"/>
      <w:r w:rsidR="00195AC2" w:rsidRPr="00430779">
        <w:rPr>
          <w:rFonts w:cs="Times New Roman"/>
          <w:b/>
          <w:bCs/>
          <w:sz w:val="24"/>
          <w:szCs w:val="24"/>
          <w:lang w:eastAsia="bg-BG"/>
        </w:rPr>
        <w:t xml:space="preserve"> </w:t>
      </w:r>
    </w:p>
    <w:p w:rsidR="00195AC2" w:rsidRPr="00430779" w:rsidRDefault="00195AC2" w:rsidP="00B27B3D">
      <w:pPr>
        <w:spacing w:before="120" w:after="120"/>
        <w:rPr>
          <w:rFonts w:cs="Times New Roman"/>
          <w:sz w:val="24"/>
          <w:szCs w:val="24"/>
          <w:lang w:eastAsia="bg-BG"/>
        </w:rPr>
      </w:pPr>
      <w:r w:rsidRPr="00430779">
        <w:rPr>
          <w:rFonts w:cs="Times New Roman"/>
          <w:sz w:val="24"/>
          <w:szCs w:val="24"/>
          <w:lang w:eastAsia="bg-BG"/>
        </w:rPr>
        <w:t>Допустими по настоящата процедура за подбор на проекти са само кандидати, които са:</w:t>
      </w:r>
    </w:p>
    <w:p w:rsidR="00195AC2" w:rsidRPr="00430779" w:rsidRDefault="00195AC2" w:rsidP="00B27B3D">
      <w:pPr>
        <w:spacing w:before="120" w:after="120"/>
        <w:rPr>
          <w:rFonts w:cs="Times New Roman"/>
          <w:sz w:val="24"/>
          <w:szCs w:val="24"/>
          <w:lang w:eastAsia="bg-BG"/>
        </w:rPr>
      </w:pPr>
      <w:r w:rsidRPr="00430779">
        <w:rPr>
          <w:rFonts w:cs="Times New Roman"/>
          <w:sz w:val="24"/>
          <w:szCs w:val="24"/>
          <w:lang w:eastAsia="bg-BG"/>
        </w:rPr>
        <w:t>1)</w:t>
      </w:r>
      <w:r w:rsidRPr="00430779">
        <w:rPr>
          <w:rFonts w:cs="Times New Roman"/>
          <w:sz w:val="24"/>
          <w:szCs w:val="24"/>
          <w:lang w:eastAsia="bg-BG"/>
        </w:rPr>
        <w:tab/>
        <w:t>акредитирани висши училища по чл. 85, ал. 1, т.7 на ЗВО.</w:t>
      </w:r>
    </w:p>
    <w:p w:rsidR="00195AC2" w:rsidRPr="00430779" w:rsidRDefault="00195AC2" w:rsidP="00B27B3D">
      <w:pPr>
        <w:spacing w:before="120" w:after="120"/>
        <w:rPr>
          <w:rFonts w:cs="Times New Roman"/>
          <w:sz w:val="24"/>
          <w:szCs w:val="24"/>
          <w:lang w:eastAsia="bg-BG"/>
        </w:rPr>
      </w:pPr>
      <w:r w:rsidRPr="00430779">
        <w:rPr>
          <w:rFonts w:cs="Times New Roman"/>
          <w:sz w:val="24"/>
          <w:szCs w:val="24"/>
          <w:lang w:eastAsia="bg-BG"/>
        </w:rPr>
        <w:t>2)</w:t>
      </w:r>
      <w:r w:rsidRPr="00430779">
        <w:rPr>
          <w:rFonts w:cs="Times New Roman"/>
          <w:sz w:val="24"/>
          <w:szCs w:val="24"/>
          <w:lang w:eastAsia="bg-BG"/>
        </w:rPr>
        <w:tab/>
        <w:t>научни организации по чл. 47, ал. 1 на ЗВО.</w:t>
      </w:r>
    </w:p>
    <w:p w:rsidR="00195AC2" w:rsidRPr="00430779" w:rsidRDefault="00195AC2" w:rsidP="00B27B3D">
      <w:pPr>
        <w:spacing w:before="120" w:after="120"/>
        <w:rPr>
          <w:rFonts w:cs="Times New Roman"/>
          <w:sz w:val="24"/>
          <w:szCs w:val="24"/>
          <w:lang w:eastAsia="bg-BG"/>
        </w:rPr>
      </w:pPr>
      <w:r w:rsidRPr="00430779">
        <w:rPr>
          <w:rFonts w:cs="Times New Roman"/>
          <w:sz w:val="24"/>
          <w:szCs w:val="24"/>
          <w:lang w:eastAsia="bg-BG"/>
        </w:rPr>
        <w:t xml:space="preserve">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 </w:t>
      </w:r>
    </w:p>
    <w:p w:rsidR="00195AC2" w:rsidRPr="00430779" w:rsidRDefault="00195AC2" w:rsidP="00B27B3D">
      <w:pPr>
        <w:spacing w:before="120" w:after="120"/>
        <w:rPr>
          <w:rFonts w:cs="Times New Roman"/>
          <w:sz w:val="24"/>
          <w:szCs w:val="24"/>
          <w:lang w:eastAsia="bg-BG"/>
        </w:rPr>
      </w:pPr>
      <w:r w:rsidRPr="00430779">
        <w:rPr>
          <w:rFonts w:cs="Times New Roman"/>
          <w:sz w:val="24"/>
          <w:szCs w:val="24"/>
          <w:lang w:eastAsia="bg-BG"/>
        </w:rPr>
        <w:t xml:space="preserve">Кандидатите по процедурата трябва да са субекти: </w:t>
      </w:r>
    </w:p>
    <w:p w:rsidR="00195AC2" w:rsidRPr="00430779" w:rsidRDefault="00195AC2" w:rsidP="000D4193">
      <w:pPr>
        <w:numPr>
          <w:ilvl w:val="0"/>
          <w:numId w:val="12"/>
        </w:numPr>
        <w:spacing w:before="120" w:after="120"/>
        <w:rPr>
          <w:rFonts w:cs="Times New Roman"/>
          <w:sz w:val="24"/>
          <w:szCs w:val="24"/>
          <w:lang w:eastAsia="bg-BG"/>
        </w:rPr>
      </w:pPr>
      <w:r w:rsidRPr="00430779">
        <w:rPr>
          <w:rFonts w:cs="Times New Roman"/>
          <w:sz w:val="24"/>
          <w:szCs w:val="24"/>
          <w:lang w:eastAsia="bg-BG"/>
        </w:rPr>
        <w:t xml:space="preserve">осъществяващи  научни изследвания; </w:t>
      </w:r>
    </w:p>
    <w:p w:rsidR="00195AC2" w:rsidRPr="00430779" w:rsidRDefault="00195AC2" w:rsidP="00B27B3D">
      <w:pPr>
        <w:spacing w:before="120" w:after="120"/>
        <w:rPr>
          <w:rFonts w:cs="Times New Roman"/>
          <w:sz w:val="24"/>
          <w:szCs w:val="24"/>
          <w:lang w:eastAsia="bg-BG"/>
        </w:rPr>
      </w:pPr>
      <w:r w:rsidRPr="00430779">
        <w:rPr>
          <w:rFonts w:cs="Times New Roman"/>
          <w:sz w:val="24"/>
          <w:szCs w:val="24"/>
          <w:lang w:eastAsia="bg-BG"/>
        </w:rPr>
        <w:t>и</w:t>
      </w:r>
    </w:p>
    <w:p w:rsidR="00195AC2" w:rsidRPr="00430779" w:rsidRDefault="00195AC2" w:rsidP="000D4193">
      <w:pPr>
        <w:numPr>
          <w:ilvl w:val="0"/>
          <w:numId w:val="12"/>
        </w:numPr>
        <w:spacing w:before="120" w:after="120"/>
        <w:rPr>
          <w:rFonts w:cs="Times New Roman"/>
          <w:sz w:val="24"/>
          <w:szCs w:val="24"/>
          <w:lang w:eastAsia="bg-BG"/>
        </w:rPr>
      </w:pPr>
      <w:r w:rsidRPr="00430779">
        <w:rPr>
          <w:rFonts w:cs="Times New Roman"/>
          <w:sz w:val="24"/>
          <w:szCs w:val="24"/>
          <w:lang w:eastAsia="bg-BG"/>
        </w:rPr>
        <w:t xml:space="preserve">чиито дейности са изцяло с нестопански характер </w:t>
      </w:r>
    </w:p>
    <w:p w:rsidR="00195AC2" w:rsidRPr="00430779" w:rsidRDefault="00195AC2" w:rsidP="00B27B3D">
      <w:pPr>
        <w:spacing w:before="120" w:after="120"/>
        <w:rPr>
          <w:rFonts w:cs="Times New Roman"/>
          <w:sz w:val="24"/>
          <w:szCs w:val="24"/>
          <w:lang w:eastAsia="bg-BG"/>
        </w:rPr>
      </w:pPr>
      <w:r w:rsidRPr="00430779">
        <w:rPr>
          <w:rFonts w:cs="Times New Roman"/>
          <w:sz w:val="24"/>
          <w:szCs w:val="24"/>
          <w:lang w:eastAsia="bg-BG"/>
        </w:rPr>
        <w:t xml:space="preserve">или </w:t>
      </w:r>
    </w:p>
    <w:p w:rsidR="00195AC2" w:rsidRPr="00430779" w:rsidRDefault="00195AC2" w:rsidP="000D4193">
      <w:pPr>
        <w:numPr>
          <w:ilvl w:val="0"/>
          <w:numId w:val="12"/>
        </w:numPr>
        <w:spacing w:before="120" w:after="120"/>
        <w:rPr>
          <w:rFonts w:cs="Times New Roman"/>
          <w:sz w:val="24"/>
          <w:szCs w:val="24"/>
          <w:lang w:eastAsia="bg-BG"/>
        </w:rPr>
      </w:pPr>
      <w:r w:rsidRPr="00430779">
        <w:rPr>
          <w:rFonts w:cs="Times New Roman"/>
          <w:sz w:val="24"/>
          <w:szCs w:val="24"/>
          <w:lang w:eastAsia="bg-BG"/>
        </w:rPr>
        <w:t>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r w:rsidRPr="00430779">
        <w:rPr>
          <w:rFonts w:cs="Times New Roman"/>
          <w:sz w:val="24"/>
          <w:szCs w:val="24"/>
          <w:lang w:val="ru-RU" w:eastAsia="bg-BG"/>
        </w:rPr>
        <w:t>.</w:t>
      </w:r>
    </w:p>
    <w:p w:rsidR="00195AC2" w:rsidRPr="00430779" w:rsidRDefault="00195AC2" w:rsidP="00B27B3D">
      <w:pPr>
        <w:spacing w:before="120" w:after="120"/>
        <w:rPr>
          <w:rFonts w:cs="Times New Roman"/>
          <w:sz w:val="24"/>
          <w:szCs w:val="24"/>
          <w:lang w:eastAsia="bg-BG"/>
        </w:rPr>
      </w:pPr>
      <w:r w:rsidRPr="00430779">
        <w:rPr>
          <w:rFonts w:cs="Times New Roman"/>
          <w:sz w:val="24"/>
          <w:szCs w:val="24"/>
          <w:lang w:eastAsia="bg-BG"/>
        </w:rPr>
        <w:t>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w:t>
      </w:r>
    </w:p>
    <w:p w:rsidR="00195AC2" w:rsidRPr="00430779" w:rsidRDefault="00195AC2" w:rsidP="000D4193">
      <w:pPr>
        <w:numPr>
          <w:ilvl w:val="0"/>
          <w:numId w:val="12"/>
        </w:numPr>
        <w:spacing w:before="120" w:after="120"/>
        <w:rPr>
          <w:rFonts w:cs="Times New Roman"/>
          <w:sz w:val="24"/>
          <w:szCs w:val="24"/>
          <w:lang w:eastAsia="bg-BG"/>
        </w:rPr>
      </w:pPr>
      <w:r w:rsidRPr="00430779">
        <w:rPr>
          <w:rFonts w:cs="Times New Roman"/>
          <w:sz w:val="24"/>
          <w:szCs w:val="24"/>
          <w:lang w:eastAsia="bg-BG"/>
        </w:rPr>
        <w:t>научни изследвания по договор с предприятия/отрасъл;</w:t>
      </w:r>
    </w:p>
    <w:p w:rsidR="00195AC2" w:rsidRPr="00430779" w:rsidRDefault="00195AC2" w:rsidP="000D4193">
      <w:pPr>
        <w:numPr>
          <w:ilvl w:val="0"/>
          <w:numId w:val="12"/>
        </w:numPr>
        <w:spacing w:before="120" w:after="120"/>
        <w:rPr>
          <w:rFonts w:cs="Times New Roman"/>
          <w:sz w:val="24"/>
          <w:szCs w:val="24"/>
          <w:lang w:eastAsia="bg-BG"/>
        </w:rPr>
      </w:pPr>
      <w:r w:rsidRPr="00430779">
        <w:rPr>
          <w:rFonts w:cs="Times New Roman"/>
          <w:sz w:val="24"/>
          <w:szCs w:val="24"/>
          <w:lang w:eastAsia="bg-BG"/>
        </w:rPr>
        <w:t>консултантски или други услуги, предоставяни на предприятия/отрасъл;</w:t>
      </w:r>
    </w:p>
    <w:p w:rsidR="00195AC2" w:rsidRPr="00430779" w:rsidRDefault="00195AC2" w:rsidP="000D4193">
      <w:pPr>
        <w:numPr>
          <w:ilvl w:val="0"/>
          <w:numId w:val="12"/>
        </w:numPr>
        <w:spacing w:before="120" w:after="120"/>
        <w:rPr>
          <w:rFonts w:cs="Times New Roman"/>
          <w:sz w:val="24"/>
          <w:szCs w:val="24"/>
          <w:lang w:eastAsia="bg-BG"/>
        </w:rPr>
      </w:pPr>
      <w:r w:rsidRPr="00430779">
        <w:rPr>
          <w:rFonts w:cs="Times New Roman"/>
          <w:sz w:val="24"/>
          <w:szCs w:val="24"/>
          <w:lang w:eastAsia="bg-BG"/>
        </w:rPr>
        <w:t>отдаване под наем на активите (инфраструктурата/оборудването).</w:t>
      </w:r>
    </w:p>
    <w:p w:rsidR="00195AC2" w:rsidRPr="00430779" w:rsidRDefault="00413583" w:rsidP="00B27B3D">
      <w:pPr>
        <w:spacing w:before="120" w:after="120"/>
        <w:ind w:left="851"/>
        <w:rPr>
          <w:rFonts w:cs="Times New Roman"/>
          <w:b/>
          <w:bCs/>
          <w:sz w:val="24"/>
          <w:szCs w:val="24"/>
          <w:lang w:eastAsia="bg-BG"/>
        </w:rPr>
      </w:pPr>
      <w:r>
        <w:rPr>
          <w:rFonts w:cs="Times New Roman"/>
          <w:b/>
          <w:bCs/>
          <w:sz w:val="24"/>
          <w:szCs w:val="24"/>
          <w:lang w:eastAsia="bg-BG"/>
        </w:rPr>
        <w:t xml:space="preserve">б/ </w:t>
      </w:r>
      <w:r w:rsidR="00195AC2" w:rsidRPr="00430779">
        <w:rPr>
          <w:rFonts w:cs="Times New Roman"/>
          <w:b/>
          <w:bCs/>
          <w:sz w:val="24"/>
          <w:szCs w:val="24"/>
          <w:lang w:eastAsia="bg-BG"/>
        </w:rPr>
        <w:t>Партньорство и допустимост на партньорите</w:t>
      </w:r>
    </w:p>
    <w:p w:rsidR="00195AC2" w:rsidRPr="00430779" w:rsidRDefault="00195AC2" w:rsidP="00B27B3D">
      <w:pPr>
        <w:spacing w:before="120" w:after="120"/>
        <w:rPr>
          <w:rFonts w:cs="Times New Roman"/>
          <w:sz w:val="24"/>
          <w:szCs w:val="24"/>
          <w:lang w:eastAsia="bg-BG"/>
        </w:rPr>
      </w:pPr>
      <w:r w:rsidRPr="00430779">
        <w:rPr>
          <w:rFonts w:cs="Times New Roman"/>
          <w:sz w:val="24"/>
          <w:szCs w:val="24"/>
          <w:lang w:eastAsia="bg-BG"/>
        </w:rPr>
        <w:t xml:space="preserve">По настоящата процедура за конкурс кандидатите </w:t>
      </w:r>
      <w:r w:rsidRPr="00430779">
        <w:rPr>
          <w:rFonts w:cs="Times New Roman"/>
          <w:b/>
          <w:sz w:val="24"/>
          <w:szCs w:val="24"/>
          <w:lang w:eastAsia="bg-BG"/>
        </w:rPr>
        <w:t>не могат</w:t>
      </w:r>
      <w:r w:rsidRPr="00430779">
        <w:rPr>
          <w:rFonts w:cs="Times New Roman"/>
          <w:sz w:val="24"/>
          <w:szCs w:val="24"/>
          <w:lang w:eastAsia="bg-BG"/>
        </w:rPr>
        <w:t xml:space="preserve"> да участват съвместно с други допустими кандидати (партньори).</w:t>
      </w:r>
    </w:p>
    <w:p w:rsidR="00195AC2" w:rsidRPr="00430779" w:rsidRDefault="00195AC2" w:rsidP="00B27B3D">
      <w:pPr>
        <w:spacing w:before="120" w:after="120"/>
        <w:rPr>
          <w:rFonts w:cs="Times New Roman"/>
          <w:bCs/>
          <w:sz w:val="24"/>
          <w:szCs w:val="24"/>
          <w:lang w:eastAsia="bg-BG"/>
        </w:rPr>
      </w:pPr>
      <w:r w:rsidRPr="00430779">
        <w:rPr>
          <w:rFonts w:cs="Times New Roman"/>
          <w:sz w:val="24"/>
          <w:szCs w:val="24"/>
          <w:lang w:eastAsia="bg-BG"/>
        </w:rPr>
        <w:t xml:space="preserve">В процеса на изпълнение на дейностите по проекта бенефициентите могат да възложат на изпълнители извършването на определени допълващи дейности по проекта. В случаите, когато бенефициентите се явяват възложители по смисъла на чл. 5 или чл. 6 от Закона за </w:t>
      </w:r>
      <w:r w:rsidRPr="00430779">
        <w:rPr>
          <w:rFonts w:cs="Times New Roman"/>
          <w:sz w:val="24"/>
          <w:szCs w:val="24"/>
          <w:lang w:eastAsia="bg-BG"/>
        </w:rPr>
        <w:lastRenderedPageBreak/>
        <w:t>обществените поръчки</w:t>
      </w:r>
      <w:r w:rsidRPr="00430779">
        <w:rPr>
          <w:rFonts w:cs="Times New Roman"/>
          <w:sz w:val="24"/>
          <w:szCs w:val="24"/>
          <w:vertAlign w:val="superscript"/>
          <w:lang w:val="en-US" w:eastAsia="bg-BG"/>
        </w:rPr>
        <w:footnoteReference w:id="1"/>
      </w:r>
      <w:r w:rsidRPr="00430779">
        <w:rPr>
          <w:rFonts w:cs="Times New Roman"/>
          <w:sz w:val="24"/>
          <w:szCs w:val="24"/>
          <w:lang w:eastAsia="bg-BG"/>
        </w:rPr>
        <w:t xml:space="preserve"> (ЗОП), изборът на изпълнители се осъществява по реда на ЗОП. Изпълнителите в процедури по възлагане дейности по изпълнението на проекта не са партньори. </w:t>
      </w:r>
    </w:p>
    <w:p w:rsidR="00195AC2" w:rsidRPr="00430779" w:rsidRDefault="00195AC2" w:rsidP="000D4193">
      <w:pPr>
        <w:numPr>
          <w:ilvl w:val="0"/>
          <w:numId w:val="22"/>
        </w:numPr>
        <w:spacing w:before="120" w:after="120"/>
        <w:rPr>
          <w:rFonts w:cs="Times New Roman"/>
          <w:b/>
          <w:bCs/>
          <w:sz w:val="24"/>
          <w:szCs w:val="24"/>
          <w:lang w:eastAsia="bg-BG"/>
        </w:rPr>
      </w:pPr>
      <w:bookmarkStart w:id="14" w:name="_Toc448240559"/>
      <w:r w:rsidRPr="00430779">
        <w:rPr>
          <w:rFonts w:cs="Times New Roman"/>
          <w:b/>
          <w:bCs/>
          <w:sz w:val="24"/>
          <w:szCs w:val="24"/>
          <w:lang w:eastAsia="bg-BG"/>
        </w:rPr>
        <w:t>Критерии за допустимост на проектните предложения</w:t>
      </w:r>
      <w:bookmarkEnd w:id="14"/>
      <w:r w:rsidRPr="00430779">
        <w:rPr>
          <w:rFonts w:cs="Times New Roman"/>
          <w:b/>
          <w:bCs/>
          <w:sz w:val="24"/>
          <w:szCs w:val="24"/>
          <w:lang w:eastAsia="bg-BG"/>
        </w:rPr>
        <w:t xml:space="preserve"> </w:t>
      </w:r>
    </w:p>
    <w:p w:rsidR="00195AC2" w:rsidRPr="00430779" w:rsidRDefault="00195AC2" w:rsidP="00B27B3D">
      <w:pPr>
        <w:spacing w:before="120" w:after="120"/>
        <w:rPr>
          <w:rFonts w:cs="Times New Roman"/>
          <w:sz w:val="24"/>
          <w:szCs w:val="24"/>
          <w:lang w:eastAsia="bg-BG"/>
        </w:rPr>
      </w:pPr>
      <w:r w:rsidRPr="00430779">
        <w:rPr>
          <w:rFonts w:cs="Times New Roman"/>
          <w:sz w:val="24"/>
          <w:szCs w:val="24"/>
          <w:lang w:eastAsia="bg-BG"/>
        </w:rPr>
        <w:t>По настоящата процедура са допустими за финансиране само кандидати, чиито проектни предложения допринасят за развитието на поне една от областите, посочени в т. 1.1 от насоките.</w:t>
      </w:r>
    </w:p>
    <w:p w:rsidR="00195AC2" w:rsidRPr="00430779" w:rsidRDefault="00195AC2" w:rsidP="00B27B3D">
      <w:pPr>
        <w:spacing w:before="120" w:after="120"/>
        <w:rPr>
          <w:rFonts w:cs="Times New Roman"/>
          <w:sz w:val="24"/>
          <w:szCs w:val="24"/>
          <w:lang w:eastAsia="bg-BG"/>
        </w:rPr>
      </w:pPr>
      <w:r w:rsidRPr="00430779">
        <w:rPr>
          <w:rFonts w:cs="Times New Roman"/>
          <w:sz w:val="24"/>
          <w:szCs w:val="24"/>
          <w:lang w:eastAsia="bg-BG"/>
        </w:rPr>
        <w:t xml:space="preserve">По настоящата процедура могат да се предлагат само проекти </w:t>
      </w:r>
      <w:r w:rsidRPr="00430779">
        <w:rPr>
          <w:rFonts w:cs="Times New Roman"/>
          <w:bCs/>
          <w:sz w:val="24"/>
          <w:szCs w:val="24"/>
          <w:lang w:eastAsia="bg-BG"/>
        </w:rPr>
        <w:t>за  научни изследвания</w:t>
      </w:r>
      <w:r w:rsidRPr="00430779">
        <w:rPr>
          <w:rFonts w:cs="Times New Roman"/>
          <w:sz w:val="24"/>
          <w:szCs w:val="24"/>
          <w:lang w:eastAsia="bg-BG"/>
        </w:rPr>
        <w:t xml:space="preserve"> </w:t>
      </w:r>
      <w:r w:rsidRPr="00430779">
        <w:rPr>
          <w:rFonts w:cs="Times New Roman"/>
          <w:bCs/>
          <w:sz w:val="24"/>
          <w:szCs w:val="24"/>
          <w:lang w:eastAsia="bg-BG"/>
        </w:rPr>
        <w:t xml:space="preserve">на млади учени или на </w:t>
      </w:r>
      <w:proofErr w:type="spellStart"/>
      <w:r w:rsidRPr="00430779">
        <w:rPr>
          <w:rFonts w:cs="Times New Roman"/>
          <w:bCs/>
          <w:sz w:val="24"/>
          <w:szCs w:val="24"/>
          <w:lang w:eastAsia="bg-BG"/>
        </w:rPr>
        <w:t>постдокторанти</w:t>
      </w:r>
      <w:proofErr w:type="spellEnd"/>
      <w:r w:rsidRPr="00430779">
        <w:rPr>
          <w:rFonts w:cs="Times New Roman"/>
          <w:sz w:val="24"/>
          <w:szCs w:val="24"/>
          <w:lang w:eastAsia="bg-BG"/>
        </w:rPr>
        <w:t xml:space="preserve">. По нея се финансират единствено неикономически дейности и активи, използвани за неикономически дейности на бенефициентите. </w:t>
      </w:r>
    </w:p>
    <w:p w:rsidR="00195AC2" w:rsidRPr="00430779" w:rsidRDefault="00195AC2" w:rsidP="000D4193">
      <w:pPr>
        <w:numPr>
          <w:ilvl w:val="0"/>
          <w:numId w:val="22"/>
        </w:numPr>
        <w:spacing w:before="120" w:after="120"/>
        <w:rPr>
          <w:rFonts w:cs="Times New Roman"/>
          <w:b/>
          <w:bCs/>
          <w:sz w:val="24"/>
          <w:szCs w:val="24"/>
          <w:lang w:eastAsia="bg-BG"/>
        </w:rPr>
      </w:pPr>
      <w:bookmarkStart w:id="15" w:name="_Toc448240560"/>
      <w:r w:rsidRPr="00430779">
        <w:rPr>
          <w:rFonts w:cs="Times New Roman"/>
          <w:b/>
          <w:bCs/>
          <w:sz w:val="24"/>
          <w:szCs w:val="24"/>
          <w:lang w:eastAsia="bg-BG"/>
        </w:rPr>
        <w:t>Критерии за недопустимост на проектните предложения</w:t>
      </w:r>
      <w:bookmarkEnd w:id="15"/>
    </w:p>
    <w:p w:rsidR="00195AC2" w:rsidRPr="00430779" w:rsidRDefault="00195AC2" w:rsidP="00B27B3D">
      <w:pPr>
        <w:spacing w:before="120" w:after="120"/>
        <w:rPr>
          <w:rFonts w:cs="Times New Roman"/>
          <w:sz w:val="24"/>
          <w:szCs w:val="24"/>
          <w:lang w:eastAsia="bg-BG"/>
        </w:rPr>
      </w:pPr>
      <w:r w:rsidRPr="00430779">
        <w:rPr>
          <w:rFonts w:cs="Times New Roman"/>
          <w:sz w:val="24"/>
          <w:szCs w:val="24"/>
          <w:lang w:eastAsia="bg-BG"/>
        </w:rPr>
        <w:t>По настоящата процедура за конкурс са недопустими проектни предложения:</w:t>
      </w:r>
    </w:p>
    <w:p w:rsidR="00195AC2" w:rsidRPr="00430779" w:rsidRDefault="00195AC2" w:rsidP="00B27B3D">
      <w:pPr>
        <w:spacing w:before="120" w:after="120"/>
        <w:rPr>
          <w:rFonts w:cs="Times New Roman"/>
          <w:sz w:val="24"/>
          <w:szCs w:val="24"/>
          <w:lang w:eastAsia="bg-BG"/>
        </w:rPr>
      </w:pPr>
      <w:r w:rsidRPr="00430779">
        <w:rPr>
          <w:rFonts w:cs="Times New Roman"/>
          <w:sz w:val="24"/>
          <w:szCs w:val="24"/>
          <w:lang w:eastAsia="bg-BG"/>
        </w:rPr>
        <w:t>-</w:t>
      </w:r>
      <w:r w:rsidRPr="00430779">
        <w:rPr>
          <w:rFonts w:cs="Times New Roman"/>
          <w:sz w:val="24"/>
          <w:szCs w:val="24"/>
          <w:lang w:eastAsia="bg-BG"/>
        </w:rPr>
        <w:tab/>
        <w:t xml:space="preserve">включващи дейности, които вече са финансирани от други източници </w:t>
      </w:r>
    </w:p>
    <w:p w:rsidR="00195AC2" w:rsidRPr="00430779" w:rsidRDefault="00195AC2" w:rsidP="00B27B3D">
      <w:pPr>
        <w:spacing w:before="120" w:after="120"/>
        <w:rPr>
          <w:rFonts w:cs="Times New Roman"/>
          <w:sz w:val="24"/>
          <w:szCs w:val="24"/>
          <w:lang w:eastAsia="bg-BG"/>
        </w:rPr>
      </w:pPr>
      <w:r w:rsidRPr="00430779">
        <w:rPr>
          <w:rFonts w:cs="Times New Roman"/>
          <w:sz w:val="24"/>
          <w:szCs w:val="24"/>
          <w:lang w:eastAsia="bg-BG"/>
        </w:rPr>
        <w:t>-</w:t>
      </w:r>
      <w:r w:rsidRPr="00430779">
        <w:rPr>
          <w:rFonts w:cs="Times New Roman"/>
          <w:sz w:val="24"/>
          <w:szCs w:val="24"/>
          <w:lang w:eastAsia="bg-BG"/>
        </w:rPr>
        <w:tab/>
        <w:t xml:space="preserve">които не включват научни  изследвания. </w:t>
      </w:r>
    </w:p>
    <w:p w:rsidR="00195AC2" w:rsidRPr="00430779" w:rsidRDefault="00195AC2" w:rsidP="00B27B3D">
      <w:pPr>
        <w:spacing w:before="120" w:after="120"/>
        <w:rPr>
          <w:rFonts w:cs="Times New Roman"/>
          <w:sz w:val="24"/>
          <w:szCs w:val="24"/>
          <w:lang w:eastAsia="bg-BG"/>
        </w:rPr>
      </w:pPr>
      <w:r w:rsidRPr="00430779">
        <w:rPr>
          <w:rFonts w:cs="Times New Roman"/>
          <w:sz w:val="24"/>
          <w:szCs w:val="24"/>
          <w:lang w:eastAsia="bg-BG"/>
        </w:rPr>
        <w:t>-</w:t>
      </w:r>
      <w:r w:rsidRPr="00430779">
        <w:rPr>
          <w:rFonts w:cs="Times New Roman"/>
          <w:sz w:val="24"/>
          <w:szCs w:val="24"/>
          <w:lang w:eastAsia="bg-BG"/>
        </w:rPr>
        <w:tab/>
        <w:t>които включват дейности, чието изпълнение е стартирало преди подписването на договора за финансиране на проекта по настоящата процедура.</w:t>
      </w:r>
    </w:p>
    <w:p w:rsidR="00195AC2" w:rsidRPr="00430779" w:rsidRDefault="00195AC2" w:rsidP="00B27B3D">
      <w:pPr>
        <w:spacing w:before="120" w:after="120"/>
        <w:rPr>
          <w:rFonts w:cs="Times New Roman"/>
          <w:sz w:val="24"/>
          <w:szCs w:val="24"/>
          <w:lang w:eastAsia="bg-BG"/>
        </w:rPr>
      </w:pPr>
      <w:r w:rsidRPr="00430779">
        <w:rPr>
          <w:rFonts w:cs="Times New Roman"/>
          <w:b/>
          <w:sz w:val="24"/>
          <w:szCs w:val="24"/>
          <w:lang w:eastAsia="bg-BG"/>
        </w:rPr>
        <w:t xml:space="preserve">ВАЖНО: </w:t>
      </w:r>
      <w:r w:rsidRPr="00430779">
        <w:rPr>
          <w:rFonts w:cs="Times New Roman"/>
          <w:sz w:val="24"/>
          <w:szCs w:val="24"/>
          <w:lang w:eastAsia="bg-BG"/>
        </w:rPr>
        <w:t xml:space="preserve">Всяко обстоятелство по т. 3.4 от насоките подлежи на проверка и полученото неправомерно финансиране следва да бъде възстановено. </w:t>
      </w:r>
    </w:p>
    <w:p w:rsidR="00195AC2" w:rsidRPr="00430779" w:rsidRDefault="00195AC2" w:rsidP="00B27B3D">
      <w:pPr>
        <w:spacing w:before="120" w:after="120"/>
        <w:rPr>
          <w:rFonts w:cs="Times New Roman"/>
          <w:sz w:val="24"/>
          <w:szCs w:val="24"/>
          <w:lang w:eastAsia="bg-BG"/>
        </w:rPr>
      </w:pPr>
      <w:r w:rsidRPr="00430779">
        <w:rPr>
          <w:rFonts w:cs="Times New Roman"/>
          <w:sz w:val="24"/>
          <w:szCs w:val="24"/>
          <w:lang w:eastAsia="bg-BG"/>
        </w:rPr>
        <w:t>Поканата се публикува в централен ежедневник и на интернет страниците на Министерство на образованието и науката и Фонд „Научни изследвания“.</w:t>
      </w:r>
    </w:p>
    <w:p w:rsidR="00195AC2" w:rsidRPr="00430779" w:rsidRDefault="00195AC2" w:rsidP="00B27B3D">
      <w:pPr>
        <w:spacing w:before="120" w:after="120"/>
        <w:rPr>
          <w:rFonts w:cs="Times New Roman"/>
          <w:b/>
          <w:sz w:val="24"/>
          <w:szCs w:val="24"/>
          <w:lang w:val="ru-RU" w:eastAsia="bg-BG"/>
        </w:rPr>
      </w:pPr>
      <w:r w:rsidRPr="00430779">
        <w:rPr>
          <w:rFonts w:cs="Times New Roman"/>
          <w:sz w:val="24"/>
          <w:szCs w:val="24"/>
          <w:lang w:eastAsia="bg-BG"/>
        </w:rPr>
        <w:t>Пълната информация за конкурса и процедурите за кандидатстване може да намерите на интернет страницата на Фонд „Научни изследвания“.</w:t>
      </w:r>
      <w:r w:rsidRPr="00430779">
        <w:rPr>
          <w:rFonts w:cs="Times New Roman"/>
          <w:b/>
          <w:sz w:val="24"/>
          <w:szCs w:val="24"/>
          <w:lang w:val="en-US" w:eastAsia="bg-BG"/>
        </w:rPr>
        <w:t>http</w:t>
      </w:r>
      <w:r w:rsidRPr="00430779">
        <w:rPr>
          <w:rFonts w:cs="Times New Roman"/>
          <w:b/>
          <w:sz w:val="24"/>
          <w:szCs w:val="24"/>
          <w:lang w:val="ru-RU" w:eastAsia="bg-BG"/>
        </w:rPr>
        <w:t>://</w:t>
      </w:r>
      <w:r w:rsidRPr="00430779">
        <w:rPr>
          <w:rFonts w:cs="Times New Roman"/>
          <w:b/>
          <w:sz w:val="24"/>
          <w:szCs w:val="24"/>
          <w:lang w:val="en-US" w:eastAsia="bg-BG"/>
        </w:rPr>
        <w:t>www</w:t>
      </w:r>
      <w:r w:rsidRPr="00430779">
        <w:rPr>
          <w:rFonts w:cs="Times New Roman"/>
          <w:b/>
          <w:sz w:val="24"/>
          <w:szCs w:val="24"/>
          <w:lang w:val="ru-RU" w:eastAsia="bg-BG"/>
        </w:rPr>
        <w:t>.</w:t>
      </w:r>
      <w:proofErr w:type="spellStart"/>
      <w:r w:rsidRPr="00430779">
        <w:rPr>
          <w:rFonts w:cs="Times New Roman"/>
          <w:b/>
          <w:sz w:val="24"/>
          <w:szCs w:val="24"/>
          <w:lang w:val="en-US" w:eastAsia="bg-BG"/>
        </w:rPr>
        <w:t>fni</w:t>
      </w:r>
      <w:proofErr w:type="spellEnd"/>
      <w:r w:rsidRPr="00430779">
        <w:rPr>
          <w:rFonts w:cs="Times New Roman"/>
          <w:b/>
          <w:sz w:val="24"/>
          <w:szCs w:val="24"/>
          <w:lang w:val="ru-RU" w:eastAsia="bg-BG"/>
        </w:rPr>
        <w:t>.</w:t>
      </w:r>
      <w:proofErr w:type="spellStart"/>
      <w:r w:rsidRPr="00430779">
        <w:rPr>
          <w:rFonts w:cs="Times New Roman"/>
          <w:b/>
          <w:sz w:val="24"/>
          <w:szCs w:val="24"/>
          <w:lang w:val="en-US" w:eastAsia="bg-BG"/>
        </w:rPr>
        <w:t>bg</w:t>
      </w:r>
      <w:proofErr w:type="spellEnd"/>
    </w:p>
    <w:p w:rsidR="00195AC2" w:rsidRPr="00430779" w:rsidRDefault="00195AC2" w:rsidP="00D9763A">
      <w:pPr>
        <w:spacing w:before="120" w:after="600"/>
        <w:rPr>
          <w:rFonts w:cs="Times New Roman"/>
          <w:b/>
          <w:sz w:val="24"/>
          <w:szCs w:val="24"/>
          <w:lang w:val="ru-RU" w:eastAsia="bg-BG"/>
        </w:rPr>
      </w:pPr>
      <w:r w:rsidRPr="00430779">
        <w:rPr>
          <w:rFonts w:cs="Times New Roman"/>
          <w:b/>
          <w:sz w:val="24"/>
          <w:szCs w:val="24"/>
          <w:lang w:eastAsia="bg-BG"/>
        </w:rPr>
        <w:t>Краен срок: 17 часа на 25.07.2017</w:t>
      </w:r>
    </w:p>
    <w:p w:rsidR="00D913A2" w:rsidRPr="00083511" w:rsidRDefault="00EA647E" w:rsidP="00083511">
      <w:pPr>
        <w:pStyle w:val="Heading2"/>
        <w:ind w:left="851" w:hanging="851"/>
        <w:rPr>
          <w:lang w:val="ru-RU" w:eastAsia="bg-BG"/>
        </w:rPr>
      </w:pPr>
      <w:bookmarkStart w:id="16" w:name="_Toc485041298"/>
      <w:r w:rsidRPr="00083511">
        <w:rPr>
          <w:lang w:val="ru-RU" w:eastAsia="bg-BG"/>
        </w:rPr>
        <w:t>Програма ERA.Net RUS Plus</w:t>
      </w:r>
      <w:bookmarkEnd w:id="16"/>
    </w:p>
    <w:p w:rsidR="00D913A2" w:rsidRPr="00083511" w:rsidRDefault="00D913A2" w:rsidP="00083511">
      <w:pPr>
        <w:spacing w:before="120" w:after="120"/>
        <w:rPr>
          <w:sz w:val="24"/>
          <w:szCs w:val="24"/>
          <w:lang w:val="ru-RU" w:eastAsia="bg-BG"/>
        </w:rPr>
      </w:pPr>
      <w:r w:rsidRPr="00083511">
        <w:rPr>
          <w:sz w:val="24"/>
          <w:szCs w:val="24"/>
          <w:lang w:val="ru-RU" w:eastAsia="bg-BG"/>
        </w:rPr>
        <w:t>Целта на този конкурс е да се укрепи и насърчи по-нататъшното ползотворно сътрудничество между Европейския съюз и Русия в областта на научните изследвания и технологиите. ERA.Net RUS Plus е важна стъпка за по-нататъшното приобщаване на Русия и руските научноизследователски общности в Европейското научноизследователско пространство (ERA).</w:t>
      </w:r>
    </w:p>
    <w:p w:rsidR="00D913A2" w:rsidRPr="00083511" w:rsidRDefault="00D913A2" w:rsidP="00083511">
      <w:pPr>
        <w:spacing w:before="120" w:after="120"/>
        <w:rPr>
          <w:sz w:val="24"/>
          <w:szCs w:val="24"/>
          <w:lang w:val="ru-RU" w:eastAsia="bg-BG"/>
        </w:rPr>
      </w:pPr>
      <w:r w:rsidRPr="00083511">
        <w:rPr>
          <w:sz w:val="24"/>
          <w:szCs w:val="24"/>
          <w:lang w:val="ru-RU" w:eastAsia="bg-BG"/>
        </w:rPr>
        <w:t>Оперативното управление на изпълнението на програмата ще бъде поето от консорциум в състав: координатор - немската Агенция за управление на проекти DLR, в сътрудничество с Фондация за фундаментални изследвания, Русия, Международен център за иновации в науката, технологиите и образованието, Русия, Център за социална иновация, Австрия и Висше училище по икономика, Русия.</w:t>
      </w:r>
    </w:p>
    <w:p w:rsidR="00D913A2" w:rsidRPr="00083511" w:rsidRDefault="00D913A2" w:rsidP="00083511">
      <w:pPr>
        <w:spacing w:before="120" w:after="120"/>
        <w:rPr>
          <w:sz w:val="24"/>
          <w:szCs w:val="24"/>
          <w:lang w:val="ru-RU" w:eastAsia="bg-BG"/>
        </w:rPr>
      </w:pPr>
      <w:r w:rsidRPr="00083511">
        <w:rPr>
          <w:sz w:val="24"/>
          <w:szCs w:val="24"/>
          <w:lang w:val="ru-RU" w:eastAsia="bg-BG"/>
        </w:rPr>
        <w:lastRenderedPageBreak/>
        <w:t>Участващите страни са: Белгия, България, Естония, Финландия, Германия, Латвия, Молдова, Румъния, Русия, Сърбия, Словакия, Швейцария и Турция.</w:t>
      </w:r>
    </w:p>
    <w:p w:rsidR="00D913A2" w:rsidRPr="00083511" w:rsidRDefault="00D913A2" w:rsidP="00083511">
      <w:pPr>
        <w:spacing w:before="120" w:after="120"/>
        <w:rPr>
          <w:sz w:val="24"/>
          <w:szCs w:val="24"/>
          <w:lang w:val="ru-RU" w:eastAsia="bg-BG"/>
        </w:rPr>
      </w:pPr>
      <w:r w:rsidRPr="00083511">
        <w:rPr>
          <w:sz w:val="24"/>
          <w:szCs w:val="24"/>
          <w:lang w:val="ru-RU" w:eastAsia="bg-BG"/>
        </w:rPr>
        <w:t>Съгласно схемата за финансиране на конкурса, всяка финансираща страна следва да поеме финансирането на своя екип в рамките на съответния многостранен проект, в който участва той.</w:t>
      </w:r>
    </w:p>
    <w:p w:rsidR="00D913A2" w:rsidRPr="00083511" w:rsidRDefault="00D913A2" w:rsidP="00083511">
      <w:pPr>
        <w:spacing w:before="120" w:after="120"/>
        <w:rPr>
          <w:sz w:val="24"/>
          <w:szCs w:val="24"/>
          <w:lang w:val="ru-RU" w:eastAsia="bg-BG"/>
        </w:rPr>
      </w:pPr>
      <w:r w:rsidRPr="00083511">
        <w:rPr>
          <w:sz w:val="24"/>
          <w:szCs w:val="24"/>
          <w:lang w:val="ru-RU" w:eastAsia="bg-BG"/>
        </w:rPr>
        <w:t>Финансовият принос от страна на България, представлявана от фонд „Научни изследвания“ (ФНИ), ще бъде в размер на 250 000 евро.</w:t>
      </w:r>
    </w:p>
    <w:p w:rsidR="00D913A2" w:rsidRPr="00083511" w:rsidRDefault="00D913A2" w:rsidP="00083511">
      <w:pPr>
        <w:spacing w:before="120" w:after="120"/>
        <w:rPr>
          <w:b/>
          <w:sz w:val="24"/>
          <w:szCs w:val="24"/>
          <w:lang w:val="ru-RU" w:eastAsia="bg-BG"/>
        </w:rPr>
      </w:pPr>
      <w:r w:rsidRPr="00083511">
        <w:rPr>
          <w:sz w:val="24"/>
          <w:szCs w:val="24"/>
          <w:lang w:val="ru-RU" w:eastAsia="bg-BG"/>
        </w:rPr>
        <w:t xml:space="preserve">Направленията на конкурса са 5: </w:t>
      </w:r>
      <w:r w:rsidRPr="00083511">
        <w:rPr>
          <w:b/>
          <w:sz w:val="24"/>
          <w:szCs w:val="24"/>
          <w:lang w:val="ru-RU" w:eastAsia="bg-BG"/>
        </w:rPr>
        <w:t>нанотехнологии, околна среда/изменения на климата, здравеопазване, социални и хуманитарни науки и роботика.</w:t>
      </w:r>
    </w:p>
    <w:p w:rsidR="00D913A2" w:rsidRPr="00083511" w:rsidRDefault="00D913A2" w:rsidP="00083511">
      <w:pPr>
        <w:spacing w:before="120" w:after="120"/>
        <w:rPr>
          <w:sz w:val="24"/>
          <w:szCs w:val="24"/>
          <w:lang w:val="ru-RU" w:eastAsia="bg-BG"/>
        </w:rPr>
      </w:pPr>
      <w:r w:rsidRPr="00083511">
        <w:rPr>
          <w:sz w:val="24"/>
          <w:szCs w:val="24"/>
          <w:lang w:val="ru-RU" w:eastAsia="bg-BG"/>
        </w:rPr>
        <w:t>Кандидатите за участие в конкурса могат да бъдат научни организации и университети, малки и средни предприятия, извършващи научни изследвания, както и други институции, избираеми за финансиране в съответствие с даденото национално законодателство. Консорциумът за даден проект трябва да включва проектни партньори (избираеми за финансиране) най-малко от три различни държави, от които поне един трябва да е от Русия. Всяко проектно предложение ще бъде оценявано от трима външни, независими оценители, които ще бъдат избирани от база данни с експерти, като поне един от тях трябва да бъде от Русия.</w:t>
      </w:r>
    </w:p>
    <w:p w:rsidR="00D913A2" w:rsidRPr="00083511" w:rsidRDefault="00D913A2" w:rsidP="00083511">
      <w:pPr>
        <w:spacing w:before="120" w:after="120"/>
        <w:rPr>
          <w:sz w:val="24"/>
          <w:szCs w:val="24"/>
          <w:lang w:val="ru-RU" w:eastAsia="bg-BG"/>
        </w:rPr>
      </w:pPr>
      <w:r w:rsidRPr="00083511">
        <w:rPr>
          <w:sz w:val="24"/>
          <w:szCs w:val="24"/>
          <w:lang w:val="ru-RU" w:eastAsia="bg-BG"/>
        </w:rPr>
        <w:t>Процедурата включва проверка на национално ниво – до 28 юли 2017 г.; оценка на предложенията – до 22 септември 2017 г.; период на обжалване от страна на кандидатите спрямо оценителите – до 29 септември 2017 г.; среща на Научния съвет (състоящ се от научни експерти на високо ниво) – 23-27 октомври 2017 г.; среща на Групата финансиращи страни (GFP) за вземане на решение – 20-24 ноември 2017 г. Предвижда се проектите да стартират през пролетта на 2018 г. и да имат продължителност от 24 до 36 месеца.</w:t>
      </w:r>
    </w:p>
    <w:p w:rsidR="00D913A2" w:rsidRPr="00083511" w:rsidRDefault="00D913A2" w:rsidP="00083511">
      <w:pPr>
        <w:spacing w:before="120" w:after="120"/>
        <w:rPr>
          <w:sz w:val="24"/>
          <w:szCs w:val="24"/>
          <w:lang w:val="ru-RU" w:eastAsia="bg-BG"/>
        </w:rPr>
      </w:pPr>
      <w:r w:rsidRPr="00083511">
        <w:rPr>
          <w:sz w:val="24"/>
          <w:szCs w:val="24"/>
          <w:lang w:val="ru-RU" w:eastAsia="bg-BG"/>
        </w:rPr>
        <w:t>Проектите се подават посредством уеб-базирана онлайн система: https://secure.pt-dlr.de/ptoutline/app/users/login/RUS_ST2017.</w:t>
      </w:r>
    </w:p>
    <w:p w:rsidR="00D913A2" w:rsidRPr="00083511" w:rsidRDefault="00D913A2" w:rsidP="00083511">
      <w:pPr>
        <w:spacing w:before="120" w:after="120"/>
        <w:rPr>
          <w:sz w:val="24"/>
          <w:szCs w:val="24"/>
          <w:lang w:val="ru-RU" w:eastAsia="bg-BG"/>
        </w:rPr>
      </w:pPr>
      <w:r w:rsidRPr="00083511">
        <w:rPr>
          <w:sz w:val="24"/>
          <w:szCs w:val="24"/>
          <w:lang w:val="ru-RU" w:eastAsia="bg-BG"/>
        </w:rPr>
        <w:t>Конкурсът, включително общите принципи и конкретните правила и процедури за кандидатстване, оценка и избор на проектни предложения са подробно описани в Заданието за програмата и са публикувани на уебсайта http://www.eranet-rus.eu/. Специфичните условия за българските кандидатстващи организации са публикувани на адрес: http://www.era.net-rus.eu/_media/Bulgaria_BNSF_2017.pdf .</w:t>
      </w:r>
    </w:p>
    <w:p w:rsidR="00D913A2" w:rsidRPr="00083511" w:rsidRDefault="00D913A2" w:rsidP="00083511">
      <w:pPr>
        <w:spacing w:before="120" w:after="120"/>
        <w:rPr>
          <w:b/>
          <w:sz w:val="24"/>
          <w:szCs w:val="24"/>
          <w:lang w:val="ru-RU" w:eastAsia="bg-BG"/>
        </w:rPr>
      </w:pPr>
      <w:r w:rsidRPr="00083511">
        <w:rPr>
          <w:b/>
          <w:sz w:val="24"/>
          <w:szCs w:val="24"/>
          <w:lang w:val="ru-RU" w:eastAsia="bg-BG"/>
        </w:rPr>
        <w:t xml:space="preserve">Крайният срок за подаване на проектни предложения е 4 юли 2017 г. </w:t>
      </w:r>
    </w:p>
    <w:p w:rsidR="00BB1782" w:rsidRDefault="00BB1782">
      <w:pPr>
        <w:jc w:val="left"/>
        <w:rPr>
          <w:lang w:val="ru-RU" w:eastAsia="bg-BG"/>
        </w:rPr>
      </w:pPr>
      <w:r>
        <w:rPr>
          <w:lang w:val="ru-RU" w:eastAsia="bg-BG"/>
        </w:rPr>
        <w:br w:type="page"/>
      </w:r>
    </w:p>
    <w:p w:rsidR="00EB7CDC" w:rsidRPr="009D2824" w:rsidRDefault="009D2824" w:rsidP="009D2824">
      <w:pPr>
        <w:pStyle w:val="Heading2"/>
        <w:ind w:left="426"/>
        <w:rPr>
          <w:lang w:val="ru-RU" w:eastAsia="bg-BG"/>
        </w:rPr>
      </w:pPr>
      <w:bookmarkStart w:id="17" w:name="_Toc485041299"/>
      <w:r w:rsidRPr="009D2824">
        <w:rPr>
          <w:lang w:val="ru-RU" w:eastAsia="bg-BG"/>
        </w:rPr>
        <w:lastRenderedPageBreak/>
        <w:t xml:space="preserve">Процедура за </w:t>
      </w:r>
      <w:r w:rsidR="008C1B0A">
        <w:rPr>
          <w:lang w:val="ru-RU" w:eastAsia="bg-BG"/>
        </w:rPr>
        <w:t>в</w:t>
      </w:r>
      <w:r w:rsidRPr="009D2824">
        <w:rPr>
          <w:lang w:val="ru-RU" w:eastAsia="bg-BG"/>
        </w:rPr>
        <w:t xml:space="preserve">ключване на проекти в </w:t>
      </w:r>
      <w:r w:rsidRPr="009D2824">
        <w:rPr>
          <w:lang w:eastAsia="bg-BG"/>
        </w:rPr>
        <w:t>Европейската пътна карта за научна инфраструктура – 2018 г.</w:t>
      </w:r>
      <w:bookmarkEnd w:id="17"/>
    </w:p>
    <w:p w:rsidR="00EB7CDC" w:rsidRPr="007C7CF4" w:rsidRDefault="00EB7CDC" w:rsidP="00EB7CDC">
      <w:pPr>
        <w:rPr>
          <w:sz w:val="24"/>
          <w:szCs w:val="24"/>
          <w:lang w:eastAsia="bg-BG"/>
        </w:rPr>
      </w:pPr>
      <w:r w:rsidRPr="007C7CF4">
        <w:rPr>
          <w:sz w:val="24"/>
          <w:szCs w:val="24"/>
          <w:lang w:eastAsia="bg-BG"/>
        </w:rPr>
        <w:t xml:space="preserve">Открита </w:t>
      </w:r>
      <w:r w:rsidR="009D2824">
        <w:rPr>
          <w:sz w:val="24"/>
          <w:szCs w:val="24"/>
          <w:lang w:eastAsia="bg-BG"/>
        </w:rPr>
        <w:t xml:space="preserve">е </w:t>
      </w:r>
      <w:r w:rsidRPr="007C7CF4">
        <w:rPr>
          <w:sz w:val="24"/>
          <w:szCs w:val="24"/>
          <w:lang w:eastAsia="bg-BG"/>
        </w:rPr>
        <w:t>процедура за кандидатстване за включване на нови проекти в Landmarks (изградени, функциониращи инфраструктури) и/или Projects (за предстоящо изграждане) на Европейската пътна карта за научна инфраструктура – 2018 г.</w:t>
      </w:r>
    </w:p>
    <w:p w:rsidR="00EB7CDC" w:rsidRPr="007C7CF4" w:rsidRDefault="00EB7CDC" w:rsidP="00EB7CDC">
      <w:pPr>
        <w:rPr>
          <w:sz w:val="24"/>
          <w:szCs w:val="24"/>
          <w:lang w:eastAsia="bg-BG"/>
        </w:rPr>
      </w:pPr>
      <w:r w:rsidRPr="007C7CF4">
        <w:rPr>
          <w:sz w:val="24"/>
          <w:szCs w:val="24"/>
          <w:lang w:eastAsia="bg-BG"/>
        </w:rPr>
        <w:t>Изграждането на научна инфраструктура е ангажимент на всяка държава членка на Европейския съюз и представлява основен приоритет в Европейската пътна карта за изграждане на общоевропейско научноизследователско пространство.</w:t>
      </w:r>
    </w:p>
    <w:p w:rsidR="00EB7CDC" w:rsidRPr="007C7CF4" w:rsidRDefault="00EB7CDC" w:rsidP="00EB7CDC">
      <w:pPr>
        <w:rPr>
          <w:sz w:val="24"/>
          <w:szCs w:val="24"/>
          <w:lang w:eastAsia="bg-BG"/>
        </w:rPr>
      </w:pPr>
      <w:r w:rsidRPr="007C7CF4">
        <w:rPr>
          <w:sz w:val="24"/>
          <w:szCs w:val="24"/>
          <w:lang w:eastAsia="bg-BG"/>
        </w:rPr>
        <w:t xml:space="preserve">С </w:t>
      </w:r>
      <w:r w:rsidR="009D2824">
        <w:rPr>
          <w:sz w:val="24"/>
          <w:szCs w:val="24"/>
          <w:lang w:eastAsia="bg-BG"/>
        </w:rPr>
        <w:t xml:space="preserve">оглед </w:t>
      </w:r>
      <w:r w:rsidRPr="007C7CF4">
        <w:rPr>
          <w:sz w:val="24"/>
          <w:szCs w:val="24"/>
          <w:lang w:eastAsia="bg-BG"/>
        </w:rPr>
        <w:t xml:space="preserve">важната роля на европейската научна инфраструктура в международен план, както и възможностите за прилагане на концепция за глобални научноизследователски инфраструктури през 2016 г. в Кейптаун, Южна Африка беше проведена третата Международна конференция за научноизследователска инфраструктура. На конференцията Европейският стратегически форум за научноизследователски инфраструктури (ESFRI) </w:t>
      </w:r>
      <w:r w:rsidR="009D2824">
        <w:rPr>
          <w:sz w:val="24"/>
          <w:szCs w:val="24"/>
          <w:lang w:eastAsia="bg-BG"/>
        </w:rPr>
        <w:t xml:space="preserve">започна </w:t>
      </w:r>
      <w:r w:rsidRPr="007C7CF4">
        <w:rPr>
          <w:sz w:val="24"/>
          <w:szCs w:val="24"/>
          <w:lang w:eastAsia="bg-BG"/>
        </w:rPr>
        <w:t>подготовката по актуализация на Европейската пътна карта за научна инфраструктура - 2018.  </w:t>
      </w:r>
    </w:p>
    <w:p w:rsidR="00EB7CDC" w:rsidRPr="007C7CF4" w:rsidRDefault="00EB7CDC" w:rsidP="00EB7CDC">
      <w:pPr>
        <w:rPr>
          <w:sz w:val="24"/>
          <w:szCs w:val="24"/>
          <w:lang w:eastAsia="bg-BG"/>
        </w:rPr>
      </w:pPr>
      <w:r w:rsidRPr="007C7CF4">
        <w:rPr>
          <w:sz w:val="24"/>
          <w:szCs w:val="24"/>
          <w:lang w:eastAsia="bg-BG"/>
        </w:rPr>
        <w:t>Във връзка с това от 18 януари 2017 г. е открита процедура за кандидатстване за включване на нови проекти в Европейската пътна карта за научна инфраструктура - ESFRI Roadmap 2018.</w:t>
      </w:r>
    </w:p>
    <w:p w:rsidR="00EB7CDC" w:rsidRPr="007C7CF4" w:rsidRDefault="00EB7CDC" w:rsidP="00EB7CDC">
      <w:pPr>
        <w:rPr>
          <w:sz w:val="24"/>
          <w:szCs w:val="24"/>
          <w:lang w:eastAsia="bg-BG"/>
        </w:rPr>
      </w:pPr>
      <w:r w:rsidRPr="007C7CF4">
        <w:rPr>
          <w:sz w:val="24"/>
          <w:szCs w:val="24"/>
          <w:lang w:eastAsia="bg-BG"/>
        </w:rPr>
        <w:t>С цел пълно описание на изискванията, процедурите и методологията, които ще бъдат приложени при актуализацията на Пътната карта на страницата на ESFRI е публикувано ръководство, което включва дефиниции, модели и методи.</w:t>
      </w:r>
    </w:p>
    <w:p w:rsidR="00EB7CDC" w:rsidRPr="007C7CF4" w:rsidRDefault="009D2824" w:rsidP="00EB7CDC">
      <w:pPr>
        <w:rPr>
          <w:sz w:val="24"/>
          <w:szCs w:val="24"/>
          <w:lang w:eastAsia="bg-BG"/>
        </w:rPr>
      </w:pPr>
      <w:r>
        <w:rPr>
          <w:sz w:val="24"/>
          <w:szCs w:val="24"/>
          <w:lang w:eastAsia="bg-BG"/>
        </w:rPr>
        <w:t>Б</w:t>
      </w:r>
      <w:r w:rsidRPr="007C7CF4">
        <w:rPr>
          <w:sz w:val="24"/>
          <w:szCs w:val="24"/>
          <w:lang w:eastAsia="bg-BG"/>
        </w:rPr>
        <w:t xml:space="preserve">ългарски научни организации и консорциуми </w:t>
      </w:r>
      <w:r>
        <w:rPr>
          <w:sz w:val="24"/>
          <w:szCs w:val="24"/>
          <w:lang w:eastAsia="bg-BG"/>
        </w:rPr>
        <w:t xml:space="preserve">могат да </w:t>
      </w:r>
      <w:r w:rsidRPr="007C7CF4">
        <w:rPr>
          <w:sz w:val="24"/>
          <w:szCs w:val="24"/>
          <w:lang w:eastAsia="bg-BG"/>
        </w:rPr>
        <w:t>подават заявление за участие в процедурата на ESFRI за набиране на проектни предложения</w:t>
      </w:r>
      <w:r>
        <w:rPr>
          <w:sz w:val="24"/>
          <w:szCs w:val="24"/>
          <w:lang w:eastAsia="bg-BG"/>
        </w:rPr>
        <w:t xml:space="preserve"> в </w:t>
      </w:r>
      <w:r w:rsidR="00EB7CDC" w:rsidRPr="009D2824">
        <w:rPr>
          <w:bCs/>
          <w:sz w:val="24"/>
          <w:szCs w:val="24"/>
          <w:lang w:eastAsia="bg-BG"/>
        </w:rPr>
        <w:t xml:space="preserve">Министерството на образованието и науката </w:t>
      </w:r>
      <w:r w:rsidR="00EB7CDC" w:rsidRPr="009D2824">
        <w:rPr>
          <w:sz w:val="24"/>
          <w:szCs w:val="24"/>
          <w:lang w:eastAsia="bg-BG"/>
        </w:rPr>
        <w:t>на</w:t>
      </w:r>
      <w:r w:rsidR="00EB7CDC" w:rsidRPr="007C7CF4">
        <w:rPr>
          <w:sz w:val="24"/>
          <w:szCs w:val="24"/>
          <w:lang w:eastAsia="bg-BG"/>
        </w:rPr>
        <w:t xml:space="preserve"> адрес: София – 1000, бул. „Дондуков“ 2а, дирекция „Наука“</w:t>
      </w:r>
      <w:r>
        <w:rPr>
          <w:sz w:val="24"/>
          <w:szCs w:val="24"/>
          <w:lang w:eastAsia="bg-BG"/>
        </w:rPr>
        <w:t>.</w:t>
      </w:r>
      <w:r w:rsidR="00EB7CDC" w:rsidRPr="007C7CF4">
        <w:rPr>
          <w:sz w:val="24"/>
          <w:szCs w:val="24"/>
          <w:lang w:eastAsia="bg-BG"/>
        </w:rPr>
        <w:t xml:space="preserve"> </w:t>
      </w:r>
    </w:p>
    <w:p w:rsidR="00EB7CDC" w:rsidRPr="007C7CF4" w:rsidRDefault="00EB7CDC" w:rsidP="00EB7CDC">
      <w:pPr>
        <w:rPr>
          <w:sz w:val="24"/>
          <w:szCs w:val="24"/>
          <w:lang w:eastAsia="bg-BG"/>
        </w:rPr>
      </w:pPr>
      <w:r w:rsidRPr="007C7CF4">
        <w:rPr>
          <w:sz w:val="24"/>
          <w:szCs w:val="24"/>
          <w:lang w:eastAsia="bg-BG"/>
        </w:rPr>
        <w:t>Проектните предложения се подават чрез делегата на България в ESFRI под формата на попълнен въпросник, който се състои от три части:</w:t>
      </w:r>
    </w:p>
    <w:p w:rsidR="00EB7CDC" w:rsidRPr="007C7CF4" w:rsidRDefault="00EB7CDC" w:rsidP="000D4193">
      <w:pPr>
        <w:numPr>
          <w:ilvl w:val="0"/>
          <w:numId w:val="7"/>
        </w:numPr>
        <w:rPr>
          <w:sz w:val="24"/>
          <w:szCs w:val="24"/>
          <w:lang w:eastAsia="bg-BG"/>
        </w:rPr>
      </w:pPr>
      <w:r w:rsidRPr="007C7CF4">
        <w:rPr>
          <w:sz w:val="24"/>
          <w:szCs w:val="24"/>
          <w:lang w:eastAsia="bg-BG"/>
        </w:rPr>
        <w:t>Част А – изисква основна информация, използвана при проверката за допустимост</w:t>
      </w:r>
    </w:p>
    <w:p w:rsidR="00EB7CDC" w:rsidRPr="007C7CF4" w:rsidRDefault="00EB7CDC" w:rsidP="000D4193">
      <w:pPr>
        <w:numPr>
          <w:ilvl w:val="0"/>
          <w:numId w:val="7"/>
        </w:numPr>
        <w:rPr>
          <w:sz w:val="24"/>
          <w:szCs w:val="24"/>
          <w:lang w:eastAsia="bg-BG"/>
        </w:rPr>
      </w:pPr>
      <w:r w:rsidRPr="007C7CF4">
        <w:rPr>
          <w:sz w:val="24"/>
          <w:szCs w:val="24"/>
          <w:lang w:eastAsia="bg-BG"/>
        </w:rPr>
        <w:t>Част B – научната част</w:t>
      </w:r>
    </w:p>
    <w:p w:rsidR="00EB7CDC" w:rsidRPr="007C7CF4" w:rsidRDefault="00EB7CDC" w:rsidP="000D4193">
      <w:pPr>
        <w:numPr>
          <w:ilvl w:val="0"/>
          <w:numId w:val="7"/>
        </w:numPr>
        <w:rPr>
          <w:sz w:val="24"/>
          <w:szCs w:val="24"/>
          <w:lang w:eastAsia="bg-BG"/>
        </w:rPr>
      </w:pPr>
      <w:r w:rsidRPr="007C7CF4">
        <w:rPr>
          <w:sz w:val="24"/>
          <w:szCs w:val="24"/>
          <w:lang w:eastAsia="bg-BG"/>
        </w:rPr>
        <w:t>Част C – изпълнение и управление</w:t>
      </w:r>
    </w:p>
    <w:p w:rsidR="00EB7CDC" w:rsidRPr="007C7CF4" w:rsidRDefault="00EB7CDC" w:rsidP="00EB7CDC">
      <w:pPr>
        <w:rPr>
          <w:sz w:val="24"/>
          <w:szCs w:val="24"/>
          <w:lang w:eastAsia="bg-BG"/>
        </w:rPr>
      </w:pPr>
      <w:r w:rsidRPr="007C7CF4">
        <w:rPr>
          <w:sz w:val="24"/>
          <w:szCs w:val="24"/>
          <w:lang w:eastAsia="bg-BG"/>
        </w:rPr>
        <w:t>Онлайн упътването е публикувано на адреси:</w:t>
      </w:r>
    </w:p>
    <w:p w:rsidR="009D2824" w:rsidRPr="00782091" w:rsidRDefault="00BA0805" w:rsidP="00EB7CDC">
      <w:pPr>
        <w:rPr>
          <w:rStyle w:val="Hyperlink"/>
          <w:sz w:val="24"/>
          <w:szCs w:val="24"/>
          <w:lang w:eastAsia="bg-BG"/>
        </w:rPr>
      </w:pPr>
      <w:hyperlink r:id="rId18" w:tgtFrame="_blank" w:history="1">
        <w:r w:rsidR="00EB7CDC" w:rsidRPr="007C7CF4">
          <w:rPr>
            <w:rStyle w:val="Hyperlink"/>
            <w:sz w:val="24"/>
            <w:szCs w:val="24"/>
            <w:lang w:eastAsia="bg-BG"/>
          </w:rPr>
          <w:t>http://www.esfri.eu/esfri-news/esfri-roadmap-2018-guide-proposers-available-online</w:t>
        </w:r>
      </w:hyperlink>
      <w:r w:rsidR="009D2824" w:rsidRPr="00782091">
        <w:rPr>
          <w:rStyle w:val="Hyperlink"/>
          <w:sz w:val="24"/>
          <w:szCs w:val="24"/>
          <w:lang w:eastAsia="bg-BG"/>
        </w:rPr>
        <w:t xml:space="preserve"> </w:t>
      </w:r>
    </w:p>
    <w:p w:rsidR="009D2824" w:rsidRPr="00782091" w:rsidRDefault="00EB7CDC" w:rsidP="00EB7CDC">
      <w:pPr>
        <w:rPr>
          <w:sz w:val="24"/>
          <w:szCs w:val="24"/>
          <w:lang w:eastAsia="bg-BG"/>
        </w:rPr>
      </w:pPr>
      <w:r w:rsidRPr="007C7CF4">
        <w:rPr>
          <w:sz w:val="24"/>
          <w:szCs w:val="24"/>
          <w:lang w:eastAsia="bg-BG"/>
        </w:rPr>
        <w:t>и</w:t>
      </w:r>
    </w:p>
    <w:p w:rsidR="00EB7CDC" w:rsidRPr="007C7CF4" w:rsidRDefault="00BA0805" w:rsidP="00EB7CDC">
      <w:pPr>
        <w:rPr>
          <w:sz w:val="24"/>
          <w:szCs w:val="24"/>
          <w:lang w:eastAsia="bg-BG"/>
        </w:rPr>
      </w:pPr>
      <w:hyperlink r:id="rId19" w:tgtFrame="_blank" w:history="1">
        <w:r w:rsidR="00EB7CDC" w:rsidRPr="007C7CF4">
          <w:rPr>
            <w:rStyle w:val="Hyperlink"/>
            <w:sz w:val="24"/>
            <w:szCs w:val="24"/>
            <w:lang w:eastAsia="bg-BG"/>
          </w:rPr>
          <w:t>http://www.esfri.eu/sites/default/files/docs/ESFRI_Roadmap_2018_Public_Guide_f.pdf</w:t>
        </w:r>
      </w:hyperlink>
      <w:r w:rsidR="00EB7CDC" w:rsidRPr="007C7CF4">
        <w:rPr>
          <w:sz w:val="24"/>
          <w:szCs w:val="24"/>
          <w:lang w:eastAsia="bg-BG"/>
        </w:rPr>
        <w:t>;</w:t>
      </w:r>
    </w:p>
    <w:p w:rsidR="00EB7CDC" w:rsidRPr="007C7CF4" w:rsidRDefault="00EB7CDC" w:rsidP="00EB7CDC">
      <w:pPr>
        <w:rPr>
          <w:sz w:val="24"/>
          <w:szCs w:val="24"/>
          <w:lang w:eastAsia="bg-BG"/>
        </w:rPr>
      </w:pPr>
      <w:r w:rsidRPr="007C7CF4">
        <w:rPr>
          <w:sz w:val="24"/>
          <w:szCs w:val="24"/>
          <w:lang w:eastAsia="bg-BG"/>
        </w:rPr>
        <w:t>Повече информация може да бъде намерена и на следните интернет страници:</w:t>
      </w:r>
    </w:p>
    <w:p w:rsidR="009D2824" w:rsidRPr="00782091" w:rsidRDefault="00EB7CDC" w:rsidP="00EB7CDC">
      <w:pPr>
        <w:rPr>
          <w:sz w:val="24"/>
          <w:szCs w:val="24"/>
          <w:lang w:val="ru-RU" w:eastAsia="bg-BG"/>
        </w:rPr>
      </w:pPr>
      <w:r w:rsidRPr="007C7CF4">
        <w:rPr>
          <w:sz w:val="24"/>
          <w:szCs w:val="24"/>
          <w:lang w:eastAsia="bg-BG"/>
        </w:rPr>
        <w:lastRenderedPageBreak/>
        <w:t>Въпросник за подаване на предложения:</w:t>
      </w:r>
    </w:p>
    <w:p w:rsidR="00EB7CDC" w:rsidRPr="007C7CF4" w:rsidRDefault="00BA0805" w:rsidP="00EB7CDC">
      <w:pPr>
        <w:rPr>
          <w:sz w:val="24"/>
          <w:szCs w:val="24"/>
          <w:lang w:eastAsia="bg-BG"/>
        </w:rPr>
      </w:pPr>
      <w:hyperlink r:id="rId20" w:tgtFrame="_blank" w:history="1">
        <w:r w:rsidR="00EB7CDC" w:rsidRPr="007C7CF4">
          <w:rPr>
            <w:rStyle w:val="Hyperlink"/>
            <w:sz w:val="24"/>
            <w:szCs w:val="24"/>
            <w:lang w:eastAsia="bg-BG"/>
          </w:rPr>
          <w:t>http://www.esfri.eu/sites/default/files/docs/ESFRI%20Roadmap%202018_Proposal_Submission_Questionnaire_Public.pdf</w:t>
        </w:r>
      </w:hyperlink>
      <w:r w:rsidR="00EB7CDC" w:rsidRPr="007C7CF4">
        <w:rPr>
          <w:sz w:val="24"/>
          <w:szCs w:val="24"/>
          <w:lang w:eastAsia="bg-BG"/>
        </w:rPr>
        <w:t>;</w:t>
      </w:r>
    </w:p>
    <w:p w:rsidR="00EB7CDC" w:rsidRPr="007C7CF4" w:rsidRDefault="00EB7CDC" w:rsidP="009D2824">
      <w:pPr>
        <w:jc w:val="left"/>
        <w:rPr>
          <w:sz w:val="24"/>
          <w:szCs w:val="24"/>
          <w:lang w:eastAsia="bg-BG"/>
        </w:rPr>
      </w:pPr>
      <w:r w:rsidRPr="007C7CF4">
        <w:rPr>
          <w:sz w:val="24"/>
          <w:szCs w:val="24"/>
          <w:lang w:eastAsia="bg-BG"/>
        </w:rPr>
        <w:t xml:space="preserve">Списък с контакти: </w:t>
      </w:r>
      <w:hyperlink r:id="rId21" w:tgtFrame="_blank" w:history="1">
        <w:r w:rsidRPr="007C7CF4">
          <w:rPr>
            <w:rStyle w:val="Hyperlink"/>
            <w:sz w:val="24"/>
            <w:szCs w:val="24"/>
            <w:lang w:eastAsia="bg-BG"/>
          </w:rPr>
          <w:t>http://www.esfri.eu/sites/default/files/docs/ESFRI%20RD2018_National%20contacts.pdf</w:t>
        </w:r>
      </w:hyperlink>
      <w:r w:rsidRPr="007C7CF4">
        <w:rPr>
          <w:sz w:val="24"/>
          <w:szCs w:val="24"/>
          <w:lang w:eastAsia="bg-BG"/>
        </w:rPr>
        <w:t>.</w:t>
      </w:r>
    </w:p>
    <w:p w:rsidR="00EB7CDC" w:rsidRPr="00782091" w:rsidRDefault="00EB7CDC" w:rsidP="009D2824">
      <w:pPr>
        <w:rPr>
          <w:sz w:val="24"/>
          <w:szCs w:val="24"/>
          <w:lang w:val="ru-RU" w:eastAsia="bg-BG"/>
        </w:rPr>
      </w:pPr>
      <w:r w:rsidRPr="007C7CF4">
        <w:rPr>
          <w:sz w:val="24"/>
          <w:szCs w:val="24"/>
          <w:lang w:eastAsia="bg-BG"/>
        </w:rPr>
        <w:t xml:space="preserve">За допълнителна информация моля да се обръщате към проф. Ана </w:t>
      </w:r>
      <w:proofErr w:type="spellStart"/>
      <w:r w:rsidRPr="007C7CF4">
        <w:rPr>
          <w:sz w:val="24"/>
          <w:szCs w:val="24"/>
          <w:lang w:eastAsia="bg-BG"/>
        </w:rPr>
        <w:t>Пройкова</w:t>
      </w:r>
      <w:proofErr w:type="spellEnd"/>
      <w:r w:rsidRPr="007C7CF4">
        <w:rPr>
          <w:sz w:val="24"/>
          <w:szCs w:val="24"/>
          <w:lang w:eastAsia="bg-BG"/>
        </w:rPr>
        <w:t>, делегат на България в ESFRI (</w:t>
      </w:r>
      <w:hyperlink r:id="rId22" w:history="1">
        <w:r w:rsidRPr="007C7CF4">
          <w:rPr>
            <w:rStyle w:val="Hyperlink"/>
            <w:sz w:val="24"/>
            <w:szCs w:val="24"/>
            <w:lang w:eastAsia="bg-BG"/>
          </w:rPr>
          <w:t>anap@phys.uni-sofia.bg</w:t>
        </w:r>
      </w:hyperlink>
      <w:r w:rsidRPr="007C7CF4">
        <w:rPr>
          <w:sz w:val="24"/>
          <w:szCs w:val="24"/>
          <w:lang w:eastAsia="bg-BG"/>
        </w:rPr>
        <w:t xml:space="preserve">) и Янита </w:t>
      </w:r>
      <w:proofErr w:type="spellStart"/>
      <w:r w:rsidRPr="007C7CF4">
        <w:rPr>
          <w:sz w:val="24"/>
          <w:szCs w:val="24"/>
          <w:lang w:eastAsia="bg-BG"/>
        </w:rPr>
        <w:t>Жеркова</w:t>
      </w:r>
      <w:proofErr w:type="spellEnd"/>
      <w:r w:rsidRPr="007C7CF4">
        <w:rPr>
          <w:sz w:val="24"/>
          <w:szCs w:val="24"/>
          <w:lang w:eastAsia="bg-BG"/>
        </w:rPr>
        <w:t>, началник на отдел в дирекция „Наука“  (</w:t>
      </w:r>
      <w:hyperlink r:id="rId23" w:history="1">
        <w:r w:rsidRPr="007C7CF4">
          <w:rPr>
            <w:rStyle w:val="Hyperlink"/>
            <w:sz w:val="24"/>
            <w:szCs w:val="24"/>
            <w:lang w:eastAsia="bg-BG"/>
          </w:rPr>
          <w:t>y.zherkova@mon.bg</w:t>
        </w:r>
      </w:hyperlink>
      <w:r w:rsidRPr="007C7CF4">
        <w:rPr>
          <w:sz w:val="24"/>
          <w:szCs w:val="24"/>
          <w:lang w:eastAsia="bg-BG"/>
        </w:rPr>
        <w:t>).</w:t>
      </w:r>
    </w:p>
    <w:p w:rsidR="009D2824" w:rsidRDefault="009D2824" w:rsidP="008C1B0A">
      <w:pPr>
        <w:spacing w:after="720"/>
        <w:rPr>
          <w:b/>
          <w:bCs/>
          <w:sz w:val="24"/>
          <w:szCs w:val="24"/>
          <w:lang w:eastAsia="bg-BG"/>
        </w:rPr>
      </w:pPr>
      <w:r w:rsidRPr="009D2824">
        <w:rPr>
          <w:b/>
          <w:sz w:val="24"/>
          <w:szCs w:val="24"/>
          <w:lang w:eastAsia="bg-BG"/>
        </w:rPr>
        <w:t xml:space="preserve">Краен срок: </w:t>
      </w:r>
      <w:r w:rsidRPr="009D2824">
        <w:rPr>
          <w:b/>
          <w:bCs/>
          <w:sz w:val="24"/>
          <w:szCs w:val="24"/>
          <w:lang w:eastAsia="bg-BG"/>
        </w:rPr>
        <w:t>01 юли 2017 г</w:t>
      </w:r>
    </w:p>
    <w:p w:rsidR="002E339B" w:rsidRPr="00AC7EFF" w:rsidRDefault="002E339B" w:rsidP="002E339B">
      <w:pPr>
        <w:pStyle w:val="Heading2"/>
        <w:ind w:left="426"/>
        <w:rPr>
          <w:rFonts w:ascii="Times New Roman" w:eastAsia="Times New Roman" w:hAnsi="Times New Roman"/>
          <w:lang w:eastAsia="bg-BG"/>
        </w:rPr>
      </w:pPr>
      <w:bookmarkStart w:id="18" w:name="_Toc485041300"/>
      <w:r>
        <w:rPr>
          <w:rFonts w:eastAsia="Times New Roman"/>
          <w:lang w:eastAsia="bg-BG"/>
        </w:rPr>
        <w:t>П</w:t>
      </w:r>
      <w:r w:rsidRPr="00AC7EFF">
        <w:rPr>
          <w:rFonts w:eastAsia="Times New Roman"/>
          <w:lang w:eastAsia="bg-BG"/>
        </w:rPr>
        <w:t>одкрепа на международ</w:t>
      </w:r>
      <w:r>
        <w:rPr>
          <w:rFonts w:eastAsia="Times New Roman"/>
          <w:lang w:eastAsia="bg-BG"/>
        </w:rPr>
        <w:t>ни научни форуми, провеждани в Република Б</w:t>
      </w:r>
      <w:r w:rsidRPr="00AC7EFF">
        <w:rPr>
          <w:rFonts w:eastAsia="Times New Roman"/>
          <w:lang w:eastAsia="bg-BG"/>
        </w:rPr>
        <w:t>ългария</w:t>
      </w:r>
      <w:bookmarkEnd w:id="18"/>
      <w:r w:rsidRPr="00AC7EFF">
        <w:rPr>
          <w:rFonts w:eastAsia="Times New Roman"/>
          <w:lang w:eastAsia="bg-BG"/>
        </w:rPr>
        <w:t xml:space="preserve"> </w:t>
      </w:r>
    </w:p>
    <w:p w:rsidR="002E339B" w:rsidRPr="00135787" w:rsidRDefault="002E339B" w:rsidP="002E339B">
      <w:pPr>
        <w:rPr>
          <w:sz w:val="24"/>
          <w:szCs w:val="24"/>
          <w:lang w:eastAsia="bg-BG"/>
        </w:rPr>
      </w:pPr>
      <w:r w:rsidRPr="00135787">
        <w:rPr>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Цел на процедурата:</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Подпомагане провеждането на международни научни  форуми на принципа на споделено финансиране  с цел установяване и задълбочаване на сътрудничеството на българските учени с водещи учени от чужбина, популяризиране на техните научни резултати и публикуване на материалите в реферирани издания.</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Допустими кандидати</w:t>
      </w:r>
      <w:r>
        <w:rPr>
          <w:rFonts w:eastAsia="Times New Roman" w:cs="Times New Roman"/>
          <w:b/>
          <w:color w:val="000000"/>
          <w:sz w:val="24"/>
          <w:szCs w:val="24"/>
          <w:lang w:eastAsia="bg-BG"/>
        </w:rPr>
        <w:t>:</w:t>
      </w:r>
    </w:p>
    <w:p w:rsidR="002E339B" w:rsidRPr="006B39BB" w:rsidRDefault="002E339B" w:rsidP="000D4193">
      <w:pPr>
        <w:numPr>
          <w:ilvl w:val="0"/>
          <w:numId w:val="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 xml:space="preserve">Акредитирани висши училища по чл. 85 ал.1 т.7 (ЗВО </w:t>
      </w:r>
      <w:proofErr w:type="spellStart"/>
      <w:r w:rsidRPr="006B39BB">
        <w:rPr>
          <w:rFonts w:eastAsia="Times New Roman" w:cs="Times New Roman"/>
          <w:color w:val="000000"/>
          <w:sz w:val="24"/>
          <w:szCs w:val="24"/>
          <w:lang w:eastAsia="bg-BG"/>
        </w:rPr>
        <w:t>Обн</w:t>
      </w:r>
      <w:proofErr w:type="spellEnd"/>
      <w:r w:rsidRPr="006B39BB">
        <w:rPr>
          <w:rFonts w:eastAsia="Times New Roman" w:cs="Times New Roman"/>
          <w:color w:val="000000"/>
          <w:sz w:val="24"/>
          <w:szCs w:val="24"/>
          <w:lang w:eastAsia="bg-BG"/>
        </w:rPr>
        <w:t>. ДВ. бр.112 от 27 Декември 1995г. изм. ДВ. бр.107 от 24 Декември 2014г).</w:t>
      </w:r>
    </w:p>
    <w:p w:rsidR="002E339B" w:rsidRPr="006B39BB" w:rsidRDefault="002E339B" w:rsidP="000D4193">
      <w:pPr>
        <w:numPr>
          <w:ilvl w:val="0"/>
          <w:numId w:val="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 xml:space="preserve">Научни организации по чл. 47 ал. 1 на (ЗВО </w:t>
      </w:r>
      <w:proofErr w:type="spellStart"/>
      <w:r w:rsidRPr="006B39BB">
        <w:rPr>
          <w:rFonts w:eastAsia="Times New Roman" w:cs="Times New Roman"/>
          <w:color w:val="000000"/>
          <w:sz w:val="24"/>
          <w:szCs w:val="24"/>
          <w:lang w:eastAsia="bg-BG"/>
        </w:rPr>
        <w:t>Обн</w:t>
      </w:r>
      <w:proofErr w:type="spellEnd"/>
      <w:r w:rsidRPr="006B39BB">
        <w:rPr>
          <w:rFonts w:eastAsia="Times New Roman" w:cs="Times New Roman"/>
          <w:color w:val="000000"/>
          <w:sz w:val="24"/>
          <w:szCs w:val="24"/>
          <w:lang w:eastAsia="bg-BG"/>
        </w:rPr>
        <w:t>. ДВ. бр.112 от 27 Декември 1995г. изм. ДВ. бр.107 от 24 Декември 2014г).</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Критерии за оценка:</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Събитието да се провежда на територията на Република България;</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Доказано международно участие;</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Проявата да съответства на целите в чл. 2, ал. 1 на ЗННИ или да попада в приоритетните области на Националната стратегия за развитие на научните изследвания или на Иновационната стратегия за интелигентна специализация;</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Структурирана програма;</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Минимален брой участници - 50 души, с минимум 10% доказано участие на млади учени;</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Престиж на международните лектори;</w:t>
      </w:r>
    </w:p>
    <w:p w:rsidR="002E339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lastRenderedPageBreak/>
        <w:t>Бюджет на исканото съфинансиране от ФНИ, както и задължително посочване на финансовия принос от други и/или собствени  източници. Средствата от ФНИ, могат да се разходват за организационни разходи и за разходи за настаняване на поканените лектори и настаняване и командировъчни разходи на млади учени, както и други разходи, посочени в описанието на Процедурата.</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Pr>
          <w:rFonts w:eastAsia="Times New Roman" w:cs="Times New Roman"/>
          <w:b/>
          <w:color w:val="000000"/>
          <w:sz w:val="24"/>
          <w:szCs w:val="24"/>
          <w:lang w:eastAsia="bg-BG"/>
        </w:rPr>
        <w:t>П</w:t>
      </w:r>
      <w:r w:rsidRPr="00A13F3D">
        <w:rPr>
          <w:rFonts w:eastAsia="Times New Roman" w:cs="Times New Roman"/>
          <w:b/>
          <w:color w:val="000000"/>
          <w:sz w:val="24"/>
          <w:szCs w:val="24"/>
          <w:lang w:eastAsia="bg-BG"/>
        </w:rPr>
        <w:t>редставяне и подбор на предложенията</w:t>
      </w:r>
      <w:r w:rsidRPr="006B39BB">
        <w:rPr>
          <w:rFonts w:eastAsia="Times New Roman" w:cs="Times New Roman"/>
          <w:color w:val="000000"/>
          <w:sz w:val="24"/>
          <w:szCs w:val="24"/>
          <w:lang w:eastAsia="bg-BG"/>
        </w:rPr>
        <w:t>:</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Предложенията се представят в свободен формат с придружително писмо, като трябва да съдържат информация по всички посочени критерии. Проектните предложения ще бъдат разглеждани от Временна научно-експертна комисия за подбор на предложенията всяко тримесечие.</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В рамките на една сесия могат да бъдат подкрепени до две предложения от научна организация.</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A13F3D">
        <w:rPr>
          <w:rFonts w:eastAsia="Times New Roman" w:cs="Times New Roman"/>
          <w:b/>
          <w:color w:val="000000"/>
          <w:sz w:val="24"/>
          <w:szCs w:val="24"/>
          <w:lang w:eastAsia="bg-BG"/>
        </w:rPr>
        <w:t xml:space="preserve">Максимален  размер на </w:t>
      </w:r>
      <w:proofErr w:type="spellStart"/>
      <w:r w:rsidRPr="00A13F3D">
        <w:rPr>
          <w:rFonts w:eastAsia="Times New Roman" w:cs="Times New Roman"/>
          <w:b/>
          <w:color w:val="000000"/>
          <w:sz w:val="24"/>
          <w:szCs w:val="24"/>
          <w:lang w:eastAsia="bg-BG"/>
        </w:rPr>
        <w:t>съфинансиранет</w:t>
      </w:r>
      <w:r w:rsidRPr="006B39BB">
        <w:rPr>
          <w:rFonts w:eastAsia="Times New Roman" w:cs="Times New Roman"/>
          <w:color w:val="000000"/>
          <w:sz w:val="24"/>
          <w:szCs w:val="24"/>
          <w:lang w:eastAsia="bg-BG"/>
        </w:rPr>
        <w:t>о</w:t>
      </w:r>
      <w:proofErr w:type="spellEnd"/>
      <w:r w:rsidRPr="006B39BB">
        <w:rPr>
          <w:rFonts w:eastAsia="Times New Roman" w:cs="Times New Roman"/>
          <w:color w:val="000000"/>
          <w:sz w:val="24"/>
          <w:szCs w:val="24"/>
          <w:lang w:eastAsia="bg-BG"/>
        </w:rPr>
        <w:t xml:space="preserve"> - до 7000 лв.</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Предложенията се подават в деловодството на ФНИ, бул. „Ал. Стамболийски 239Б.</w:t>
      </w:r>
    </w:p>
    <w:p w:rsidR="002E339B" w:rsidRPr="006B39BB" w:rsidRDefault="00BA0805" w:rsidP="002E339B">
      <w:pPr>
        <w:shd w:val="clear" w:color="auto" w:fill="FFFFFF"/>
        <w:spacing w:before="120" w:after="120"/>
        <w:rPr>
          <w:rFonts w:eastAsia="Times New Roman" w:cs="Times New Roman"/>
          <w:color w:val="000000"/>
          <w:sz w:val="24"/>
          <w:szCs w:val="24"/>
          <w:lang w:eastAsia="bg-BG"/>
        </w:rPr>
      </w:pPr>
      <w:hyperlink r:id="rId24" w:tgtFrame="_blank" w:history="1">
        <w:r w:rsidR="002E339B" w:rsidRPr="006B39BB">
          <w:rPr>
            <w:rFonts w:eastAsia="Times New Roman" w:cs="Times New Roman"/>
            <w:color w:val="014CA1"/>
            <w:sz w:val="24"/>
            <w:szCs w:val="24"/>
            <w:lang w:eastAsia="bg-BG"/>
          </w:rPr>
          <w:t>Пълен текст на процедурата</w:t>
        </w:r>
      </w:hyperlink>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В съответствие с чл. 50 на Правилника на Фонда, кандидатите могат да поискат разяснения от Фонда по конкурсната документация на обявените конкурси до 10 дни преди изтичането на срока за подаване на проектните предложения. Въпросите ще бъдат приемани само по електронна поща на адрес:  </w:t>
      </w:r>
      <w:hyperlink r:id="rId25" w:tgtFrame="_blank" w:history="1">
        <w:r w:rsidRPr="006B39BB">
          <w:rPr>
            <w:rFonts w:eastAsia="Times New Roman" w:cs="Times New Roman"/>
            <w:color w:val="014CA1"/>
            <w:sz w:val="24"/>
            <w:szCs w:val="24"/>
            <w:lang w:eastAsia="bg-BG"/>
          </w:rPr>
          <w:t>fni-konkursi@mon.bg</w:t>
        </w:r>
      </w:hyperlink>
    </w:p>
    <w:p w:rsidR="002E339B" w:rsidRPr="006B39BB" w:rsidRDefault="00BA0805" w:rsidP="002E339B">
      <w:pPr>
        <w:shd w:val="clear" w:color="auto" w:fill="FFFFFF"/>
        <w:spacing w:before="120" w:after="120"/>
        <w:rPr>
          <w:rFonts w:eastAsia="Times New Roman" w:cs="Times New Roman"/>
          <w:color w:val="000000"/>
          <w:sz w:val="24"/>
          <w:szCs w:val="24"/>
          <w:lang w:eastAsia="bg-BG"/>
        </w:rPr>
      </w:pPr>
      <w:hyperlink r:id="rId26" w:tgtFrame="_blank" w:history="1">
        <w:r w:rsidR="002E339B" w:rsidRPr="006B39BB">
          <w:rPr>
            <w:rFonts w:eastAsia="Times New Roman" w:cs="Times New Roman"/>
            <w:color w:val="014CA1"/>
            <w:sz w:val="24"/>
            <w:szCs w:val="24"/>
            <w:lang w:eastAsia="bg-BG"/>
          </w:rPr>
          <w:t>Въпроси и отговори във връзка с Покана за кандидатстване ПОДКРЕПА НА МЕЖДУНАРОДНИ НАУЧНИ ФОРУМИ, ПРОВЕЖДАНИ В РЕПУБЛИКА БЪЛГАРИЯ</w:t>
        </w:r>
      </w:hyperlink>
    </w:p>
    <w:p w:rsidR="002E339B" w:rsidRDefault="002E339B" w:rsidP="002E339B">
      <w:pPr>
        <w:shd w:val="clear" w:color="auto" w:fill="FFFFFF"/>
        <w:spacing w:before="120" w:after="720"/>
        <w:rPr>
          <w:rFonts w:eastAsia="Times New Roman" w:cs="Times New Roman"/>
          <w:b/>
          <w:color w:val="000000"/>
          <w:sz w:val="24"/>
          <w:szCs w:val="24"/>
          <w:lang w:val="en-US" w:eastAsia="bg-BG"/>
        </w:rPr>
      </w:pPr>
      <w:r w:rsidRPr="00A13F3D">
        <w:rPr>
          <w:rFonts w:eastAsia="Times New Roman" w:cs="Times New Roman"/>
          <w:b/>
          <w:color w:val="000000"/>
          <w:sz w:val="24"/>
          <w:szCs w:val="24"/>
          <w:lang w:eastAsia="bg-BG"/>
        </w:rPr>
        <w:t>Краен срок: текущ</w:t>
      </w:r>
    </w:p>
    <w:p w:rsidR="00B57F79" w:rsidRPr="00B57F79" w:rsidRDefault="00B57F79" w:rsidP="00B57F79">
      <w:pPr>
        <w:pStyle w:val="Heading2"/>
        <w:ind w:left="425" w:hanging="357"/>
        <w:rPr>
          <w:lang w:eastAsia="bg-BG"/>
        </w:rPr>
      </w:pPr>
      <w:bookmarkStart w:id="19" w:name="_Toc485041301"/>
      <w:r w:rsidRPr="00B57F79">
        <w:rPr>
          <w:lang w:eastAsia="bg-BG"/>
        </w:rPr>
        <w:t>Национално съфинансиране за участие на български колективи в утвърдени проекти по COST</w:t>
      </w:r>
      <w:bookmarkEnd w:id="19"/>
      <w:r w:rsidRPr="00B57F79">
        <w:rPr>
          <w:lang w:eastAsia="bg-BG"/>
        </w:rPr>
        <w:t xml:space="preserve"> </w:t>
      </w:r>
    </w:p>
    <w:p w:rsidR="005432B5" w:rsidRDefault="00B57F79" w:rsidP="005432B5">
      <w:pPr>
        <w:rPr>
          <w:rFonts w:cs="Times New Roman"/>
          <w:bCs/>
          <w:sz w:val="24"/>
          <w:szCs w:val="24"/>
          <w:lang w:eastAsia="bg-BG"/>
        </w:rPr>
      </w:pPr>
      <w:r w:rsidRPr="00B57F79">
        <w:rPr>
          <w:rFonts w:cs="Times New Roman"/>
          <w:bCs/>
          <w:sz w:val="24"/>
          <w:szCs w:val="24"/>
          <w:lang w:eastAsia="bg-BG"/>
        </w:rPr>
        <w:t>Фонд „Научни изследвания“ отправя покана за кандидатстване по п</w:t>
      </w:r>
      <w:r w:rsidR="005432B5" w:rsidRPr="00B57F79">
        <w:rPr>
          <w:rFonts w:cs="Times New Roman"/>
          <w:bCs/>
          <w:sz w:val="24"/>
          <w:szCs w:val="24"/>
          <w:lang w:eastAsia="bg-BG"/>
        </w:rPr>
        <w:t>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w:t>
      </w:r>
      <w:r>
        <w:rPr>
          <w:rFonts w:cs="Times New Roman"/>
          <w:bCs/>
          <w:sz w:val="24"/>
          <w:szCs w:val="24"/>
          <w:lang w:eastAsia="bg-BG"/>
        </w:rPr>
        <w:t>е изследвания и технологии COST.</w:t>
      </w:r>
    </w:p>
    <w:p w:rsidR="00B57F79" w:rsidRDefault="005432B5" w:rsidP="005432B5">
      <w:pPr>
        <w:rPr>
          <w:rFonts w:cs="Times New Roman"/>
          <w:sz w:val="24"/>
          <w:szCs w:val="24"/>
          <w:lang w:eastAsia="bg-BG"/>
        </w:rPr>
      </w:pPr>
      <w:r w:rsidRPr="00ED29A2">
        <w:rPr>
          <w:rFonts w:cs="Times New Roman"/>
          <w:sz w:val="24"/>
          <w:szCs w:val="24"/>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5432B5" w:rsidRPr="00ED29A2" w:rsidRDefault="005432B5" w:rsidP="005432B5">
      <w:pPr>
        <w:rPr>
          <w:rFonts w:cs="Times New Roman"/>
          <w:sz w:val="24"/>
          <w:szCs w:val="24"/>
          <w:lang w:eastAsia="bg-BG"/>
        </w:rPr>
      </w:pPr>
      <w:r w:rsidRPr="00ED29A2">
        <w:rPr>
          <w:rFonts w:cs="Times New Roman"/>
          <w:sz w:val="24"/>
          <w:szCs w:val="24"/>
          <w:lang w:eastAsia="bg-BG"/>
        </w:rPr>
        <w:t>ДОПУСТИМИ КАНДИДАТИ</w:t>
      </w:r>
    </w:p>
    <w:p w:rsidR="005432B5" w:rsidRPr="00ED29A2" w:rsidRDefault="005432B5" w:rsidP="000D4193">
      <w:pPr>
        <w:numPr>
          <w:ilvl w:val="0"/>
          <w:numId w:val="5"/>
        </w:numPr>
        <w:rPr>
          <w:rFonts w:cs="Times New Roman"/>
          <w:sz w:val="24"/>
          <w:szCs w:val="24"/>
          <w:lang w:eastAsia="bg-BG"/>
        </w:rPr>
      </w:pPr>
      <w:r w:rsidRPr="00ED29A2">
        <w:rPr>
          <w:rFonts w:cs="Times New Roman"/>
          <w:sz w:val="24"/>
          <w:szCs w:val="24"/>
          <w:lang w:eastAsia="bg-BG"/>
        </w:rPr>
        <w:t xml:space="preserve">Акредитирани висши училища по чл. 85 ал.1 т.7 (ЗВО </w:t>
      </w:r>
      <w:proofErr w:type="spellStart"/>
      <w:r w:rsidRPr="00ED29A2">
        <w:rPr>
          <w:rFonts w:cs="Times New Roman"/>
          <w:sz w:val="24"/>
          <w:szCs w:val="24"/>
          <w:lang w:eastAsia="bg-BG"/>
        </w:rPr>
        <w:t>Обн</w:t>
      </w:r>
      <w:proofErr w:type="spellEnd"/>
      <w:r w:rsidRPr="00ED29A2">
        <w:rPr>
          <w:rFonts w:cs="Times New Roman"/>
          <w:sz w:val="24"/>
          <w:szCs w:val="24"/>
          <w:lang w:eastAsia="bg-BG"/>
        </w:rPr>
        <w:t>. ДВ. бр.112 от 27 Декември 1995г. изм. ДВ. бр.107 от 24 Декември 2014г).</w:t>
      </w:r>
    </w:p>
    <w:p w:rsidR="005432B5" w:rsidRPr="00ED29A2" w:rsidRDefault="005432B5" w:rsidP="000D4193">
      <w:pPr>
        <w:numPr>
          <w:ilvl w:val="0"/>
          <w:numId w:val="5"/>
        </w:numPr>
        <w:rPr>
          <w:rFonts w:cs="Times New Roman"/>
          <w:sz w:val="24"/>
          <w:szCs w:val="24"/>
          <w:lang w:eastAsia="bg-BG"/>
        </w:rPr>
      </w:pPr>
      <w:r w:rsidRPr="00ED29A2">
        <w:rPr>
          <w:rFonts w:cs="Times New Roman"/>
          <w:sz w:val="24"/>
          <w:szCs w:val="24"/>
          <w:lang w:eastAsia="bg-BG"/>
        </w:rPr>
        <w:lastRenderedPageBreak/>
        <w:t xml:space="preserve">Научни организации по чл. 47 ал. 1 на (ЗВО </w:t>
      </w:r>
      <w:proofErr w:type="spellStart"/>
      <w:r w:rsidRPr="00ED29A2">
        <w:rPr>
          <w:rFonts w:cs="Times New Roman"/>
          <w:sz w:val="24"/>
          <w:szCs w:val="24"/>
          <w:lang w:eastAsia="bg-BG"/>
        </w:rPr>
        <w:t>Обн</w:t>
      </w:r>
      <w:proofErr w:type="spellEnd"/>
      <w:r w:rsidRPr="00ED29A2">
        <w:rPr>
          <w:rFonts w:cs="Times New Roman"/>
          <w:sz w:val="24"/>
          <w:szCs w:val="24"/>
          <w:lang w:eastAsia="bg-BG"/>
        </w:rPr>
        <w:t>. ДВ. бр.112 от 27 Декември 1995г. изм. ДВ. бр.107 от 24 Декември 2014г).</w:t>
      </w:r>
    </w:p>
    <w:p w:rsidR="005432B5" w:rsidRPr="00ED29A2" w:rsidRDefault="005432B5" w:rsidP="005432B5">
      <w:pPr>
        <w:rPr>
          <w:rFonts w:cs="Times New Roman"/>
          <w:sz w:val="24"/>
          <w:szCs w:val="24"/>
          <w:lang w:eastAsia="bg-BG"/>
        </w:rPr>
      </w:pPr>
      <w:r w:rsidRPr="00ED29A2">
        <w:rPr>
          <w:rFonts w:cs="Times New Roman"/>
          <w:sz w:val="24"/>
          <w:szCs w:val="24"/>
          <w:lang w:eastAsia="bg-BG"/>
        </w:rPr>
        <w:t>КРИТЕРИИ ЗА ОЦЕНКА:</w:t>
      </w:r>
    </w:p>
    <w:p w:rsidR="005432B5" w:rsidRPr="00ED29A2" w:rsidRDefault="005432B5" w:rsidP="005432B5">
      <w:pPr>
        <w:rPr>
          <w:rFonts w:cs="Times New Roman"/>
          <w:sz w:val="24"/>
          <w:szCs w:val="24"/>
          <w:lang w:eastAsia="bg-BG"/>
        </w:rPr>
      </w:pPr>
      <w:r w:rsidRPr="00ED29A2">
        <w:rPr>
          <w:rFonts w:cs="Times New Roman"/>
          <w:sz w:val="24"/>
          <w:szCs w:val="24"/>
          <w:lang w:eastAsia="bg-BG"/>
        </w:rPr>
        <w:t xml:space="preserve">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w:t>
      </w:r>
      <w:proofErr w:type="spellStart"/>
      <w:r w:rsidRPr="00ED29A2">
        <w:rPr>
          <w:rFonts w:cs="Times New Roman"/>
          <w:sz w:val="24"/>
          <w:szCs w:val="24"/>
          <w:lang w:eastAsia="bg-BG"/>
        </w:rPr>
        <w:t>oт</w:t>
      </w:r>
      <w:proofErr w:type="spellEnd"/>
      <w:r w:rsidRPr="00ED29A2">
        <w:rPr>
          <w:rFonts w:cs="Times New Roman"/>
          <w:sz w:val="24"/>
          <w:szCs w:val="24"/>
          <w:lang w:eastAsia="bg-BG"/>
        </w:rPr>
        <w:t xml:space="preserve"> Съвета на висшит</w:t>
      </w:r>
      <w:r w:rsidR="00B57F79">
        <w:rPr>
          <w:rFonts w:cs="Times New Roman"/>
          <w:sz w:val="24"/>
          <w:szCs w:val="24"/>
          <w:lang w:eastAsia="bg-BG"/>
        </w:rPr>
        <w:t>е представители на програмата. </w:t>
      </w:r>
    </w:p>
    <w:p w:rsidR="005432B5" w:rsidRPr="00ED29A2" w:rsidRDefault="005432B5" w:rsidP="005432B5">
      <w:pPr>
        <w:rPr>
          <w:rFonts w:cs="Times New Roman"/>
          <w:sz w:val="24"/>
          <w:szCs w:val="24"/>
          <w:lang w:eastAsia="bg-BG"/>
        </w:rPr>
      </w:pPr>
      <w:r w:rsidRPr="00ED29A2">
        <w:rPr>
          <w:rFonts w:cs="Times New Roman"/>
          <w:sz w:val="24"/>
          <w:szCs w:val="24"/>
          <w:lang w:eastAsia="bg-BG"/>
        </w:rPr>
        <w:t>ПРЕДСТАВЯНЕ И ПОДБОР НА ПРЕДЛОЖЕНИЯТА:</w:t>
      </w:r>
    </w:p>
    <w:p w:rsidR="005432B5" w:rsidRPr="00ED29A2" w:rsidRDefault="005432B5" w:rsidP="005432B5">
      <w:pPr>
        <w:rPr>
          <w:rFonts w:cs="Times New Roman"/>
          <w:sz w:val="24"/>
          <w:szCs w:val="24"/>
          <w:lang w:eastAsia="bg-BG"/>
        </w:rPr>
      </w:pPr>
      <w:r w:rsidRPr="00ED29A2">
        <w:rPr>
          <w:rFonts w:cs="Times New Roman"/>
          <w:sz w:val="24"/>
          <w:szCs w:val="24"/>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w:t>
      </w:r>
      <w:r w:rsidR="00B57F79">
        <w:rPr>
          <w:rFonts w:cs="Times New Roman"/>
          <w:sz w:val="24"/>
          <w:szCs w:val="24"/>
          <w:lang w:eastAsia="bg-BG"/>
        </w:rPr>
        <w:t>ец март и през месец октомври/.</w:t>
      </w:r>
    </w:p>
    <w:p w:rsidR="005432B5" w:rsidRPr="00ED29A2" w:rsidRDefault="005432B5" w:rsidP="005432B5">
      <w:pPr>
        <w:rPr>
          <w:rFonts w:cs="Times New Roman"/>
          <w:sz w:val="24"/>
          <w:szCs w:val="24"/>
          <w:lang w:eastAsia="bg-BG"/>
        </w:rPr>
      </w:pPr>
      <w:r w:rsidRPr="00ED29A2">
        <w:rPr>
          <w:rFonts w:cs="Times New Roman"/>
          <w:sz w:val="24"/>
          <w:szCs w:val="24"/>
          <w:lang w:eastAsia="bg-BG"/>
        </w:rPr>
        <w:t>СРОК ЗА ПОДАВАН</w:t>
      </w:r>
      <w:r w:rsidR="00B57F79">
        <w:rPr>
          <w:rFonts w:cs="Times New Roman"/>
          <w:sz w:val="24"/>
          <w:szCs w:val="24"/>
          <w:lang w:eastAsia="bg-BG"/>
        </w:rPr>
        <w:t>Е НА ПРЕДЛОЖЕНИЯТА - безсрочно.</w:t>
      </w:r>
    </w:p>
    <w:p w:rsidR="005432B5" w:rsidRPr="00ED29A2" w:rsidRDefault="005432B5" w:rsidP="005432B5">
      <w:pPr>
        <w:rPr>
          <w:rFonts w:cs="Times New Roman"/>
          <w:sz w:val="24"/>
          <w:szCs w:val="24"/>
          <w:lang w:eastAsia="bg-BG"/>
        </w:rPr>
      </w:pPr>
      <w:r w:rsidRPr="00ED29A2">
        <w:rPr>
          <w:rFonts w:cs="Times New Roman"/>
          <w:sz w:val="24"/>
          <w:szCs w:val="24"/>
          <w:lang w:eastAsia="bg-BG"/>
        </w:rPr>
        <w:t>МАКСИМАЛЕН  РАЗМЕР НА СЪФИНАНСИРА</w:t>
      </w:r>
      <w:r w:rsidR="00B57F79">
        <w:rPr>
          <w:rFonts w:cs="Times New Roman"/>
          <w:sz w:val="24"/>
          <w:szCs w:val="24"/>
          <w:lang w:eastAsia="bg-BG"/>
        </w:rPr>
        <w:t>НЕТО - до 20 000 лв. на година.</w:t>
      </w:r>
    </w:p>
    <w:p w:rsidR="005432B5" w:rsidRPr="00ED29A2" w:rsidRDefault="005432B5" w:rsidP="005432B5">
      <w:pPr>
        <w:rPr>
          <w:rFonts w:cs="Times New Roman"/>
          <w:sz w:val="24"/>
          <w:szCs w:val="24"/>
          <w:lang w:eastAsia="bg-BG"/>
        </w:rPr>
      </w:pPr>
      <w:r w:rsidRPr="00ED29A2">
        <w:rPr>
          <w:rFonts w:cs="Times New Roman"/>
          <w:sz w:val="24"/>
          <w:szCs w:val="24"/>
          <w:lang w:eastAsia="bg-BG"/>
        </w:rPr>
        <w:t>Предложенията се подават в деловодството на ФНИ, бу</w:t>
      </w:r>
      <w:r w:rsidR="00B57F79">
        <w:rPr>
          <w:rFonts w:cs="Times New Roman"/>
          <w:sz w:val="24"/>
          <w:szCs w:val="24"/>
          <w:lang w:eastAsia="bg-BG"/>
        </w:rPr>
        <w:t>л. „Ал. Стамболийски 239Б. ет.3</w:t>
      </w:r>
    </w:p>
    <w:p w:rsidR="005432B5" w:rsidRPr="00B57F79" w:rsidRDefault="00BA0805" w:rsidP="000D4193">
      <w:pPr>
        <w:numPr>
          <w:ilvl w:val="0"/>
          <w:numId w:val="6"/>
        </w:numPr>
        <w:rPr>
          <w:rFonts w:cs="Times New Roman"/>
          <w:sz w:val="24"/>
          <w:szCs w:val="24"/>
          <w:lang w:eastAsia="bg-BG"/>
        </w:rPr>
      </w:pPr>
      <w:hyperlink r:id="rId27" w:tgtFrame="_blank" w:history="1">
        <w:r w:rsidR="005432B5" w:rsidRPr="00ED29A2">
          <w:rPr>
            <w:rStyle w:val="Hyperlink"/>
            <w:rFonts w:cs="Times New Roman"/>
            <w:sz w:val="24"/>
            <w:szCs w:val="24"/>
            <w:lang w:eastAsia="bg-BG"/>
          </w:rPr>
          <w:t>Пълен текст на процедурата</w:t>
        </w:r>
      </w:hyperlink>
    </w:p>
    <w:p w:rsidR="005432B5" w:rsidRDefault="005432B5" w:rsidP="005432B5">
      <w:pPr>
        <w:rPr>
          <w:rFonts w:cs="Times New Roman"/>
          <w:sz w:val="24"/>
          <w:szCs w:val="24"/>
          <w:lang w:eastAsia="bg-BG"/>
        </w:rPr>
      </w:pPr>
      <w:r w:rsidRPr="00ED29A2">
        <w:rPr>
          <w:rFonts w:cs="Times New Roman"/>
          <w:sz w:val="24"/>
          <w:szCs w:val="24"/>
          <w:lang w:eastAsia="bg-BG"/>
        </w:rPr>
        <w:t>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на адрес:  </w:t>
      </w:r>
      <w:hyperlink r:id="rId28" w:history="1">
        <w:r w:rsidRPr="00ED29A2">
          <w:rPr>
            <w:rStyle w:val="Hyperlink"/>
            <w:rFonts w:cs="Times New Roman"/>
            <w:sz w:val="24"/>
            <w:szCs w:val="24"/>
            <w:lang w:eastAsia="bg-BG"/>
          </w:rPr>
          <w:t>fni-konkursi@mon.bg</w:t>
        </w:r>
      </w:hyperlink>
    </w:p>
    <w:p w:rsidR="00B57F79" w:rsidRDefault="00B57F79" w:rsidP="001B1260">
      <w:pPr>
        <w:spacing w:after="720"/>
        <w:rPr>
          <w:rFonts w:cs="Times New Roman"/>
          <w:b/>
          <w:sz w:val="24"/>
          <w:szCs w:val="24"/>
          <w:lang w:eastAsia="bg-BG"/>
        </w:rPr>
      </w:pPr>
      <w:r w:rsidRPr="00B57F79">
        <w:rPr>
          <w:rFonts w:cs="Times New Roman"/>
          <w:b/>
          <w:sz w:val="24"/>
          <w:szCs w:val="24"/>
          <w:lang w:eastAsia="bg-BG"/>
        </w:rPr>
        <w:t>Краен срок: текущ</w:t>
      </w:r>
    </w:p>
    <w:p w:rsidR="002E339B" w:rsidRDefault="00BA0805" w:rsidP="001B1260">
      <w:pPr>
        <w:shd w:val="clear" w:color="auto" w:fill="FFFFFF"/>
        <w:spacing w:before="480" w:after="720"/>
        <w:rPr>
          <w:b/>
          <w:sz w:val="24"/>
          <w:szCs w:val="24"/>
          <w:lang w:val="en-US" w:eastAsia="bg-BG"/>
        </w:rPr>
      </w:pPr>
      <w:hyperlink r:id="rId29" w:history="1">
        <w:bookmarkStart w:id="20" w:name="_Toc428806822"/>
        <w:r w:rsidR="002E339B" w:rsidRPr="00902F16">
          <w:rPr>
            <w:rFonts w:asciiTheme="majorHAnsi" w:eastAsiaTheme="majorEastAsia" w:hAnsiTheme="majorHAnsi" w:cstheme="majorBidi"/>
            <w:b/>
            <w:bCs/>
            <w:caps/>
            <w:color w:val="0000FF" w:themeColor="hyperlink"/>
            <w:sz w:val="24"/>
            <w:szCs w:val="26"/>
            <w:u w:val="single"/>
            <w:lang w:val="en-US"/>
          </w:rPr>
          <w:t>R&amp;D Calls HORIZON 2020</w:t>
        </w:r>
        <w:bookmarkEnd w:id="20"/>
      </w:hyperlink>
    </w:p>
    <w:p w:rsidR="002E339B" w:rsidRDefault="002E339B" w:rsidP="002E339B">
      <w:pPr>
        <w:pStyle w:val="Heading2"/>
        <w:ind w:left="357" w:hanging="357"/>
      </w:pPr>
      <w:bookmarkStart w:id="21" w:name="_Toc485041302"/>
      <w:r w:rsidRPr="0052108C">
        <w:t>Програма: „Америка за България”</w:t>
      </w:r>
      <w:bookmarkEnd w:id="21"/>
    </w:p>
    <w:p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lastRenderedPageBreak/>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roofErr w:type="spellStart"/>
      <w:r w:rsidRPr="00036946">
        <w:rPr>
          <w:rFonts w:cs="Times New Roman"/>
          <w:sz w:val="24"/>
          <w:szCs w:val="24"/>
        </w:rPr>
        <w:t>Oтпускането</w:t>
      </w:r>
      <w:proofErr w:type="spellEnd"/>
      <w:r w:rsidRPr="00036946">
        <w:rPr>
          <w:rFonts w:cs="Times New Roman"/>
          <w:sz w:val="24"/>
          <w:szCs w:val="24"/>
        </w:rPr>
        <w:t xml:space="preserve">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финансиране. За </w:t>
      </w:r>
      <w:r w:rsidRPr="00036946">
        <w:rPr>
          <w:rFonts w:cs="Times New Roman"/>
          <w:sz w:val="24"/>
          <w:szCs w:val="24"/>
        </w:rPr>
        <w:t xml:space="preserve">улеснение </w:t>
      </w:r>
      <w:r>
        <w:rPr>
          <w:rFonts w:cs="Times New Roman"/>
          <w:sz w:val="24"/>
          <w:szCs w:val="24"/>
        </w:rPr>
        <w:t xml:space="preserve">се </w:t>
      </w:r>
      <w:r w:rsidRPr="00036946">
        <w:rPr>
          <w:rFonts w:cs="Times New Roman"/>
          <w:sz w:val="24"/>
          <w:szCs w:val="24"/>
        </w:rPr>
        <w:t>препоръчва</w:t>
      </w:r>
      <w:r>
        <w:rPr>
          <w:rFonts w:cs="Times New Roman"/>
          <w:sz w:val="24"/>
          <w:szCs w:val="24"/>
        </w:rPr>
        <w:t xml:space="preserve"> </w:t>
      </w:r>
      <w:r w:rsidRPr="00036946">
        <w:rPr>
          <w:rFonts w:cs="Times New Roman"/>
          <w:sz w:val="24"/>
          <w:szCs w:val="24"/>
        </w:rPr>
        <w:t>електронн</w:t>
      </w:r>
      <w:r>
        <w:rPr>
          <w:rFonts w:cs="Times New Roman"/>
          <w:sz w:val="24"/>
          <w:szCs w:val="24"/>
        </w:rPr>
        <w:t>ият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rsidR="002E339B" w:rsidRDefault="002E339B" w:rsidP="002E339B">
      <w:pPr>
        <w:autoSpaceDE w:val="0"/>
        <w:autoSpaceDN w:val="0"/>
        <w:adjustRightInd w:val="0"/>
        <w:spacing w:after="360"/>
        <w:rPr>
          <w:rFonts w:cs="Times New Roman"/>
          <w:b/>
          <w:bCs/>
          <w:color w:val="000000"/>
          <w:sz w:val="24"/>
          <w:szCs w:val="24"/>
        </w:rPr>
      </w:pPr>
      <w:r w:rsidRPr="00036946">
        <w:rPr>
          <w:rFonts w:cs="Times New Roman"/>
          <w:b/>
          <w:bCs/>
          <w:color w:val="000000"/>
          <w:sz w:val="24"/>
          <w:szCs w:val="24"/>
        </w:rPr>
        <w:t xml:space="preserve">Краен срок: текущ </w:t>
      </w:r>
    </w:p>
    <w:p w:rsidR="00083A5C" w:rsidRDefault="00083A5C" w:rsidP="00460469"/>
    <w:p w:rsidR="00B57F79" w:rsidRDefault="00B57F79" w:rsidP="00460469">
      <w:pPr>
        <w:sectPr w:rsidR="00B57F79" w:rsidSect="00EF7FA2">
          <w:footerReference w:type="default" r:id="rId30"/>
          <w:pgSz w:w="11906" w:h="16838"/>
          <w:pgMar w:top="1417" w:right="1133" w:bottom="1417" w:left="1417" w:header="708" w:footer="708" w:gutter="0"/>
          <w:cols w:space="708"/>
          <w:docGrid w:linePitch="360"/>
        </w:sectPr>
      </w:pPr>
    </w:p>
    <w:p w:rsidR="00AC582E" w:rsidRPr="00544F92" w:rsidRDefault="00912146" w:rsidP="00510D99">
      <w:pPr>
        <w:pStyle w:val="Events"/>
      </w:pPr>
      <w:bookmarkStart w:id="22" w:name="_Toc485041303"/>
      <w:r>
        <w:lastRenderedPageBreak/>
        <w:t>СЪБИТИЯ</w:t>
      </w:r>
      <w:bookmarkEnd w:id="22"/>
    </w:p>
    <w:p w:rsidR="008D56DC" w:rsidRPr="001118C6" w:rsidRDefault="008D56DC" w:rsidP="001118C6">
      <w:pPr>
        <w:rPr>
          <w:b/>
          <w:color w:val="E36C0A" w:themeColor="accent6" w:themeShade="BF"/>
          <w:sz w:val="24"/>
          <w:szCs w:val="24"/>
          <w:u w:val="single"/>
          <w:lang w:val="en" w:eastAsia="bg-BG"/>
        </w:rPr>
      </w:pPr>
      <w:r w:rsidRPr="001118C6">
        <w:rPr>
          <w:b/>
          <w:color w:val="E36C0A" w:themeColor="accent6" w:themeShade="BF"/>
          <w:sz w:val="24"/>
          <w:szCs w:val="24"/>
          <w:u w:val="single"/>
          <w:lang w:val="en" w:eastAsia="bg-BG"/>
        </w:rPr>
        <w:t>Research &amp; Innovation – shaping our future</w:t>
      </w:r>
      <w:r w:rsidR="00FC7915" w:rsidRPr="001118C6">
        <w:rPr>
          <w:b/>
          <w:color w:val="E36C0A" w:themeColor="accent6" w:themeShade="BF"/>
          <w:sz w:val="24"/>
          <w:szCs w:val="24"/>
          <w:u w:val="single"/>
          <w:lang w:val="en-US" w:eastAsia="bg-BG"/>
        </w:rPr>
        <w:t xml:space="preserve">, </w:t>
      </w:r>
      <w:r w:rsidRPr="001118C6">
        <w:rPr>
          <w:b/>
          <w:color w:val="E36C0A" w:themeColor="accent6" w:themeShade="BF"/>
          <w:sz w:val="24"/>
          <w:szCs w:val="24"/>
          <w:u w:val="single"/>
          <w:lang w:val="en" w:eastAsia="bg-BG"/>
        </w:rPr>
        <w:t>3 July 2017, Brussels, Belgium</w:t>
      </w:r>
    </w:p>
    <w:p w:rsidR="008D56DC" w:rsidRPr="008D56DC" w:rsidRDefault="008D56DC" w:rsidP="00FC7915">
      <w:pPr>
        <w:spacing w:before="100" w:beforeAutospacing="1" w:after="100" w:afterAutospacing="1"/>
        <w:rPr>
          <w:rFonts w:eastAsia="Times New Roman" w:cs="Times New Roman"/>
          <w:sz w:val="24"/>
          <w:szCs w:val="24"/>
          <w:lang w:val="en" w:eastAsia="bg-BG"/>
        </w:rPr>
      </w:pPr>
      <w:r w:rsidRPr="008D56DC">
        <w:rPr>
          <w:rFonts w:eastAsia="Times New Roman" w:cs="Times New Roman"/>
          <w:sz w:val="24"/>
          <w:szCs w:val="24"/>
          <w:lang w:val="en" w:eastAsia="bg-BG"/>
        </w:rPr>
        <w:t>Against the backdrop of the Commission's White Paper on the future of Europe, the conference "Research &amp; Innovation – shaping our future", hosted by Research, Science and Innovation Commissioner Carlos Moedas, will bring together policymakers from EU institutions, nearly 700 stakeholders and interested actors to discuss the role of research and innovation for Europe's future.</w:t>
      </w:r>
    </w:p>
    <w:p w:rsidR="008D56DC" w:rsidRPr="008D56DC" w:rsidRDefault="008D56DC" w:rsidP="00FC7915">
      <w:pPr>
        <w:spacing w:before="120" w:after="120"/>
        <w:rPr>
          <w:rFonts w:eastAsia="Times New Roman" w:cs="Times New Roman"/>
          <w:sz w:val="24"/>
          <w:szCs w:val="24"/>
          <w:lang w:val="en" w:eastAsia="bg-BG"/>
        </w:rPr>
      </w:pPr>
      <w:r w:rsidRPr="008D56DC">
        <w:rPr>
          <w:rFonts w:eastAsia="Times New Roman" w:cs="Times New Roman"/>
          <w:sz w:val="24"/>
          <w:szCs w:val="24"/>
          <w:lang w:val="en" w:eastAsia="bg-BG"/>
        </w:rPr>
        <w:t xml:space="preserve">Pascal </w:t>
      </w:r>
      <w:proofErr w:type="spellStart"/>
      <w:r w:rsidRPr="008D56DC">
        <w:rPr>
          <w:rFonts w:eastAsia="Times New Roman" w:cs="Times New Roman"/>
          <w:sz w:val="24"/>
          <w:szCs w:val="24"/>
          <w:lang w:val="en" w:eastAsia="bg-BG"/>
        </w:rPr>
        <w:t>Lamy</w:t>
      </w:r>
      <w:proofErr w:type="spellEnd"/>
      <w:r w:rsidRPr="008D56DC">
        <w:rPr>
          <w:rFonts w:eastAsia="Times New Roman" w:cs="Times New Roman"/>
          <w:sz w:val="24"/>
          <w:szCs w:val="24"/>
          <w:lang w:val="en" w:eastAsia="bg-BG"/>
        </w:rPr>
        <w:t xml:space="preserve">, the chair of the High Level Group on </w:t>
      </w:r>
      <w:proofErr w:type="spellStart"/>
      <w:r w:rsidRPr="008D56DC">
        <w:rPr>
          <w:rFonts w:eastAsia="Times New Roman" w:cs="Times New Roman"/>
          <w:sz w:val="24"/>
          <w:szCs w:val="24"/>
          <w:lang w:val="en" w:eastAsia="bg-BG"/>
        </w:rPr>
        <w:t>maximising</w:t>
      </w:r>
      <w:proofErr w:type="spellEnd"/>
      <w:r w:rsidRPr="008D56DC">
        <w:rPr>
          <w:rFonts w:eastAsia="Times New Roman" w:cs="Times New Roman"/>
          <w:sz w:val="24"/>
          <w:szCs w:val="24"/>
          <w:lang w:val="en" w:eastAsia="bg-BG"/>
        </w:rPr>
        <w:t xml:space="preserve"> the impact of European research and innovation programmes, will present the Group's vision and recommendations for the future, based on the results of the interim evaluation of Horizon 2020.</w:t>
      </w:r>
    </w:p>
    <w:p w:rsidR="008D56DC" w:rsidRPr="008D56DC" w:rsidRDefault="008D56DC" w:rsidP="00FC7915">
      <w:pPr>
        <w:spacing w:before="120" w:after="120"/>
        <w:rPr>
          <w:rFonts w:eastAsia="Times New Roman" w:cs="Times New Roman"/>
          <w:sz w:val="24"/>
          <w:szCs w:val="24"/>
          <w:lang w:val="en" w:eastAsia="bg-BG"/>
        </w:rPr>
      </w:pPr>
      <w:r w:rsidRPr="008D56DC">
        <w:rPr>
          <w:rFonts w:eastAsia="Times New Roman" w:cs="Times New Roman"/>
          <w:sz w:val="24"/>
          <w:szCs w:val="24"/>
          <w:lang w:val="en" w:eastAsia="bg-BG"/>
        </w:rPr>
        <w:t>The conference will build further momentum for research and innovation as an investment for our future by:</w:t>
      </w:r>
    </w:p>
    <w:p w:rsidR="008D56DC" w:rsidRPr="008D56DC" w:rsidRDefault="008D56DC" w:rsidP="000D4193">
      <w:pPr>
        <w:numPr>
          <w:ilvl w:val="0"/>
          <w:numId w:val="17"/>
        </w:numPr>
        <w:spacing w:before="120" w:after="120"/>
        <w:rPr>
          <w:rFonts w:eastAsia="Times New Roman" w:cs="Times New Roman"/>
          <w:sz w:val="24"/>
          <w:szCs w:val="24"/>
          <w:lang w:val="en" w:eastAsia="bg-BG"/>
        </w:rPr>
      </w:pPr>
      <w:r w:rsidRPr="008D56DC">
        <w:rPr>
          <w:rFonts w:eastAsia="Times New Roman" w:cs="Times New Roman"/>
          <w:sz w:val="24"/>
          <w:szCs w:val="24"/>
          <w:lang w:val="en" w:eastAsia="bg-BG"/>
        </w:rPr>
        <w:t>Discussing the recommendations of the High Level Group</w:t>
      </w:r>
    </w:p>
    <w:p w:rsidR="008D56DC" w:rsidRPr="008D56DC" w:rsidRDefault="008D56DC" w:rsidP="000D4193">
      <w:pPr>
        <w:numPr>
          <w:ilvl w:val="0"/>
          <w:numId w:val="17"/>
        </w:numPr>
        <w:spacing w:before="120" w:after="120"/>
        <w:rPr>
          <w:rFonts w:eastAsia="Times New Roman" w:cs="Times New Roman"/>
          <w:sz w:val="24"/>
          <w:szCs w:val="24"/>
          <w:lang w:val="en" w:eastAsia="bg-BG"/>
        </w:rPr>
      </w:pPr>
      <w:r w:rsidRPr="008D56DC">
        <w:rPr>
          <w:rFonts w:eastAsia="Times New Roman" w:cs="Times New Roman"/>
          <w:sz w:val="24"/>
          <w:szCs w:val="24"/>
          <w:lang w:val="en" w:eastAsia="bg-BG"/>
        </w:rPr>
        <w:t>Debating game-changing ideas in an interactive panel format</w:t>
      </w:r>
    </w:p>
    <w:p w:rsidR="008D56DC" w:rsidRPr="008D56DC" w:rsidRDefault="008D56DC" w:rsidP="00FC7915">
      <w:pPr>
        <w:spacing w:before="120" w:after="120"/>
        <w:rPr>
          <w:rFonts w:eastAsia="Times New Roman" w:cs="Times New Roman"/>
          <w:sz w:val="24"/>
          <w:szCs w:val="24"/>
          <w:lang w:val="en" w:eastAsia="bg-BG"/>
        </w:rPr>
      </w:pPr>
      <w:r w:rsidRPr="008D56DC">
        <w:rPr>
          <w:rFonts w:eastAsia="Times New Roman" w:cs="Times New Roman"/>
          <w:sz w:val="24"/>
          <w:szCs w:val="24"/>
          <w:lang w:val="en" w:eastAsia="bg-BG"/>
        </w:rPr>
        <w:t xml:space="preserve">Visionary speakers will include Nobel Prize winners, captains of industry, researchers and innovators at the frontier of progress, politicians and movers and shakers in society but also youngsters who have expectations for </w:t>
      </w:r>
      <w:proofErr w:type="gramStart"/>
      <w:r w:rsidRPr="008D56DC">
        <w:rPr>
          <w:rFonts w:eastAsia="Times New Roman" w:cs="Times New Roman"/>
          <w:sz w:val="24"/>
          <w:szCs w:val="24"/>
          <w:lang w:val="en" w:eastAsia="bg-BG"/>
        </w:rPr>
        <w:t>the(</w:t>
      </w:r>
      <w:proofErr w:type="spellStart"/>
      <w:proofErr w:type="gramEnd"/>
      <w:r w:rsidRPr="008D56DC">
        <w:rPr>
          <w:rFonts w:eastAsia="Times New Roman" w:cs="Times New Roman"/>
          <w:sz w:val="24"/>
          <w:szCs w:val="24"/>
          <w:lang w:val="en" w:eastAsia="bg-BG"/>
        </w:rPr>
        <w:t>ir</w:t>
      </w:r>
      <w:proofErr w:type="spellEnd"/>
      <w:r w:rsidRPr="008D56DC">
        <w:rPr>
          <w:rFonts w:eastAsia="Times New Roman" w:cs="Times New Roman"/>
          <w:sz w:val="24"/>
          <w:szCs w:val="24"/>
          <w:lang w:val="en" w:eastAsia="bg-BG"/>
        </w:rPr>
        <w:t>) future. They will discuss with the audience how research and innovation could transform our economy and improve our society.</w:t>
      </w:r>
    </w:p>
    <w:p w:rsidR="008D56DC" w:rsidRPr="008D56DC" w:rsidRDefault="008D56DC" w:rsidP="000D4193">
      <w:pPr>
        <w:numPr>
          <w:ilvl w:val="0"/>
          <w:numId w:val="18"/>
        </w:numPr>
        <w:spacing w:after="100" w:afterAutospacing="1" w:line="240" w:lineRule="auto"/>
        <w:ind w:left="714" w:hanging="357"/>
        <w:rPr>
          <w:rFonts w:eastAsia="Times New Roman" w:cs="Times New Roman"/>
          <w:sz w:val="24"/>
          <w:szCs w:val="24"/>
          <w:lang w:val="en" w:eastAsia="bg-BG"/>
        </w:rPr>
      </w:pPr>
      <w:hyperlink r:id="rId31" w:tgtFrame="_blank" w:history="1">
        <w:r w:rsidRPr="008D56DC">
          <w:rPr>
            <w:rFonts w:eastAsia="Times New Roman" w:cs="Times New Roman"/>
            <w:color w:val="0000FF"/>
            <w:sz w:val="24"/>
            <w:szCs w:val="24"/>
            <w:u w:val="single"/>
            <w:lang w:val="en" w:eastAsia="bg-BG"/>
          </w:rPr>
          <w:t>Registration</w:t>
        </w:r>
      </w:hyperlink>
      <w:r w:rsidRPr="008D56DC">
        <w:rPr>
          <w:rFonts w:eastAsia="Times New Roman" w:cs="Times New Roman"/>
          <w:sz w:val="24"/>
          <w:szCs w:val="24"/>
          <w:lang w:val="en" w:eastAsia="bg-BG"/>
        </w:rPr>
        <w:t xml:space="preserve"> </w:t>
      </w:r>
    </w:p>
    <w:p w:rsidR="008D56DC" w:rsidRPr="008D56DC" w:rsidRDefault="008D56DC" w:rsidP="000D4193">
      <w:pPr>
        <w:numPr>
          <w:ilvl w:val="0"/>
          <w:numId w:val="18"/>
        </w:numPr>
        <w:spacing w:before="100" w:beforeAutospacing="1" w:after="100" w:afterAutospacing="1" w:line="240" w:lineRule="auto"/>
        <w:ind w:left="714" w:hanging="357"/>
        <w:rPr>
          <w:rFonts w:eastAsia="Times New Roman" w:cs="Times New Roman"/>
          <w:sz w:val="24"/>
          <w:szCs w:val="24"/>
          <w:lang w:val="en" w:eastAsia="bg-BG"/>
        </w:rPr>
      </w:pPr>
      <w:hyperlink r:id="rId32" w:tgtFrame="_blank" w:history="1">
        <w:r w:rsidRPr="008D56DC">
          <w:rPr>
            <w:rFonts w:eastAsia="Times New Roman" w:cs="Times New Roman"/>
            <w:color w:val="0000FF"/>
            <w:sz w:val="24"/>
            <w:szCs w:val="24"/>
            <w:u w:val="single"/>
            <w:lang w:val="en" w:eastAsia="bg-BG"/>
          </w:rPr>
          <w:t>Conference website</w:t>
        </w:r>
      </w:hyperlink>
      <w:r w:rsidRPr="008D56DC">
        <w:rPr>
          <w:rFonts w:eastAsia="Times New Roman" w:cs="Times New Roman"/>
          <w:sz w:val="24"/>
          <w:szCs w:val="24"/>
          <w:lang w:val="en" w:eastAsia="bg-BG"/>
        </w:rPr>
        <w:t xml:space="preserve"> </w:t>
      </w:r>
    </w:p>
    <w:p w:rsidR="00DE0570" w:rsidRPr="005F4470" w:rsidRDefault="00DE0570" w:rsidP="005F4470">
      <w:pPr>
        <w:rPr>
          <w:b/>
          <w:color w:val="E36C0A" w:themeColor="accent6" w:themeShade="BF"/>
          <w:sz w:val="24"/>
          <w:szCs w:val="24"/>
          <w:u w:val="single"/>
          <w:lang w:val="en" w:eastAsia="bg-BG"/>
        </w:rPr>
      </w:pPr>
      <w:r w:rsidRPr="005F4470">
        <w:rPr>
          <w:b/>
          <w:color w:val="E36C0A" w:themeColor="accent6" w:themeShade="BF"/>
          <w:sz w:val="24"/>
          <w:szCs w:val="24"/>
          <w:u w:val="single"/>
          <w:lang w:val="en" w:eastAsia="bg-BG"/>
        </w:rPr>
        <w:t xml:space="preserve">5th </w:t>
      </w:r>
      <w:r w:rsidR="00D32AE6" w:rsidRPr="005F4470">
        <w:rPr>
          <w:b/>
          <w:color w:val="E36C0A" w:themeColor="accent6" w:themeShade="BF"/>
          <w:sz w:val="24"/>
          <w:szCs w:val="24"/>
          <w:u w:val="single"/>
          <w:lang w:val="en" w:eastAsia="bg-BG"/>
        </w:rPr>
        <w:t xml:space="preserve">Hellenic Forum for Science Technology and Innovation, </w:t>
      </w:r>
      <w:r w:rsidRPr="005F4470">
        <w:rPr>
          <w:b/>
          <w:color w:val="E36C0A" w:themeColor="accent6" w:themeShade="BF"/>
          <w:sz w:val="24"/>
          <w:szCs w:val="24"/>
          <w:u w:val="single"/>
          <w:lang w:val="en" w:eastAsia="bg-BG"/>
        </w:rPr>
        <w:t>5-7 July 2017, Athens, Greece</w:t>
      </w:r>
    </w:p>
    <w:p w:rsidR="00DE0570" w:rsidRPr="00DE0570" w:rsidRDefault="00DE0570" w:rsidP="00D32AE6">
      <w:pPr>
        <w:spacing w:before="100" w:beforeAutospacing="1" w:after="100" w:afterAutospacing="1"/>
        <w:rPr>
          <w:rFonts w:eastAsia="Times New Roman" w:cs="Times New Roman"/>
          <w:sz w:val="24"/>
          <w:szCs w:val="24"/>
          <w:lang w:val="en" w:eastAsia="bg-BG"/>
        </w:rPr>
      </w:pPr>
      <w:r w:rsidRPr="00DE0570">
        <w:rPr>
          <w:rFonts w:eastAsia="Times New Roman" w:cs="Times New Roman"/>
          <w:sz w:val="24"/>
          <w:szCs w:val="24"/>
          <w:lang w:val="en" w:eastAsia="bg-BG"/>
        </w:rPr>
        <w:t xml:space="preserve">The Hellenic Forum is under the auspices of the Hellenic Ministry of Foreign Affairs and aims to act as a meeting point for Science, Technology and Innovation building bridges with scientists abroad, in order to enhance scientific and technological transfer collaboration for innovation. The Forum will cover a broad range of topics including Nanotechnology, Energy &amp; Environment, Life Sciences, </w:t>
      </w:r>
      <w:proofErr w:type="gramStart"/>
      <w:r w:rsidRPr="00DE0570">
        <w:rPr>
          <w:rFonts w:eastAsia="Times New Roman" w:cs="Times New Roman"/>
          <w:sz w:val="24"/>
          <w:szCs w:val="24"/>
          <w:lang w:val="en" w:eastAsia="bg-BG"/>
        </w:rPr>
        <w:t>ICT ,</w:t>
      </w:r>
      <w:proofErr w:type="gramEnd"/>
      <w:r w:rsidRPr="00DE0570">
        <w:rPr>
          <w:rFonts w:eastAsia="Times New Roman" w:cs="Times New Roman"/>
          <w:sz w:val="24"/>
          <w:szCs w:val="24"/>
          <w:lang w:val="en" w:eastAsia="bg-BG"/>
        </w:rPr>
        <w:t xml:space="preserve"> Particle Physics, Cultural Heritage with emphasis to converging technologies. </w:t>
      </w:r>
      <w:hyperlink r:id="rId33" w:tgtFrame="_blank" w:history="1">
        <w:r w:rsidRPr="00DE0570">
          <w:rPr>
            <w:rFonts w:eastAsia="Times New Roman" w:cs="Times New Roman"/>
            <w:color w:val="0000FF"/>
            <w:sz w:val="24"/>
            <w:szCs w:val="24"/>
            <w:u w:val="single"/>
            <w:lang w:val="en" w:eastAsia="bg-BG"/>
          </w:rPr>
          <w:t>More information and registration</w:t>
        </w:r>
      </w:hyperlink>
      <w:r w:rsidRPr="00DE0570">
        <w:rPr>
          <w:rFonts w:eastAsia="Times New Roman" w:cs="Times New Roman"/>
          <w:sz w:val="24"/>
          <w:szCs w:val="24"/>
          <w:lang w:val="en" w:eastAsia="bg-BG"/>
        </w:rPr>
        <w:t xml:space="preserve"> </w:t>
      </w:r>
    </w:p>
    <w:p w:rsidR="003E0745" w:rsidRPr="00D043E1" w:rsidRDefault="003E0745" w:rsidP="003E0745">
      <w:pPr>
        <w:spacing w:after="100" w:afterAutospacing="1"/>
        <w:rPr>
          <w:rFonts w:cs="Times New Roman"/>
          <w:b/>
          <w:bCs/>
          <w:color w:val="E36C0A" w:themeColor="accent6" w:themeShade="BF"/>
          <w:sz w:val="24"/>
          <w:szCs w:val="24"/>
          <w:u w:val="single"/>
          <w:lang w:val="en-US" w:eastAsia="bg-BG"/>
        </w:rPr>
      </w:pPr>
      <w:r w:rsidRPr="00D043E1">
        <w:rPr>
          <w:rFonts w:cs="Times New Roman"/>
          <w:b/>
          <w:bCs/>
          <w:color w:val="E36C0A" w:themeColor="accent6" w:themeShade="BF"/>
          <w:sz w:val="24"/>
          <w:szCs w:val="24"/>
          <w:u w:val="single"/>
          <w:lang w:eastAsia="bg-BG"/>
        </w:rPr>
        <w:t>Summer school on composite materials</w:t>
      </w:r>
      <w:r w:rsidRPr="00D043E1">
        <w:rPr>
          <w:rFonts w:cs="Times New Roman"/>
          <w:b/>
          <w:bCs/>
          <w:color w:val="E36C0A" w:themeColor="accent6" w:themeShade="BF"/>
          <w:sz w:val="24"/>
          <w:szCs w:val="24"/>
          <w:u w:val="single"/>
          <w:lang w:val="en-US" w:eastAsia="bg-BG"/>
        </w:rPr>
        <w:t xml:space="preserve">, </w:t>
      </w:r>
      <w:r w:rsidRPr="00D043E1">
        <w:rPr>
          <w:rFonts w:cs="Times New Roman"/>
          <w:b/>
          <w:bCs/>
          <w:color w:val="E36C0A" w:themeColor="accent6" w:themeShade="BF"/>
          <w:sz w:val="24"/>
          <w:szCs w:val="24"/>
          <w:u w:val="single"/>
          <w:lang w:eastAsia="bg-BG"/>
        </w:rPr>
        <w:t>11</w:t>
      </w:r>
      <w:r w:rsidRPr="00D043E1">
        <w:rPr>
          <w:rFonts w:cs="Times New Roman"/>
          <w:b/>
          <w:bCs/>
          <w:color w:val="E36C0A" w:themeColor="accent6" w:themeShade="BF"/>
          <w:sz w:val="24"/>
          <w:szCs w:val="24"/>
          <w:u w:val="single"/>
          <w:lang w:val="en-US" w:eastAsia="bg-BG"/>
        </w:rPr>
        <w:t xml:space="preserve"> </w:t>
      </w:r>
      <w:r w:rsidRPr="00D043E1">
        <w:rPr>
          <w:rFonts w:cs="Times New Roman"/>
          <w:b/>
          <w:bCs/>
          <w:color w:val="E36C0A" w:themeColor="accent6" w:themeShade="BF"/>
          <w:sz w:val="24"/>
          <w:szCs w:val="24"/>
          <w:u w:val="single"/>
          <w:lang w:eastAsia="bg-BG"/>
        </w:rPr>
        <w:t>–</w:t>
      </w:r>
      <w:r w:rsidRPr="00D043E1">
        <w:rPr>
          <w:rFonts w:cs="Times New Roman"/>
          <w:b/>
          <w:bCs/>
          <w:color w:val="E36C0A" w:themeColor="accent6" w:themeShade="BF"/>
          <w:sz w:val="24"/>
          <w:szCs w:val="24"/>
          <w:u w:val="single"/>
          <w:lang w:val="en-US" w:eastAsia="bg-BG"/>
        </w:rPr>
        <w:t xml:space="preserve"> </w:t>
      </w:r>
      <w:r w:rsidRPr="00D043E1">
        <w:rPr>
          <w:rFonts w:cs="Times New Roman"/>
          <w:b/>
          <w:bCs/>
          <w:color w:val="E36C0A" w:themeColor="accent6" w:themeShade="BF"/>
          <w:sz w:val="24"/>
          <w:szCs w:val="24"/>
          <w:u w:val="single"/>
          <w:lang w:eastAsia="bg-BG"/>
        </w:rPr>
        <w:t>13</w:t>
      </w:r>
      <w:r w:rsidRPr="00D043E1">
        <w:rPr>
          <w:rFonts w:cs="Times New Roman"/>
          <w:b/>
          <w:bCs/>
          <w:color w:val="E36C0A" w:themeColor="accent6" w:themeShade="BF"/>
          <w:sz w:val="24"/>
          <w:szCs w:val="24"/>
          <w:u w:val="single"/>
          <w:lang w:val="en-US" w:eastAsia="bg-BG"/>
        </w:rPr>
        <w:t xml:space="preserve"> July </w:t>
      </w:r>
      <w:r w:rsidRPr="00D043E1">
        <w:rPr>
          <w:rFonts w:cs="Times New Roman"/>
          <w:b/>
          <w:bCs/>
          <w:color w:val="E36C0A" w:themeColor="accent6" w:themeShade="BF"/>
          <w:sz w:val="24"/>
          <w:szCs w:val="24"/>
          <w:u w:val="single"/>
          <w:lang w:eastAsia="bg-BG"/>
        </w:rPr>
        <w:t>2017, Getafe, Spain</w:t>
      </w:r>
    </w:p>
    <w:p w:rsidR="003E0745" w:rsidRPr="003E0745" w:rsidRDefault="003E0745" w:rsidP="003E0745">
      <w:pPr>
        <w:spacing w:after="100" w:afterAutospacing="1"/>
        <w:rPr>
          <w:rFonts w:cs="Times New Roman"/>
          <w:bCs/>
          <w:iCs/>
          <w:sz w:val="24"/>
          <w:szCs w:val="24"/>
          <w:lang w:eastAsia="bg-BG"/>
        </w:rPr>
      </w:pPr>
      <w:r w:rsidRPr="003E0745">
        <w:rPr>
          <w:rFonts w:cs="Times New Roman"/>
          <w:bCs/>
          <w:iCs/>
          <w:sz w:val="24"/>
          <w:szCs w:val="24"/>
          <w:lang w:eastAsia="bg-BG"/>
        </w:rPr>
        <w:t>This summer school aims providing young engineers and researchers a rapid knowledge of the state-of-the art in the field of composite materials (nature and structure, processing, properties and applications in different sectors) via a hands-on training experience.</w:t>
      </w:r>
    </w:p>
    <w:p w:rsidR="003E0745" w:rsidRDefault="003E0745" w:rsidP="003E0745">
      <w:pPr>
        <w:spacing w:after="100" w:afterAutospacing="1"/>
        <w:rPr>
          <w:rFonts w:cs="Times New Roman"/>
          <w:sz w:val="24"/>
          <w:szCs w:val="24"/>
          <w:lang w:val="en-US" w:eastAsia="bg-BG"/>
        </w:rPr>
      </w:pPr>
      <w:r w:rsidRPr="003E0745">
        <w:rPr>
          <w:rFonts w:cs="Times New Roman"/>
          <w:sz w:val="24"/>
          <w:szCs w:val="24"/>
          <w:lang w:eastAsia="bg-BG"/>
        </w:rPr>
        <w:t xml:space="preserve">Composite materImage for flyerials are nowadays extensively used in applications where outstanding mechanical properties are necessary in combination with weight savings. Their </w:t>
      </w:r>
      <w:r w:rsidRPr="003E0745">
        <w:rPr>
          <w:rFonts w:cs="Times New Roman"/>
          <w:sz w:val="24"/>
          <w:szCs w:val="24"/>
          <w:lang w:eastAsia="bg-BG"/>
        </w:rPr>
        <w:lastRenderedPageBreak/>
        <w:t>increased use has presented new challenges to engineers, largely due to the highly complex failure mechanisms of composite materials but also due to the many uncertainties that can exist in their manufacturing process. This summer school aims providing young engineers and researchers a rapid knowledge of the state-of-the art in the field (nature and structure, processing, properties and applications in different sectors) via a hands-on training experience.</w:t>
      </w:r>
    </w:p>
    <w:p w:rsidR="003E0745" w:rsidRDefault="003E0745" w:rsidP="003E0745">
      <w:pPr>
        <w:spacing w:after="100" w:afterAutospacing="1"/>
        <w:rPr>
          <w:rFonts w:cs="Times New Roman"/>
          <w:sz w:val="24"/>
          <w:szCs w:val="24"/>
          <w:lang w:val="en-US" w:eastAsia="bg-BG"/>
        </w:rPr>
      </w:pPr>
      <w:r w:rsidRPr="003E0745">
        <w:rPr>
          <w:rFonts w:cs="Times New Roman"/>
          <w:sz w:val="24"/>
          <w:szCs w:val="24"/>
          <w:lang w:eastAsia="bg-BG"/>
        </w:rPr>
        <w:t xml:space="preserve">Trainers will be renowned experts in the field of composite research, producers of advanced composites and developers of testing equipment from IMDEA Materials Institute, HEXCEL Composites and Airbus. Speakers from other industries will also participate (check the program at: </w:t>
      </w:r>
      <w:hyperlink r:id="rId34" w:history="1">
        <w:r w:rsidRPr="003E0745">
          <w:rPr>
            <w:rStyle w:val="Hyperlink"/>
            <w:rFonts w:cs="Times New Roman"/>
            <w:sz w:val="24"/>
            <w:szCs w:val="24"/>
            <w:lang w:eastAsia="bg-BG"/>
          </w:rPr>
          <w:t>http://dynacomp-project.eu/workshop-on-composite-materials/</w:t>
        </w:r>
      </w:hyperlink>
      <w:r w:rsidRPr="003E0745">
        <w:rPr>
          <w:rFonts w:cs="Times New Roman"/>
          <w:sz w:val="24"/>
          <w:szCs w:val="24"/>
          <w:lang w:eastAsia="bg-BG"/>
        </w:rPr>
        <w:t>).</w:t>
      </w:r>
    </w:p>
    <w:p w:rsidR="00AD1DE0" w:rsidRPr="00D35C89" w:rsidRDefault="00AD1DE0" w:rsidP="00AD1DE0">
      <w:pPr>
        <w:spacing w:after="100" w:afterAutospacing="1"/>
        <w:rPr>
          <w:rFonts w:cs="Times New Roman"/>
          <w:b/>
          <w:color w:val="E36C0A" w:themeColor="accent6" w:themeShade="BF"/>
          <w:sz w:val="24"/>
          <w:szCs w:val="24"/>
          <w:u w:val="single"/>
          <w:lang w:val="en" w:eastAsia="bg-BG"/>
        </w:rPr>
      </w:pPr>
      <w:r w:rsidRPr="00D35C89">
        <w:rPr>
          <w:rFonts w:cs="Times New Roman"/>
          <w:b/>
          <w:bCs/>
          <w:color w:val="E36C0A" w:themeColor="accent6" w:themeShade="BF"/>
          <w:sz w:val="24"/>
          <w:szCs w:val="24"/>
          <w:u w:val="single"/>
          <w:lang w:val="en" w:eastAsia="bg-BG"/>
        </w:rPr>
        <w:t>19th Euro Congress on Cancer Science and Therapy</w:t>
      </w:r>
      <w:r w:rsidR="0078621A" w:rsidRPr="00D35C89">
        <w:rPr>
          <w:rFonts w:cs="Times New Roman"/>
          <w:b/>
          <w:bCs/>
          <w:color w:val="E36C0A" w:themeColor="accent6" w:themeShade="BF"/>
          <w:sz w:val="24"/>
          <w:szCs w:val="24"/>
          <w:u w:val="single"/>
          <w:lang w:val="en" w:eastAsia="bg-BG"/>
        </w:rPr>
        <w:t xml:space="preserve">, </w:t>
      </w:r>
      <w:r w:rsidRPr="00D35C89">
        <w:rPr>
          <w:rFonts w:cs="Times New Roman"/>
          <w:b/>
          <w:color w:val="E36C0A" w:themeColor="accent6" w:themeShade="BF"/>
          <w:sz w:val="24"/>
          <w:szCs w:val="24"/>
          <w:u w:val="single"/>
          <w:lang w:val="en" w:eastAsia="bg-BG"/>
        </w:rPr>
        <w:t>20-22 July 2017, Lisbon, Portugal</w:t>
      </w:r>
    </w:p>
    <w:p w:rsidR="00AD1DE0" w:rsidRPr="00AD1DE0" w:rsidRDefault="00AD1DE0" w:rsidP="0078621A">
      <w:pPr>
        <w:spacing w:after="100" w:afterAutospacing="1"/>
        <w:rPr>
          <w:rFonts w:cs="Times New Roman"/>
          <w:sz w:val="24"/>
          <w:szCs w:val="24"/>
          <w:lang w:val="en" w:eastAsia="bg-BG"/>
        </w:rPr>
      </w:pPr>
      <w:r w:rsidRPr="00AD1DE0">
        <w:rPr>
          <w:rFonts w:cs="Times New Roman"/>
          <w:sz w:val="24"/>
          <w:szCs w:val="24"/>
          <w:lang w:val="en" w:eastAsia="bg-BG"/>
        </w:rPr>
        <w:t xml:space="preserve">The conference will be </w:t>
      </w:r>
      <w:proofErr w:type="spellStart"/>
      <w:r w:rsidRPr="00AD1DE0">
        <w:rPr>
          <w:rFonts w:cs="Times New Roman"/>
          <w:sz w:val="24"/>
          <w:szCs w:val="24"/>
          <w:lang w:val="en" w:eastAsia="bg-BG"/>
        </w:rPr>
        <w:t>organised</w:t>
      </w:r>
      <w:proofErr w:type="spellEnd"/>
      <w:r w:rsidRPr="00AD1DE0">
        <w:rPr>
          <w:rFonts w:cs="Times New Roman"/>
          <w:sz w:val="24"/>
          <w:szCs w:val="24"/>
          <w:lang w:val="en" w:eastAsia="bg-BG"/>
        </w:rPr>
        <w:t xml:space="preserve"> around the theme ‘Defining an Evolved Approach towards Cancer Treatment’. Cancer Science 2017 will provide an unparalleled prospect to get associated with leading oncologists, doctors, scientists, academicians, specialists &amp; business associates coming from all over the world. </w:t>
      </w:r>
    </w:p>
    <w:p w:rsidR="00AD1DE0" w:rsidRDefault="00AD1DE0" w:rsidP="00D35C89">
      <w:pPr>
        <w:tabs>
          <w:tab w:val="num" w:pos="720"/>
        </w:tabs>
        <w:spacing w:after="100" w:afterAutospacing="1"/>
        <w:rPr>
          <w:rFonts w:cs="Times New Roman"/>
          <w:sz w:val="24"/>
          <w:szCs w:val="24"/>
          <w:lang w:val="en-US" w:eastAsia="bg-BG"/>
        </w:rPr>
      </w:pPr>
      <w:r w:rsidRPr="00AD1DE0">
        <w:rPr>
          <w:rFonts w:cs="Times New Roman"/>
          <w:sz w:val="24"/>
          <w:szCs w:val="24"/>
          <w:lang w:val="en" w:eastAsia="bg-BG"/>
        </w:rPr>
        <w:t xml:space="preserve">As the theme of the conference relates it serves as a global platform to converse concerning the current developments, recent advances, new approaches and future approaches in the field of cancer science &amp; therapy. </w:t>
      </w:r>
      <w:hyperlink r:id="rId35" w:tgtFrame="_blank" w:history="1">
        <w:r w:rsidRPr="00AD1DE0">
          <w:rPr>
            <w:rStyle w:val="Hyperlink"/>
            <w:rFonts w:cs="Times New Roman"/>
            <w:sz w:val="24"/>
            <w:szCs w:val="24"/>
            <w:lang w:val="en" w:eastAsia="bg-BG"/>
          </w:rPr>
          <w:t>More information and registration</w:t>
        </w:r>
      </w:hyperlink>
      <w:r w:rsidRPr="00AD1DE0">
        <w:rPr>
          <w:rFonts w:cs="Times New Roman"/>
          <w:sz w:val="24"/>
          <w:szCs w:val="24"/>
          <w:lang w:val="en" w:eastAsia="bg-BG"/>
        </w:rPr>
        <w:t xml:space="preserve"> </w:t>
      </w:r>
    </w:p>
    <w:p w:rsidR="009E51B5" w:rsidRPr="00D35C89" w:rsidRDefault="009E51B5" w:rsidP="009E51B5">
      <w:pPr>
        <w:spacing w:after="100" w:afterAutospacing="1"/>
        <w:rPr>
          <w:rFonts w:cs="Times New Roman"/>
          <w:b/>
          <w:color w:val="E36C0A" w:themeColor="accent6" w:themeShade="BF"/>
          <w:sz w:val="24"/>
          <w:szCs w:val="24"/>
          <w:u w:val="single"/>
          <w:lang w:val="en" w:eastAsia="bg-BG"/>
        </w:rPr>
      </w:pPr>
      <w:r w:rsidRPr="00D35C89">
        <w:rPr>
          <w:rFonts w:cs="Times New Roman"/>
          <w:b/>
          <w:bCs/>
          <w:color w:val="E36C0A" w:themeColor="accent6" w:themeShade="BF"/>
          <w:sz w:val="24"/>
          <w:szCs w:val="24"/>
          <w:u w:val="single"/>
          <w:lang w:val="en" w:eastAsia="bg-BG"/>
        </w:rPr>
        <w:t>International Conference on Graphene and Semiconductors</w:t>
      </w:r>
      <w:r w:rsidR="00D35C89" w:rsidRPr="00D35C89">
        <w:rPr>
          <w:rFonts w:cs="Times New Roman"/>
          <w:b/>
          <w:bCs/>
          <w:color w:val="E36C0A" w:themeColor="accent6" w:themeShade="BF"/>
          <w:sz w:val="24"/>
          <w:szCs w:val="24"/>
          <w:u w:val="single"/>
          <w:lang w:val="en" w:eastAsia="bg-BG"/>
        </w:rPr>
        <w:t xml:space="preserve">, </w:t>
      </w:r>
      <w:r w:rsidRPr="00D35C89">
        <w:rPr>
          <w:rFonts w:cs="Times New Roman"/>
          <w:b/>
          <w:color w:val="E36C0A" w:themeColor="accent6" w:themeShade="BF"/>
          <w:sz w:val="24"/>
          <w:szCs w:val="24"/>
          <w:u w:val="single"/>
          <w:lang w:val="en" w:eastAsia="bg-BG"/>
        </w:rPr>
        <w:t>24-26 July 2017, Chicago, USA</w:t>
      </w:r>
    </w:p>
    <w:p w:rsidR="009E51B5" w:rsidRPr="009E51B5" w:rsidRDefault="009E51B5" w:rsidP="009E51B5">
      <w:pPr>
        <w:spacing w:after="100" w:afterAutospacing="1"/>
        <w:rPr>
          <w:rFonts w:cs="Times New Roman"/>
          <w:sz w:val="24"/>
          <w:szCs w:val="24"/>
          <w:lang w:val="en" w:eastAsia="bg-BG"/>
        </w:rPr>
      </w:pPr>
      <w:r w:rsidRPr="009E51B5">
        <w:rPr>
          <w:rFonts w:cs="Times New Roman"/>
          <w:sz w:val="24"/>
          <w:szCs w:val="24"/>
          <w:lang w:val="en" w:eastAsia="bg-BG"/>
        </w:rPr>
        <w:t xml:space="preserve">Graphene and semiconductor </w:t>
      </w:r>
      <w:r w:rsidR="00D35C89">
        <w:rPr>
          <w:rFonts w:cs="Times New Roman"/>
          <w:sz w:val="24"/>
          <w:szCs w:val="24"/>
          <w:lang w:val="en" w:eastAsia="bg-BG"/>
        </w:rPr>
        <w:t>are</w:t>
      </w:r>
      <w:r w:rsidRPr="009E51B5">
        <w:rPr>
          <w:rFonts w:cs="Times New Roman"/>
          <w:sz w:val="24"/>
          <w:szCs w:val="24"/>
          <w:lang w:val="en" w:eastAsia="bg-BG"/>
        </w:rPr>
        <w:t xml:space="preserve"> designed in such a way to provide diverse and current research that will provide an in-depth analysis in that field. </w:t>
      </w:r>
    </w:p>
    <w:p w:rsidR="009E51B5" w:rsidRPr="009E51B5" w:rsidRDefault="009E51B5" w:rsidP="00D35C89">
      <w:pPr>
        <w:tabs>
          <w:tab w:val="num" w:pos="720"/>
        </w:tabs>
        <w:spacing w:after="100" w:afterAutospacing="1"/>
        <w:rPr>
          <w:rFonts w:cs="Times New Roman"/>
          <w:sz w:val="24"/>
          <w:szCs w:val="24"/>
          <w:lang w:val="en" w:eastAsia="bg-BG"/>
        </w:rPr>
      </w:pPr>
      <w:r w:rsidRPr="009E51B5">
        <w:rPr>
          <w:rFonts w:cs="Times New Roman"/>
          <w:sz w:val="24"/>
          <w:szCs w:val="24"/>
          <w:lang w:val="en" w:eastAsia="bg-BG"/>
        </w:rPr>
        <w:t xml:space="preserve">The International Conference on Graphene and semiconductor is organized with a theme of “The Rising Era of Graphene” with an objective to encourage young minds to overcome the challenges in the research field of Graphene materials by providing an opportunity to meet the experts. </w:t>
      </w:r>
      <w:hyperlink r:id="rId36" w:tgtFrame="_blank" w:history="1">
        <w:r w:rsidRPr="009E51B5">
          <w:rPr>
            <w:rStyle w:val="Hyperlink"/>
            <w:rFonts w:cs="Times New Roman"/>
            <w:sz w:val="24"/>
            <w:szCs w:val="24"/>
            <w:lang w:val="en" w:eastAsia="bg-BG"/>
          </w:rPr>
          <w:t>More information and registration</w:t>
        </w:r>
      </w:hyperlink>
      <w:r w:rsidRPr="009E51B5">
        <w:rPr>
          <w:rFonts w:cs="Times New Roman"/>
          <w:sz w:val="24"/>
          <w:szCs w:val="24"/>
          <w:lang w:val="en" w:eastAsia="bg-BG"/>
        </w:rPr>
        <w:t xml:space="preserve"> </w:t>
      </w:r>
    </w:p>
    <w:p w:rsidR="00BC31CC" w:rsidRPr="00D35C89" w:rsidRDefault="00BC31CC" w:rsidP="00BC31CC">
      <w:pPr>
        <w:spacing w:after="100" w:afterAutospacing="1"/>
        <w:rPr>
          <w:rFonts w:cs="Times New Roman"/>
          <w:b/>
          <w:color w:val="E36C0A" w:themeColor="accent6" w:themeShade="BF"/>
          <w:sz w:val="24"/>
          <w:szCs w:val="24"/>
          <w:u w:val="single"/>
          <w:lang w:val="en" w:eastAsia="bg-BG"/>
        </w:rPr>
      </w:pPr>
      <w:r w:rsidRPr="00D35C89">
        <w:rPr>
          <w:rFonts w:cs="Times New Roman"/>
          <w:b/>
          <w:bCs/>
          <w:color w:val="E36C0A" w:themeColor="accent6" w:themeShade="BF"/>
          <w:sz w:val="24"/>
          <w:szCs w:val="24"/>
          <w:u w:val="single"/>
          <w:lang w:val="en" w:eastAsia="bg-BG"/>
        </w:rPr>
        <w:t>Conference on Sustainable Energy, Engineering, Materials and Environment</w:t>
      </w:r>
      <w:r w:rsidR="00D35C89" w:rsidRPr="00D35C89">
        <w:rPr>
          <w:rFonts w:cs="Times New Roman"/>
          <w:b/>
          <w:bCs/>
          <w:color w:val="E36C0A" w:themeColor="accent6" w:themeShade="BF"/>
          <w:sz w:val="24"/>
          <w:szCs w:val="24"/>
          <w:u w:val="single"/>
          <w:lang w:val="en" w:eastAsia="bg-BG"/>
        </w:rPr>
        <w:t xml:space="preserve">, </w:t>
      </w:r>
      <w:r w:rsidRPr="00D35C89">
        <w:rPr>
          <w:rFonts w:cs="Times New Roman"/>
          <w:b/>
          <w:color w:val="E36C0A" w:themeColor="accent6" w:themeShade="BF"/>
          <w:sz w:val="24"/>
          <w:szCs w:val="24"/>
          <w:u w:val="single"/>
          <w:lang w:val="en" w:eastAsia="bg-BG"/>
        </w:rPr>
        <w:t>26-28 July 2017, Newcastle upon Tyne, United Kingdom</w:t>
      </w:r>
    </w:p>
    <w:p w:rsidR="00BC31CC" w:rsidRPr="00BC31CC" w:rsidRDefault="00BC31CC" w:rsidP="00BC31CC">
      <w:pPr>
        <w:spacing w:after="100" w:afterAutospacing="1"/>
        <w:rPr>
          <w:rFonts w:cs="Times New Roman"/>
          <w:sz w:val="24"/>
          <w:szCs w:val="24"/>
          <w:lang w:val="en" w:eastAsia="bg-BG"/>
        </w:rPr>
      </w:pPr>
      <w:r w:rsidRPr="00BC31CC">
        <w:rPr>
          <w:rFonts w:cs="Times New Roman"/>
          <w:sz w:val="24"/>
          <w:szCs w:val="24"/>
          <w:lang w:val="en" w:eastAsia="bg-BG"/>
        </w:rPr>
        <w:t xml:space="preserve">This conference offers a platform for worldwide researchers and scientists from academia, industry and government to discuss proposals and disseminate results on sustainable energy and materials and its impact on engineering and our Environment. The formation of lasting productive partnerships between the participants is also an objective of this conference. </w:t>
      </w:r>
    </w:p>
    <w:p w:rsidR="00BC31CC" w:rsidRDefault="00BC31CC" w:rsidP="00D35C89">
      <w:pPr>
        <w:spacing w:after="100" w:afterAutospacing="1"/>
        <w:rPr>
          <w:rFonts w:cs="Times New Roman"/>
          <w:sz w:val="24"/>
          <w:szCs w:val="24"/>
          <w:lang w:val="en" w:eastAsia="bg-BG"/>
        </w:rPr>
      </w:pPr>
      <w:r w:rsidRPr="00BC31CC">
        <w:rPr>
          <w:rFonts w:cs="Times New Roman"/>
          <w:sz w:val="24"/>
          <w:szCs w:val="24"/>
          <w:lang w:val="en" w:eastAsia="bg-BG"/>
        </w:rPr>
        <w:t xml:space="preserve">This research conference is open to all in the research and scientific community. All presented papers will be published in the conference proceedings. Selected papers will be invited for consideration as a full peer review submission of the conference journals. There will also be </w:t>
      </w:r>
      <w:r w:rsidRPr="00BC31CC">
        <w:rPr>
          <w:rFonts w:cs="Times New Roman"/>
          <w:sz w:val="24"/>
          <w:szCs w:val="24"/>
          <w:lang w:val="en" w:eastAsia="bg-BG"/>
        </w:rPr>
        <w:lastRenderedPageBreak/>
        <w:t xml:space="preserve">opportunities for companies and institutions to introduce their products and services at this conference. If you wish to enquire further about this option, please contact the </w:t>
      </w:r>
      <w:proofErr w:type="spellStart"/>
      <w:r w:rsidRPr="00BC31CC">
        <w:rPr>
          <w:rFonts w:cs="Times New Roman"/>
          <w:sz w:val="24"/>
          <w:szCs w:val="24"/>
          <w:lang w:val="en" w:eastAsia="bg-BG"/>
        </w:rPr>
        <w:t>Organising</w:t>
      </w:r>
      <w:proofErr w:type="spellEnd"/>
      <w:r w:rsidRPr="00BC31CC">
        <w:rPr>
          <w:rFonts w:cs="Times New Roman"/>
          <w:sz w:val="24"/>
          <w:szCs w:val="24"/>
          <w:lang w:val="en" w:eastAsia="bg-BG"/>
        </w:rPr>
        <w:t xml:space="preserve"> Committee</w:t>
      </w:r>
      <w:r w:rsidR="00D35C89">
        <w:rPr>
          <w:rFonts w:cs="Times New Roman"/>
          <w:sz w:val="24"/>
          <w:szCs w:val="24"/>
          <w:lang w:val="en" w:eastAsia="bg-BG"/>
        </w:rPr>
        <w:t xml:space="preserve">. </w:t>
      </w:r>
      <w:hyperlink r:id="rId37" w:tgtFrame="_blank" w:history="1">
        <w:r w:rsidRPr="00BC31CC">
          <w:rPr>
            <w:rStyle w:val="Hyperlink"/>
            <w:rFonts w:cs="Times New Roman"/>
            <w:sz w:val="24"/>
            <w:szCs w:val="24"/>
            <w:lang w:val="en" w:eastAsia="bg-BG"/>
          </w:rPr>
          <w:t>More information and registration</w:t>
        </w:r>
      </w:hyperlink>
      <w:r w:rsidRPr="00BC31CC">
        <w:rPr>
          <w:rFonts w:cs="Times New Roman"/>
          <w:sz w:val="24"/>
          <w:szCs w:val="24"/>
          <w:lang w:val="en" w:eastAsia="bg-BG"/>
        </w:rPr>
        <w:t xml:space="preserve"> </w:t>
      </w:r>
    </w:p>
    <w:p w:rsidR="00BC31CC" w:rsidRPr="003A0432" w:rsidRDefault="00BC31CC" w:rsidP="00BC31CC">
      <w:pPr>
        <w:spacing w:after="100" w:afterAutospacing="1"/>
        <w:rPr>
          <w:rFonts w:cs="Times New Roman"/>
          <w:b/>
          <w:color w:val="E36C0A" w:themeColor="accent6" w:themeShade="BF"/>
          <w:sz w:val="24"/>
          <w:szCs w:val="24"/>
          <w:u w:val="single"/>
          <w:lang w:val="en" w:eastAsia="bg-BG"/>
        </w:rPr>
      </w:pPr>
      <w:r w:rsidRPr="003A0432">
        <w:rPr>
          <w:rFonts w:cs="Times New Roman"/>
          <w:b/>
          <w:bCs/>
          <w:color w:val="E36C0A" w:themeColor="accent6" w:themeShade="BF"/>
          <w:sz w:val="24"/>
          <w:szCs w:val="24"/>
          <w:u w:val="single"/>
          <w:lang w:val="en" w:eastAsia="bg-BG"/>
        </w:rPr>
        <w:t>6th World Congress on Pharmacology</w:t>
      </w:r>
      <w:r w:rsidR="003A0432" w:rsidRPr="003A0432">
        <w:rPr>
          <w:rFonts w:cs="Times New Roman"/>
          <w:b/>
          <w:bCs/>
          <w:color w:val="E36C0A" w:themeColor="accent6" w:themeShade="BF"/>
          <w:sz w:val="24"/>
          <w:szCs w:val="24"/>
          <w:u w:val="single"/>
          <w:lang w:val="en" w:eastAsia="bg-BG"/>
        </w:rPr>
        <w:t xml:space="preserve">, </w:t>
      </w:r>
      <w:r w:rsidRPr="003A0432">
        <w:rPr>
          <w:rFonts w:cs="Times New Roman"/>
          <w:b/>
          <w:color w:val="E36C0A" w:themeColor="accent6" w:themeShade="BF"/>
          <w:sz w:val="24"/>
          <w:szCs w:val="24"/>
          <w:u w:val="single"/>
          <w:lang w:val="en" w:eastAsia="bg-BG"/>
        </w:rPr>
        <w:t>7-9 August 2017, Paris, France</w:t>
      </w:r>
    </w:p>
    <w:p w:rsidR="00BC31CC" w:rsidRPr="00BC31CC" w:rsidRDefault="00BC31CC" w:rsidP="00BC31CC">
      <w:pPr>
        <w:spacing w:after="100" w:afterAutospacing="1"/>
        <w:rPr>
          <w:rFonts w:cs="Times New Roman"/>
          <w:sz w:val="24"/>
          <w:szCs w:val="24"/>
          <w:lang w:val="en" w:eastAsia="bg-BG"/>
        </w:rPr>
      </w:pPr>
      <w:r w:rsidRPr="00BC31CC">
        <w:rPr>
          <w:rFonts w:cs="Times New Roman"/>
          <w:sz w:val="24"/>
          <w:szCs w:val="24"/>
          <w:lang w:val="en" w:eastAsia="bg-BG"/>
        </w:rPr>
        <w:t xml:space="preserve">Pharmacology 2017 focuses on the importance to understand drugs and how they can affect human physiology. It is with better understanding of Pharmacology one can know the right dosage and dosage forms of drugs. </w:t>
      </w:r>
    </w:p>
    <w:p w:rsidR="00BC31CC" w:rsidRPr="00BC31CC" w:rsidRDefault="00BC31CC" w:rsidP="003A0432">
      <w:pPr>
        <w:tabs>
          <w:tab w:val="num" w:pos="720"/>
        </w:tabs>
        <w:spacing w:after="100" w:afterAutospacing="1"/>
        <w:rPr>
          <w:rFonts w:cs="Times New Roman"/>
          <w:sz w:val="24"/>
          <w:szCs w:val="24"/>
          <w:lang w:val="en" w:eastAsia="bg-BG"/>
        </w:rPr>
      </w:pPr>
      <w:r w:rsidRPr="00BC31CC">
        <w:rPr>
          <w:rFonts w:cs="Times New Roman"/>
          <w:sz w:val="24"/>
          <w:szCs w:val="24"/>
          <w:lang w:val="en" w:eastAsia="bg-BG"/>
        </w:rPr>
        <w:t xml:space="preserve">More research in pharmacology deals with identifying and responding to drug interactions and its side effects along with its mechanism of action, its therapeutic index and thereby treat accordingly. More intensive study with the interaction between drug and its therapeutic effect helps to identify the properties of ideal drugs. </w:t>
      </w:r>
      <w:hyperlink r:id="rId38" w:tgtFrame="_blank" w:history="1">
        <w:r w:rsidRPr="00BC31CC">
          <w:rPr>
            <w:rStyle w:val="Hyperlink"/>
            <w:rFonts w:cs="Times New Roman"/>
            <w:sz w:val="24"/>
            <w:szCs w:val="24"/>
            <w:lang w:val="en" w:eastAsia="bg-BG"/>
          </w:rPr>
          <w:t>More information and registration</w:t>
        </w:r>
      </w:hyperlink>
      <w:r w:rsidRPr="00BC31CC">
        <w:rPr>
          <w:rFonts w:cs="Times New Roman"/>
          <w:sz w:val="24"/>
          <w:szCs w:val="24"/>
          <w:lang w:val="en" w:eastAsia="bg-BG"/>
        </w:rPr>
        <w:t xml:space="preserve"> </w:t>
      </w:r>
    </w:p>
    <w:p w:rsidR="00BC31CC" w:rsidRPr="003A0432" w:rsidRDefault="00BC31CC" w:rsidP="00BC31CC">
      <w:pPr>
        <w:spacing w:after="100" w:afterAutospacing="1"/>
        <w:rPr>
          <w:rFonts w:cs="Times New Roman"/>
          <w:b/>
          <w:color w:val="E36C0A" w:themeColor="accent6" w:themeShade="BF"/>
          <w:sz w:val="24"/>
          <w:szCs w:val="24"/>
          <w:u w:val="single"/>
          <w:lang w:val="en" w:eastAsia="bg-BG"/>
        </w:rPr>
      </w:pPr>
      <w:r w:rsidRPr="003A0432">
        <w:rPr>
          <w:rFonts w:cs="Times New Roman"/>
          <w:b/>
          <w:bCs/>
          <w:color w:val="E36C0A" w:themeColor="accent6" w:themeShade="BF"/>
          <w:sz w:val="24"/>
          <w:szCs w:val="24"/>
          <w:u w:val="single"/>
          <w:lang w:val="en" w:eastAsia="bg-BG"/>
        </w:rPr>
        <w:t>Human Genetics 2017</w:t>
      </w:r>
      <w:r w:rsidR="003A0432" w:rsidRPr="003A0432">
        <w:rPr>
          <w:rFonts w:cs="Times New Roman"/>
          <w:b/>
          <w:bCs/>
          <w:color w:val="E36C0A" w:themeColor="accent6" w:themeShade="BF"/>
          <w:sz w:val="24"/>
          <w:szCs w:val="24"/>
          <w:u w:val="single"/>
          <w:lang w:val="en" w:eastAsia="bg-BG"/>
        </w:rPr>
        <w:t xml:space="preserve">, </w:t>
      </w:r>
      <w:r w:rsidRPr="003A0432">
        <w:rPr>
          <w:rFonts w:cs="Times New Roman"/>
          <w:b/>
          <w:color w:val="E36C0A" w:themeColor="accent6" w:themeShade="BF"/>
          <w:sz w:val="24"/>
          <w:szCs w:val="24"/>
          <w:u w:val="single"/>
          <w:lang w:val="en" w:eastAsia="bg-BG"/>
        </w:rPr>
        <w:t>14-15 August 2017, Edinburgh, Scotland</w:t>
      </w:r>
    </w:p>
    <w:p w:rsidR="00BC31CC" w:rsidRPr="00BC31CC" w:rsidRDefault="00BC31CC" w:rsidP="00BC31CC">
      <w:pPr>
        <w:spacing w:after="100" w:afterAutospacing="1"/>
        <w:rPr>
          <w:rFonts w:cs="Times New Roman"/>
          <w:sz w:val="24"/>
          <w:szCs w:val="24"/>
          <w:lang w:val="en" w:eastAsia="bg-BG"/>
        </w:rPr>
      </w:pPr>
      <w:r w:rsidRPr="00BC31CC">
        <w:rPr>
          <w:rFonts w:cs="Times New Roman"/>
          <w:sz w:val="24"/>
          <w:szCs w:val="24"/>
          <w:lang w:val="en" w:eastAsia="bg-BG"/>
        </w:rPr>
        <w:t xml:space="preserve">Human Genetics Congress is to ameliorate the knowledge, awareness, and education on Human Genetics leading to the discovery of genetic and molecular biology which aid to alleviate the human disease as it is the most significant emerging technology in the eyes of </w:t>
      </w:r>
      <w:proofErr w:type="gramStart"/>
      <w:r w:rsidRPr="00BC31CC">
        <w:rPr>
          <w:rFonts w:cs="Times New Roman"/>
          <w:sz w:val="24"/>
          <w:szCs w:val="24"/>
          <w:lang w:val="en" w:eastAsia="bg-BG"/>
        </w:rPr>
        <w:t>Medical, Biotechnology, Pharmaceuticals and Academia.</w:t>
      </w:r>
      <w:proofErr w:type="gramEnd"/>
    </w:p>
    <w:p w:rsidR="00BC31CC" w:rsidRPr="00BC31CC" w:rsidRDefault="00BC31CC" w:rsidP="003A0432">
      <w:pPr>
        <w:tabs>
          <w:tab w:val="num" w:pos="720"/>
        </w:tabs>
        <w:spacing w:after="100" w:afterAutospacing="1"/>
        <w:rPr>
          <w:rFonts w:cs="Times New Roman"/>
          <w:sz w:val="24"/>
          <w:szCs w:val="24"/>
          <w:lang w:val="en" w:eastAsia="bg-BG"/>
        </w:rPr>
      </w:pPr>
      <w:r w:rsidRPr="00BC31CC">
        <w:rPr>
          <w:rFonts w:cs="Times New Roman"/>
          <w:sz w:val="24"/>
          <w:szCs w:val="24"/>
          <w:lang w:val="en" w:eastAsia="bg-BG"/>
        </w:rPr>
        <w:t>Human Genetics 2017 is an excellent oppo</w:t>
      </w:r>
      <w:r w:rsidR="003A0432">
        <w:rPr>
          <w:rFonts w:cs="Times New Roman"/>
          <w:sz w:val="24"/>
          <w:szCs w:val="24"/>
          <w:lang w:val="en" w:eastAsia="bg-BG"/>
        </w:rPr>
        <w:t>rtunity for the delegates from universities and i</w:t>
      </w:r>
      <w:r w:rsidRPr="00BC31CC">
        <w:rPr>
          <w:rFonts w:cs="Times New Roman"/>
          <w:sz w:val="24"/>
          <w:szCs w:val="24"/>
          <w:lang w:val="en" w:eastAsia="bg-BG"/>
        </w:rPr>
        <w:t>nstitutes to interact wi</w:t>
      </w:r>
      <w:r w:rsidR="003A0432">
        <w:rPr>
          <w:rFonts w:cs="Times New Roman"/>
          <w:sz w:val="24"/>
          <w:szCs w:val="24"/>
          <w:lang w:val="en" w:eastAsia="bg-BG"/>
        </w:rPr>
        <w:t>th world class s</w:t>
      </w:r>
      <w:r w:rsidRPr="00BC31CC">
        <w:rPr>
          <w:rFonts w:cs="Times New Roman"/>
          <w:sz w:val="24"/>
          <w:szCs w:val="24"/>
          <w:lang w:val="en" w:eastAsia="bg-BG"/>
        </w:rPr>
        <w:t xml:space="preserve">cientists. </w:t>
      </w:r>
      <w:hyperlink r:id="rId39" w:tgtFrame="_blank" w:history="1">
        <w:r w:rsidRPr="00BC31CC">
          <w:rPr>
            <w:rStyle w:val="Hyperlink"/>
            <w:rFonts w:cs="Times New Roman"/>
            <w:sz w:val="24"/>
            <w:szCs w:val="24"/>
            <w:lang w:val="en" w:eastAsia="bg-BG"/>
          </w:rPr>
          <w:t>More information and registration</w:t>
        </w:r>
      </w:hyperlink>
      <w:r w:rsidRPr="00BC31CC">
        <w:rPr>
          <w:rFonts w:cs="Times New Roman"/>
          <w:sz w:val="24"/>
          <w:szCs w:val="24"/>
          <w:lang w:val="en" w:eastAsia="bg-BG"/>
        </w:rPr>
        <w:t xml:space="preserve"> </w:t>
      </w:r>
    </w:p>
    <w:p w:rsidR="00E82E62" w:rsidRPr="00464598" w:rsidRDefault="00E82E62" w:rsidP="00E82E62">
      <w:pPr>
        <w:spacing w:after="100" w:afterAutospacing="1"/>
        <w:rPr>
          <w:rFonts w:cs="Times New Roman"/>
          <w:b/>
          <w:color w:val="E36C0A" w:themeColor="accent6" w:themeShade="BF"/>
          <w:sz w:val="24"/>
          <w:szCs w:val="24"/>
          <w:u w:val="single"/>
          <w:lang w:val="en" w:eastAsia="bg-BG"/>
        </w:rPr>
      </w:pPr>
      <w:r w:rsidRPr="00464598">
        <w:rPr>
          <w:rFonts w:cs="Times New Roman"/>
          <w:b/>
          <w:bCs/>
          <w:color w:val="E36C0A" w:themeColor="accent6" w:themeShade="BF"/>
          <w:sz w:val="24"/>
          <w:szCs w:val="24"/>
          <w:u w:val="single"/>
          <w:lang w:val="en" w:eastAsia="bg-BG"/>
        </w:rPr>
        <w:t>ISN-ESN Biennial Meeting</w:t>
      </w:r>
      <w:r w:rsidR="00464598" w:rsidRPr="00464598">
        <w:rPr>
          <w:rFonts w:cs="Times New Roman"/>
          <w:b/>
          <w:bCs/>
          <w:color w:val="E36C0A" w:themeColor="accent6" w:themeShade="BF"/>
          <w:sz w:val="24"/>
          <w:szCs w:val="24"/>
          <w:u w:val="single"/>
          <w:lang w:val="en" w:eastAsia="bg-BG"/>
        </w:rPr>
        <w:t xml:space="preserve">, </w:t>
      </w:r>
      <w:r w:rsidRPr="00464598">
        <w:rPr>
          <w:rFonts w:cs="Times New Roman"/>
          <w:b/>
          <w:color w:val="E36C0A" w:themeColor="accent6" w:themeShade="BF"/>
          <w:sz w:val="24"/>
          <w:szCs w:val="24"/>
          <w:u w:val="single"/>
          <w:lang w:val="en" w:eastAsia="bg-BG"/>
        </w:rPr>
        <w:t>20-24 August 2017, Paris, France</w:t>
      </w:r>
    </w:p>
    <w:p w:rsidR="00E82E62" w:rsidRPr="00E82E62" w:rsidRDefault="00E82E62" w:rsidP="002F09C5">
      <w:pPr>
        <w:tabs>
          <w:tab w:val="num" w:pos="720"/>
        </w:tabs>
        <w:spacing w:after="100" w:afterAutospacing="1"/>
        <w:rPr>
          <w:rFonts w:cs="Times New Roman"/>
          <w:sz w:val="24"/>
          <w:szCs w:val="24"/>
          <w:lang w:val="en" w:eastAsia="bg-BG"/>
        </w:rPr>
      </w:pPr>
      <w:r w:rsidRPr="00E82E62">
        <w:rPr>
          <w:rFonts w:cs="Times New Roman"/>
          <w:sz w:val="24"/>
          <w:szCs w:val="24"/>
          <w:lang w:val="en" w:eastAsia="bg-BG"/>
        </w:rPr>
        <w:t>We are delighted to invite you to the joint meeting of the International Society of Neurochemistry (ISN) and the European Society for Neurochemistry (ESN)</w:t>
      </w:r>
      <w:r w:rsidR="00464598">
        <w:rPr>
          <w:rFonts w:cs="Times New Roman"/>
          <w:sz w:val="24"/>
          <w:szCs w:val="24"/>
          <w:lang w:val="en" w:eastAsia="bg-BG"/>
        </w:rPr>
        <w:t xml:space="preserve">. </w:t>
      </w:r>
      <w:r w:rsidRPr="00E82E62">
        <w:rPr>
          <w:rFonts w:cs="Times New Roman"/>
          <w:sz w:val="24"/>
          <w:szCs w:val="24"/>
          <w:lang w:val="en" w:eastAsia="bg-BG"/>
        </w:rPr>
        <w:t xml:space="preserve">You will experience exciting and up to date research in cellular and molecular neuroscience in an inspiring and engaging environment through our Plenary Lectures, symposia, workshops, and Young Investigator Colloquia. During the meeting, we will have an exciting format to ensure ample time for scientific discussion and networking for scientists at all levels of their career. </w:t>
      </w:r>
      <w:hyperlink r:id="rId40" w:tgtFrame="_blank" w:history="1">
        <w:r w:rsidRPr="00E82E62">
          <w:rPr>
            <w:rStyle w:val="Hyperlink"/>
            <w:rFonts w:cs="Times New Roman"/>
            <w:sz w:val="24"/>
            <w:szCs w:val="24"/>
            <w:lang w:val="en" w:eastAsia="bg-BG"/>
          </w:rPr>
          <w:t>More information and registration</w:t>
        </w:r>
      </w:hyperlink>
      <w:r w:rsidRPr="00E82E62">
        <w:rPr>
          <w:rFonts w:cs="Times New Roman"/>
          <w:sz w:val="24"/>
          <w:szCs w:val="24"/>
          <w:lang w:val="en" w:eastAsia="bg-BG"/>
        </w:rPr>
        <w:t xml:space="preserve"> </w:t>
      </w:r>
    </w:p>
    <w:p w:rsidR="00E82E62" w:rsidRPr="004B6306" w:rsidRDefault="00E82E62" w:rsidP="00E82E62">
      <w:pPr>
        <w:spacing w:after="100" w:afterAutospacing="1"/>
        <w:rPr>
          <w:rFonts w:cs="Times New Roman"/>
          <w:b/>
          <w:color w:val="E36C0A" w:themeColor="accent6" w:themeShade="BF"/>
          <w:sz w:val="24"/>
          <w:szCs w:val="24"/>
          <w:u w:val="single"/>
          <w:lang w:val="en" w:eastAsia="bg-BG"/>
        </w:rPr>
      </w:pPr>
      <w:r w:rsidRPr="004B6306">
        <w:rPr>
          <w:rFonts w:cs="Times New Roman"/>
          <w:b/>
          <w:bCs/>
          <w:color w:val="E36C0A" w:themeColor="accent6" w:themeShade="BF"/>
          <w:sz w:val="24"/>
          <w:szCs w:val="24"/>
          <w:u w:val="single"/>
          <w:lang w:val="en" w:eastAsia="bg-BG"/>
        </w:rPr>
        <w:t>19th Nano Congress for Next Generation</w:t>
      </w:r>
      <w:r w:rsidR="004B6306" w:rsidRPr="004B6306">
        <w:rPr>
          <w:rFonts w:cs="Times New Roman"/>
          <w:b/>
          <w:bCs/>
          <w:color w:val="E36C0A" w:themeColor="accent6" w:themeShade="BF"/>
          <w:sz w:val="24"/>
          <w:szCs w:val="24"/>
          <w:u w:val="single"/>
          <w:lang w:val="en" w:eastAsia="bg-BG"/>
        </w:rPr>
        <w:t xml:space="preserve">, </w:t>
      </w:r>
      <w:r w:rsidRPr="004B6306">
        <w:rPr>
          <w:rFonts w:cs="Times New Roman"/>
          <w:b/>
          <w:color w:val="E36C0A" w:themeColor="accent6" w:themeShade="BF"/>
          <w:sz w:val="24"/>
          <w:szCs w:val="24"/>
          <w:u w:val="single"/>
          <w:lang w:val="en" w:eastAsia="bg-BG"/>
        </w:rPr>
        <w:t>21-22 August 2017, Helsinki, Finland</w:t>
      </w:r>
    </w:p>
    <w:p w:rsidR="00E82E62" w:rsidRPr="00E82E62" w:rsidRDefault="00E82E62" w:rsidP="004B6306">
      <w:pPr>
        <w:spacing w:after="100" w:afterAutospacing="1"/>
        <w:rPr>
          <w:rFonts w:cs="Times New Roman"/>
          <w:sz w:val="24"/>
          <w:szCs w:val="24"/>
          <w:lang w:val="en" w:eastAsia="bg-BG"/>
        </w:rPr>
      </w:pPr>
      <w:r w:rsidRPr="00E82E62">
        <w:rPr>
          <w:rFonts w:cs="Times New Roman"/>
          <w:sz w:val="24"/>
          <w:szCs w:val="24"/>
          <w:lang w:val="en" w:eastAsia="bg-BG"/>
        </w:rPr>
        <w:t xml:space="preserve">The theme of the conference “nanotechnology concepts methodologies tools and applications” highlights the interdisciplinary nature of Nanotechnology. Scientific Tracks designed for this conference will enable the attendees and participants to learn extremes. </w:t>
      </w:r>
      <w:hyperlink r:id="rId41" w:tgtFrame="_blank" w:history="1">
        <w:r w:rsidRPr="00E82E62">
          <w:rPr>
            <w:rStyle w:val="Hyperlink"/>
            <w:rFonts w:cs="Times New Roman"/>
            <w:sz w:val="24"/>
            <w:szCs w:val="24"/>
            <w:lang w:val="en" w:eastAsia="bg-BG"/>
          </w:rPr>
          <w:t>More information and registration</w:t>
        </w:r>
      </w:hyperlink>
      <w:r w:rsidRPr="00E82E62">
        <w:rPr>
          <w:rFonts w:cs="Times New Roman"/>
          <w:sz w:val="24"/>
          <w:szCs w:val="24"/>
          <w:lang w:val="en" w:eastAsia="bg-BG"/>
        </w:rPr>
        <w:t xml:space="preserve"> </w:t>
      </w:r>
    </w:p>
    <w:p w:rsidR="00937C3F" w:rsidRDefault="00937C3F">
      <w:pPr>
        <w:jc w:val="left"/>
        <w:rPr>
          <w:rFonts w:cs="Times New Roman"/>
          <w:sz w:val="24"/>
          <w:szCs w:val="24"/>
          <w:lang w:val="en" w:eastAsia="bg-BG"/>
        </w:rPr>
      </w:pPr>
      <w:r>
        <w:rPr>
          <w:rFonts w:cs="Times New Roman"/>
          <w:sz w:val="24"/>
          <w:szCs w:val="24"/>
          <w:lang w:val="en" w:eastAsia="bg-BG"/>
        </w:rPr>
        <w:br w:type="page"/>
      </w:r>
    </w:p>
    <w:p w:rsidR="00E82E62" w:rsidRPr="00DE0443" w:rsidRDefault="001E36FD" w:rsidP="00E82E62">
      <w:pPr>
        <w:spacing w:after="100" w:afterAutospacing="1"/>
        <w:rPr>
          <w:rFonts w:cs="Times New Roman"/>
          <w:b/>
          <w:color w:val="E36C0A" w:themeColor="accent6" w:themeShade="BF"/>
          <w:sz w:val="24"/>
          <w:szCs w:val="24"/>
          <w:u w:val="single"/>
          <w:lang w:val="en" w:eastAsia="bg-BG"/>
        </w:rPr>
      </w:pPr>
      <w:r w:rsidRPr="00DE0443">
        <w:rPr>
          <w:rFonts w:cs="Times New Roman"/>
          <w:b/>
          <w:bCs/>
          <w:color w:val="E36C0A" w:themeColor="accent6" w:themeShade="BF"/>
          <w:sz w:val="24"/>
          <w:szCs w:val="24"/>
          <w:u w:val="single"/>
          <w:lang w:val="en" w:eastAsia="bg-BG"/>
        </w:rPr>
        <w:lastRenderedPageBreak/>
        <w:t>SECPID 2017 - Workshop on Secu</w:t>
      </w:r>
      <w:r w:rsidR="00E82E62" w:rsidRPr="00DE0443">
        <w:rPr>
          <w:rFonts w:cs="Times New Roman"/>
          <w:b/>
          <w:bCs/>
          <w:color w:val="E36C0A" w:themeColor="accent6" w:themeShade="BF"/>
          <w:sz w:val="24"/>
          <w:szCs w:val="24"/>
          <w:u w:val="single"/>
          <w:lang w:val="en" w:eastAsia="bg-BG"/>
        </w:rPr>
        <w:t>rity, Privacy, and Identity Management in the Cloud at ARES 2017</w:t>
      </w:r>
      <w:r w:rsidR="00D03DC5" w:rsidRPr="00DE0443">
        <w:rPr>
          <w:rFonts w:cs="Times New Roman"/>
          <w:b/>
          <w:bCs/>
          <w:color w:val="E36C0A" w:themeColor="accent6" w:themeShade="BF"/>
          <w:sz w:val="24"/>
          <w:szCs w:val="24"/>
          <w:u w:val="single"/>
          <w:lang w:val="en" w:eastAsia="bg-BG"/>
        </w:rPr>
        <w:t xml:space="preserve">, </w:t>
      </w:r>
      <w:r w:rsidR="00E82E62" w:rsidRPr="00DE0443">
        <w:rPr>
          <w:rFonts w:cs="Times New Roman"/>
          <w:b/>
          <w:color w:val="E36C0A" w:themeColor="accent6" w:themeShade="BF"/>
          <w:sz w:val="24"/>
          <w:szCs w:val="24"/>
          <w:u w:val="single"/>
          <w:lang w:val="en" w:eastAsia="bg-BG"/>
        </w:rPr>
        <w:t>29 August - 2 September 2017, Reggio Calabria, Italy</w:t>
      </w:r>
    </w:p>
    <w:p w:rsidR="00E82E62" w:rsidRPr="00E82E62" w:rsidRDefault="00E82E62" w:rsidP="00DE0443">
      <w:pPr>
        <w:spacing w:after="120"/>
        <w:rPr>
          <w:rFonts w:cs="Times New Roman"/>
          <w:sz w:val="24"/>
          <w:szCs w:val="24"/>
          <w:lang w:val="en" w:eastAsia="bg-BG"/>
        </w:rPr>
      </w:pPr>
      <w:r w:rsidRPr="00E82E62">
        <w:rPr>
          <w:rFonts w:cs="Times New Roman"/>
          <w:sz w:val="24"/>
          <w:szCs w:val="24"/>
          <w:lang w:val="en" w:eastAsia="bg-BG"/>
        </w:rPr>
        <w:t xml:space="preserve">The two H2020 projects CREDENTIAL and PRISMACLOUD are </w:t>
      </w:r>
      <w:proofErr w:type="spellStart"/>
      <w:r w:rsidRPr="00E82E62">
        <w:rPr>
          <w:rFonts w:cs="Times New Roman"/>
          <w:sz w:val="24"/>
          <w:szCs w:val="24"/>
          <w:lang w:val="en" w:eastAsia="bg-BG"/>
        </w:rPr>
        <w:t>organising</w:t>
      </w:r>
      <w:proofErr w:type="spellEnd"/>
      <w:r w:rsidRPr="00E82E62">
        <w:rPr>
          <w:rFonts w:cs="Times New Roman"/>
          <w:sz w:val="24"/>
          <w:szCs w:val="24"/>
          <w:lang w:val="en" w:eastAsia="bg-BG"/>
        </w:rPr>
        <w:t xml:space="preserve"> a Workshop on Security, Privacy, and Identity Management in the Cloud at this year's ARES conference, the 12th International Conference on Availability, Reliability and Security</w:t>
      </w:r>
      <w:r w:rsidR="00DE0443">
        <w:rPr>
          <w:rFonts w:cs="Times New Roman"/>
          <w:sz w:val="24"/>
          <w:szCs w:val="24"/>
          <w:lang w:val="en" w:eastAsia="bg-BG"/>
        </w:rPr>
        <w:t xml:space="preserve">. </w:t>
      </w:r>
      <w:r w:rsidRPr="00E82E62">
        <w:rPr>
          <w:rFonts w:cs="Times New Roman"/>
          <w:sz w:val="24"/>
          <w:szCs w:val="24"/>
          <w:lang w:val="en" w:eastAsia="bg-BG"/>
        </w:rPr>
        <w:t xml:space="preserve">The aim of this </w:t>
      </w:r>
      <w:r w:rsidR="00DE0443">
        <w:rPr>
          <w:rFonts w:cs="Times New Roman"/>
          <w:sz w:val="24"/>
          <w:szCs w:val="24"/>
          <w:lang w:val="en" w:eastAsia="bg-BG"/>
        </w:rPr>
        <w:t>event</w:t>
      </w:r>
      <w:r w:rsidRPr="00E82E62">
        <w:rPr>
          <w:rFonts w:cs="Times New Roman"/>
          <w:sz w:val="24"/>
          <w:szCs w:val="24"/>
          <w:lang w:val="en" w:eastAsia="bg-BG"/>
        </w:rPr>
        <w:t xml:space="preserve"> is to provide a platform to discuss innovative ideas related to the following questions: </w:t>
      </w:r>
    </w:p>
    <w:p w:rsidR="00E82E62" w:rsidRPr="00E82E62" w:rsidRDefault="00E82E62" w:rsidP="000D4193">
      <w:pPr>
        <w:numPr>
          <w:ilvl w:val="0"/>
          <w:numId w:val="19"/>
        </w:numPr>
        <w:spacing w:after="100" w:afterAutospacing="1"/>
        <w:rPr>
          <w:rFonts w:cs="Times New Roman"/>
          <w:sz w:val="24"/>
          <w:szCs w:val="24"/>
          <w:lang w:val="en" w:eastAsia="bg-BG"/>
        </w:rPr>
      </w:pPr>
      <w:r w:rsidRPr="00E82E62">
        <w:rPr>
          <w:rFonts w:cs="Times New Roman"/>
          <w:sz w:val="24"/>
          <w:szCs w:val="24"/>
          <w:lang w:val="en" w:eastAsia="bg-BG"/>
        </w:rPr>
        <w:t xml:space="preserve">How can cloud services be made more trustworthy? </w:t>
      </w:r>
    </w:p>
    <w:p w:rsidR="00E82E62" w:rsidRPr="00E82E62" w:rsidRDefault="00E82E62" w:rsidP="000D4193">
      <w:pPr>
        <w:numPr>
          <w:ilvl w:val="0"/>
          <w:numId w:val="19"/>
        </w:numPr>
        <w:spacing w:after="100" w:afterAutospacing="1"/>
        <w:rPr>
          <w:rFonts w:cs="Times New Roman"/>
          <w:sz w:val="24"/>
          <w:szCs w:val="24"/>
          <w:lang w:val="en" w:eastAsia="bg-BG"/>
        </w:rPr>
      </w:pPr>
      <w:r w:rsidRPr="00E82E62">
        <w:rPr>
          <w:rFonts w:cs="Times New Roman"/>
          <w:sz w:val="24"/>
          <w:szCs w:val="24"/>
          <w:lang w:val="en" w:eastAsia="bg-BG"/>
        </w:rPr>
        <w:t xml:space="preserve">How can we build distributed systems without single point of failure or trust? </w:t>
      </w:r>
    </w:p>
    <w:p w:rsidR="00E82E62" w:rsidRPr="00E82E62" w:rsidRDefault="00E82E62" w:rsidP="000D4193">
      <w:pPr>
        <w:numPr>
          <w:ilvl w:val="0"/>
          <w:numId w:val="19"/>
        </w:numPr>
        <w:spacing w:after="100" w:afterAutospacing="1"/>
        <w:rPr>
          <w:rFonts w:cs="Times New Roman"/>
          <w:sz w:val="24"/>
          <w:szCs w:val="24"/>
          <w:lang w:val="en" w:eastAsia="bg-BG"/>
        </w:rPr>
      </w:pPr>
      <w:r w:rsidRPr="00E82E62">
        <w:rPr>
          <w:rFonts w:cs="Times New Roman"/>
          <w:sz w:val="24"/>
          <w:szCs w:val="24"/>
          <w:lang w:val="en" w:eastAsia="bg-BG"/>
        </w:rPr>
        <w:t xml:space="preserve">How to design end-to-end secure services in an untrusted environment? </w:t>
      </w:r>
    </w:p>
    <w:p w:rsidR="00E82E62" w:rsidRPr="00E82E62" w:rsidRDefault="00E82E62" w:rsidP="000D4193">
      <w:pPr>
        <w:numPr>
          <w:ilvl w:val="0"/>
          <w:numId w:val="19"/>
        </w:numPr>
        <w:spacing w:after="0"/>
        <w:ind w:left="714" w:hanging="357"/>
        <w:rPr>
          <w:rFonts w:cs="Times New Roman"/>
          <w:sz w:val="24"/>
          <w:szCs w:val="24"/>
          <w:lang w:val="en" w:eastAsia="bg-BG"/>
        </w:rPr>
      </w:pPr>
      <w:r w:rsidRPr="00E82E62">
        <w:rPr>
          <w:rFonts w:cs="Times New Roman"/>
          <w:sz w:val="24"/>
          <w:szCs w:val="24"/>
          <w:lang w:val="en" w:eastAsia="bg-BG"/>
        </w:rPr>
        <w:t xml:space="preserve">Which methodologies and technologies are required to integrate security and privacy by design? </w:t>
      </w:r>
    </w:p>
    <w:p w:rsidR="00DE0443" w:rsidRDefault="00E82E62" w:rsidP="000D4193">
      <w:pPr>
        <w:numPr>
          <w:ilvl w:val="0"/>
          <w:numId w:val="20"/>
        </w:numPr>
        <w:spacing w:after="0"/>
        <w:ind w:left="714" w:hanging="357"/>
        <w:rPr>
          <w:rFonts w:cs="Times New Roman"/>
          <w:sz w:val="24"/>
          <w:szCs w:val="24"/>
          <w:lang w:val="en" w:eastAsia="bg-BG"/>
        </w:rPr>
      </w:pPr>
      <w:r w:rsidRPr="00DE0443">
        <w:rPr>
          <w:rFonts w:cs="Times New Roman"/>
          <w:sz w:val="24"/>
          <w:szCs w:val="24"/>
          <w:lang w:val="en" w:eastAsia="bg-BG"/>
        </w:rPr>
        <w:t xml:space="preserve">Is it possible to give back users full control over which data they want to reveal when and to whom? </w:t>
      </w:r>
    </w:p>
    <w:p w:rsidR="00E82E62" w:rsidRPr="00DE0443" w:rsidRDefault="00E82E62" w:rsidP="00DE0443">
      <w:pPr>
        <w:spacing w:after="100" w:afterAutospacing="1"/>
        <w:rPr>
          <w:rFonts w:cs="Times New Roman"/>
          <w:sz w:val="24"/>
          <w:szCs w:val="24"/>
          <w:lang w:val="en" w:eastAsia="bg-BG"/>
        </w:rPr>
      </w:pPr>
      <w:hyperlink r:id="rId42" w:tgtFrame="_blank" w:history="1">
        <w:r w:rsidRPr="00DE0443">
          <w:rPr>
            <w:rStyle w:val="Hyperlink"/>
            <w:rFonts w:cs="Times New Roman"/>
            <w:sz w:val="24"/>
            <w:szCs w:val="24"/>
            <w:lang w:val="en" w:eastAsia="bg-BG"/>
          </w:rPr>
          <w:t>More information and registration</w:t>
        </w:r>
      </w:hyperlink>
      <w:r w:rsidRPr="00DE0443">
        <w:rPr>
          <w:rFonts w:cs="Times New Roman"/>
          <w:sz w:val="24"/>
          <w:szCs w:val="24"/>
          <w:lang w:val="en" w:eastAsia="bg-BG"/>
        </w:rPr>
        <w:t xml:space="preserve"> </w:t>
      </w:r>
    </w:p>
    <w:p w:rsidR="007A2B45" w:rsidRPr="00DC0D45" w:rsidRDefault="007A2B45" w:rsidP="007A2B45">
      <w:pPr>
        <w:spacing w:after="100" w:afterAutospacing="1"/>
        <w:rPr>
          <w:rFonts w:cs="Times New Roman"/>
          <w:b/>
          <w:color w:val="E36C0A" w:themeColor="accent6" w:themeShade="BF"/>
          <w:sz w:val="24"/>
          <w:szCs w:val="24"/>
          <w:u w:val="single"/>
          <w:lang w:val="en" w:eastAsia="bg-BG"/>
        </w:rPr>
      </w:pPr>
      <w:r w:rsidRPr="00DC0D45">
        <w:rPr>
          <w:rFonts w:cs="Times New Roman"/>
          <w:b/>
          <w:bCs/>
          <w:color w:val="E36C0A" w:themeColor="accent6" w:themeShade="BF"/>
          <w:sz w:val="24"/>
          <w:szCs w:val="24"/>
          <w:u w:val="single"/>
          <w:lang w:val="en" w:eastAsia="bg-BG"/>
        </w:rPr>
        <w:t>Big Data Analytics</w:t>
      </w:r>
      <w:r w:rsidR="00DC0D45" w:rsidRPr="00DC0D45">
        <w:rPr>
          <w:rFonts w:cs="Times New Roman"/>
          <w:b/>
          <w:bCs/>
          <w:color w:val="E36C0A" w:themeColor="accent6" w:themeShade="BF"/>
          <w:sz w:val="24"/>
          <w:szCs w:val="24"/>
          <w:u w:val="single"/>
          <w:lang w:val="en" w:eastAsia="bg-BG"/>
        </w:rPr>
        <w:t xml:space="preserve">, </w:t>
      </w:r>
      <w:r w:rsidRPr="00DC0D45">
        <w:rPr>
          <w:rFonts w:cs="Times New Roman"/>
          <w:b/>
          <w:color w:val="E36C0A" w:themeColor="accent6" w:themeShade="BF"/>
          <w:sz w:val="24"/>
          <w:szCs w:val="24"/>
          <w:u w:val="single"/>
          <w:lang w:val="en" w:eastAsia="bg-BG"/>
        </w:rPr>
        <w:t>7-8 September 2017, Paris, France</w:t>
      </w:r>
    </w:p>
    <w:p w:rsidR="007A2B45" w:rsidRPr="007A2B45" w:rsidRDefault="007A2B45" w:rsidP="00DC0D45">
      <w:pPr>
        <w:tabs>
          <w:tab w:val="num" w:pos="720"/>
        </w:tabs>
        <w:spacing w:after="100" w:afterAutospacing="1"/>
        <w:rPr>
          <w:rFonts w:cs="Times New Roman"/>
          <w:sz w:val="24"/>
          <w:szCs w:val="24"/>
          <w:lang w:val="en" w:eastAsia="bg-BG"/>
        </w:rPr>
      </w:pPr>
      <w:r w:rsidRPr="007A2B45">
        <w:rPr>
          <w:rFonts w:cs="Times New Roman"/>
          <w:sz w:val="24"/>
          <w:szCs w:val="24"/>
          <w:lang w:val="en" w:eastAsia="bg-BG"/>
        </w:rPr>
        <w:t>Conference series LLC cordially invites all the participants from all over the world to attend 4th International Conference on Big Data Analysis and Data Mining</w:t>
      </w:r>
      <w:r w:rsidR="00DC0D45">
        <w:rPr>
          <w:rFonts w:cs="Times New Roman"/>
          <w:sz w:val="24"/>
          <w:szCs w:val="24"/>
          <w:lang w:val="en" w:eastAsia="bg-BG"/>
        </w:rPr>
        <w:t xml:space="preserve">. </w:t>
      </w:r>
      <w:r w:rsidRPr="007A2B45">
        <w:rPr>
          <w:rFonts w:cs="Times New Roman"/>
          <w:sz w:val="24"/>
          <w:szCs w:val="24"/>
          <w:lang w:val="en" w:eastAsia="bg-BG"/>
        </w:rPr>
        <w:t xml:space="preserve">This includes prompt keynote presentations, oral talks, poster presentations and exhibitions. </w:t>
      </w:r>
      <w:hyperlink r:id="rId43" w:tgtFrame="_blank" w:history="1">
        <w:r w:rsidRPr="007A2B45">
          <w:rPr>
            <w:rStyle w:val="Hyperlink"/>
            <w:rFonts w:cs="Times New Roman"/>
            <w:sz w:val="24"/>
            <w:szCs w:val="24"/>
            <w:lang w:val="en" w:eastAsia="bg-BG"/>
          </w:rPr>
          <w:t>More information and registration</w:t>
        </w:r>
      </w:hyperlink>
      <w:r w:rsidRPr="007A2B45">
        <w:rPr>
          <w:rFonts w:cs="Times New Roman"/>
          <w:sz w:val="24"/>
          <w:szCs w:val="24"/>
          <w:lang w:val="en" w:eastAsia="bg-BG"/>
        </w:rPr>
        <w:t xml:space="preserve"> </w:t>
      </w:r>
    </w:p>
    <w:p w:rsidR="009F0221" w:rsidRPr="00DC0D45" w:rsidRDefault="009F0221" w:rsidP="009F0221">
      <w:pPr>
        <w:spacing w:after="100" w:afterAutospacing="1"/>
        <w:rPr>
          <w:rFonts w:cs="Times New Roman"/>
          <w:b/>
          <w:color w:val="E36C0A" w:themeColor="accent6" w:themeShade="BF"/>
          <w:sz w:val="24"/>
          <w:szCs w:val="24"/>
          <w:u w:val="single"/>
          <w:lang w:val="en" w:eastAsia="bg-BG"/>
        </w:rPr>
      </w:pPr>
      <w:r w:rsidRPr="00DC0D45">
        <w:rPr>
          <w:rFonts w:cs="Times New Roman"/>
          <w:b/>
          <w:bCs/>
          <w:color w:val="E36C0A" w:themeColor="accent6" w:themeShade="BF"/>
          <w:sz w:val="24"/>
          <w:szCs w:val="24"/>
          <w:u w:val="single"/>
          <w:lang w:val="en" w:eastAsia="bg-BG"/>
        </w:rPr>
        <w:t>Global Conference on Plant Science and Molecular Biology</w:t>
      </w:r>
      <w:r w:rsidR="00DC0D45" w:rsidRPr="00DC0D45">
        <w:rPr>
          <w:rFonts w:cs="Times New Roman"/>
          <w:b/>
          <w:bCs/>
          <w:color w:val="E36C0A" w:themeColor="accent6" w:themeShade="BF"/>
          <w:sz w:val="24"/>
          <w:szCs w:val="24"/>
          <w:u w:val="single"/>
          <w:lang w:val="en" w:eastAsia="bg-BG"/>
        </w:rPr>
        <w:t xml:space="preserve">, </w:t>
      </w:r>
      <w:r w:rsidRPr="00DC0D45">
        <w:rPr>
          <w:rFonts w:cs="Times New Roman"/>
          <w:b/>
          <w:color w:val="E36C0A" w:themeColor="accent6" w:themeShade="BF"/>
          <w:sz w:val="24"/>
          <w:szCs w:val="24"/>
          <w:u w:val="single"/>
          <w:lang w:val="en" w:eastAsia="bg-BG"/>
        </w:rPr>
        <w:t>11-13 September 2017, Valencia, Spain</w:t>
      </w:r>
    </w:p>
    <w:p w:rsidR="009F0221" w:rsidRPr="009F0221" w:rsidRDefault="009F0221" w:rsidP="000D2EEC">
      <w:pPr>
        <w:spacing w:after="100" w:afterAutospacing="1"/>
        <w:rPr>
          <w:rFonts w:cs="Times New Roman"/>
          <w:sz w:val="24"/>
          <w:szCs w:val="24"/>
          <w:lang w:val="en" w:eastAsia="bg-BG"/>
        </w:rPr>
      </w:pPr>
      <w:r w:rsidRPr="009F0221">
        <w:rPr>
          <w:rFonts w:cs="Times New Roman"/>
          <w:sz w:val="24"/>
          <w:szCs w:val="24"/>
          <w:lang w:val="en" w:eastAsia="bg-BG"/>
        </w:rPr>
        <w:t>Magnus Group is pleased to invite you to participate in the Global Conference on Plant Science and Molecular Biology</w:t>
      </w:r>
      <w:r w:rsidR="00DC0D45">
        <w:rPr>
          <w:rFonts w:cs="Times New Roman"/>
          <w:sz w:val="24"/>
          <w:szCs w:val="24"/>
          <w:lang w:val="en" w:eastAsia="bg-BG"/>
        </w:rPr>
        <w:t>. It</w:t>
      </w:r>
      <w:r w:rsidRPr="009F0221">
        <w:rPr>
          <w:rFonts w:cs="Times New Roman"/>
          <w:sz w:val="24"/>
          <w:szCs w:val="24"/>
          <w:lang w:val="en" w:eastAsia="bg-BG"/>
        </w:rPr>
        <w:t xml:space="preserve"> will present cutting-edge research with a wide range of topics in plant biology on how plants sense, process, integrate and store information related to environmental challenges. It is a Global platform that brings together a range of disciplines, will foster the exchange of ideas and enable participants to learn of the latest developments and ideas in diverse areas of plant biology. The conference plays a key role in enabling students and postdocs (the next generation of research leaders) to mingle with pioneers in multiple areas of plant science. Plus, you'll have the opportunity to connect with more than 500 of your peers and celebrate your profession. </w:t>
      </w:r>
      <w:r w:rsidR="000D2EEC">
        <w:rPr>
          <w:rFonts w:cs="Times New Roman"/>
          <w:sz w:val="24"/>
          <w:szCs w:val="24"/>
          <w:lang w:val="en" w:eastAsia="bg-BG"/>
        </w:rPr>
        <w:t xml:space="preserve"> </w:t>
      </w:r>
      <w:hyperlink r:id="rId44" w:tgtFrame="_blank" w:history="1">
        <w:r w:rsidRPr="009F0221">
          <w:rPr>
            <w:rStyle w:val="Hyperlink"/>
            <w:rFonts w:cs="Times New Roman"/>
            <w:sz w:val="24"/>
            <w:szCs w:val="24"/>
            <w:lang w:val="en" w:eastAsia="bg-BG"/>
          </w:rPr>
          <w:t xml:space="preserve">More information and </w:t>
        </w:r>
        <w:proofErr w:type="spellStart"/>
        <w:r w:rsidRPr="009F0221">
          <w:rPr>
            <w:rStyle w:val="Hyperlink"/>
            <w:rFonts w:cs="Times New Roman"/>
            <w:sz w:val="24"/>
            <w:szCs w:val="24"/>
            <w:lang w:val="en" w:eastAsia="bg-BG"/>
          </w:rPr>
          <w:t>registraion</w:t>
        </w:r>
        <w:proofErr w:type="spellEnd"/>
      </w:hyperlink>
      <w:r w:rsidRPr="009F0221">
        <w:rPr>
          <w:rFonts w:cs="Times New Roman"/>
          <w:sz w:val="24"/>
          <w:szCs w:val="24"/>
          <w:lang w:val="en" w:eastAsia="bg-BG"/>
        </w:rPr>
        <w:t xml:space="preserve"> </w:t>
      </w:r>
    </w:p>
    <w:p w:rsidR="00C72DD0" w:rsidRPr="00EE334F" w:rsidRDefault="00C72DD0" w:rsidP="00C72DD0">
      <w:pPr>
        <w:spacing w:after="100" w:afterAutospacing="1"/>
        <w:rPr>
          <w:rFonts w:cs="Times New Roman"/>
          <w:b/>
          <w:color w:val="E36C0A" w:themeColor="accent6" w:themeShade="BF"/>
          <w:sz w:val="24"/>
          <w:szCs w:val="24"/>
          <w:u w:val="single"/>
          <w:lang w:val="en" w:eastAsia="bg-BG"/>
        </w:rPr>
      </w:pPr>
      <w:r w:rsidRPr="00EE334F">
        <w:rPr>
          <w:rFonts w:cs="Times New Roman"/>
          <w:b/>
          <w:bCs/>
          <w:color w:val="E36C0A" w:themeColor="accent6" w:themeShade="BF"/>
          <w:sz w:val="24"/>
          <w:szCs w:val="24"/>
          <w:u w:val="single"/>
          <w:lang w:val="en" w:eastAsia="bg-BG"/>
        </w:rPr>
        <w:t xml:space="preserve">2017 Meeting of the European Society for </w:t>
      </w:r>
      <w:proofErr w:type="spellStart"/>
      <w:r w:rsidRPr="00EE334F">
        <w:rPr>
          <w:rFonts w:cs="Times New Roman"/>
          <w:b/>
          <w:bCs/>
          <w:color w:val="E36C0A" w:themeColor="accent6" w:themeShade="BF"/>
          <w:sz w:val="24"/>
          <w:szCs w:val="24"/>
          <w:u w:val="single"/>
          <w:lang w:val="en" w:eastAsia="bg-BG"/>
        </w:rPr>
        <w:t>Immunodeficiencies</w:t>
      </w:r>
      <w:proofErr w:type="spellEnd"/>
      <w:r w:rsidRPr="00EE334F">
        <w:rPr>
          <w:rFonts w:cs="Times New Roman"/>
          <w:b/>
          <w:bCs/>
          <w:color w:val="E36C0A" w:themeColor="accent6" w:themeShade="BF"/>
          <w:sz w:val="24"/>
          <w:szCs w:val="24"/>
          <w:u w:val="single"/>
          <w:lang w:val="en" w:eastAsia="bg-BG"/>
        </w:rPr>
        <w:t xml:space="preserve"> (ESID 2017)</w:t>
      </w:r>
      <w:r w:rsidR="00DE25F7" w:rsidRPr="00EE334F">
        <w:rPr>
          <w:rFonts w:cs="Times New Roman"/>
          <w:b/>
          <w:bCs/>
          <w:color w:val="E36C0A" w:themeColor="accent6" w:themeShade="BF"/>
          <w:sz w:val="24"/>
          <w:szCs w:val="24"/>
          <w:u w:val="single"/>
          <w:lang w:val="en" w:eastAsia="bg-BG"/>
        </w:rPr>
        <w:t xml:space="preserve">, </w:t>
      </w:r>
      <w:r w:rsidRPr="00EE334F">
        <w:rPr>
          <w:rFonts w:cs="Times New Roman"/>
          <w:b/>
          <w:color w:val="E36C0A" w:themeColor="accent6" w:themeShade="BF"/>
          <w:sz w:val="24"/>
          <w:szCs w:val="24"/>
          <w:u w:val="single"/>
          <w:lang w:val="en" w:eastAsia="bg-BG"/>
        </w:rPr>
        <w:t>11-14 September 2017, Edinburgh, Scotland</w:t>
      </w:r>
    </w:p>
    <w:p w:rsidR="00C72DD0" w:rsidRPr="00C72DD0" w:rsidRDefault="00C72DD0" w:rsidP="00C72DD0">
      <w:pPr>
        <w:spacing w:after="100" w:afterAutospacing="1"/>
        <w:rPr>
          <w:rFonts w:cs="Times New Roman"/>
          <w:sz w:val="24"/>
          <w:szCs w:val="24"/>
          <w:lang w:val="en" w:eastAsia="bg-BG"/>
        </w:rPr>
      </w:pPr>
      <w:r w:rsidRPr="00C72DD0">
        <w:rPr>
          <w:rFonts w:cs="Times New Roman"/>
          <w:sz w:val="24"/>
          <w:szCs w:val="24"/>
          <w:lang w:val="en" w:eastAsia="bg-BG"/>
        </w:rPr>
        <w:t>This will be the 18th ESID meeting, and in a departure from the Biennial meeting, a focused meeting on 'Autoimmunity and Inflammation in Primary Immunodeficiency; beyond the paradox' is being organized for you by the local and international scientific committee.</w:t>
      </w:r>
      <w:r w:rsidRPr="00C72DD0">
        <w:rPr>
          <w:rFonts w:ascii="MS Mincho" w:eastAsia="MS Mincho" w:hAnsi="MS Mincho" w:cs="MS Mincho" w:hint="eastAsia"/>
          <w:sz w:val="24"/>
          <w:szCs w:val="24"/>
          <w:lang w:val="en" w:eastAsia="bg-BG"/>
        </w:rPr>
        <w:t> </w:t>
      </w:r>
    </w:p>
    <w:p w:rsidR="00C72DD0" w:rsidRPr="00C72DD0" w:rsidRDefault="00C72DD0" w:rsidP="00EE334F">
      <w:pPr>
        <w:tabs>
          <w:tab w:val="num" w:pos="720"/>
        </w:tabs>
        <w:spacing w:after="100" w:afterAutospacing="1"/>
        <w:rPr>
          <w:rFonts w:cs="Times New Roman"/>
          <w:sz w:val="24"/>
          <w:szCs w:val="24"/>
          <w:lang w:val="en" w:eastAsia="bg-BG"/>
        </w:rPr>
      </w:pPr>
      <w:r w:rsidRPr="00C72DD0">
        <w:rPr>
          <w:rFonts w:cs="Times New Roman"/>
          <w:sz w:val="24"/>
          <w:szCs w:val="24"/>
          <w:lang w:val="en" w:eastAsia="bg-BG"/>
        </w:rPr>
        <w:lastRenderedPageBreak/>
        <w:t xml:space="preserve">The more focused nature of this meeting will assemble leading international experts to present and discuss significant and exciting developments in diagnostic immunology, genetics and </w:t>
      </w:r>
      <w:proofErr w:type="spellStart"/>
      <w:r w:rsidRPr="00C72DD0">
        <w:rPr>
          <w:rFonts w:cs="Times New Roman"/>
          <w:sz w:val="24"/>
          <w:szCs w:val="24"/>
          <w:lang w:val="en" w:eastAsia="bg-BG"/>
        </w:rPr>
        <w:t>immunobiology</w:t>
      </w:r>
      <w:proofErr w:type="spellEnd"/>
      <w:r w:rsidRPr="00C72DD0">
        <w:rPr>
          <w:rFonts w:cs="Times New Roman"/>
          <w:sz w:val="24"/>
          <w:szCs w:val="24"/>
          <w:lang w:val="en" w:eastAsia="bg-BG"/>
        </w:rPr>
        <w:t xml:space="preserve"> of human autoimmune and inflammatory diseases related to primary </w:t>
      </w:r>
      <w:proofErr w:type="spellStart"/>
      <w:r w:rsidRPr="00C72DD0">
        <w:rPr>
          <w:rFonts w:cs="Times New Roman"/>
          <w:sz w:val="24"/>
          <w:szCs w:val="24"/>
          <w:lang w:val="en" w:eastAsia="bg-BG"/>
        </w:rPr>
        <w:t>immunodeficiencies</w:t>
      </w:r>
      <w:proofErr w:type="spellEnd"/>
      <w:r w:rsidRPr="00C72DD0">
        <w:rPr>
          <w:rFonts w:cs="Times New Roman"/>
          <w:sz w:val="24"/>
          <w:szCs w:val="24"/>
          <w:lang w:val="en" w:eastAsia="bg-BG"/>
        </w:rPr>
        <w:t xml:space="preserve">, through keynote lectures, symposia, educational workshops, interactive sessions and meet-the-professor sessions. </w:t>
      </w:r>
      <w:hyperlink r:id="rId45" w:tgtFrame="_blank" w:history="1">
        <w:r w:rsidRPr="00C72DD0">
          <w:rPr>
            <w:rStyle w:val="Hyperlink"/>
            <w:rFonts w:cs="Times New Roman"/>
            <w:sz w:val="24"/>
            <w:szCs w:val="24"/>
            <w:lang w:val="en" w:eastAsia="bg-BG"/>
          </w:rPr>
          <w:t>More information and registration</w:t>
        </w:r>
      </w:hyperlink>
      <w:r w:rsidRPr="00C72DD0">
        <w:rPr>
          <w:rFonts w:cs="Times New Roman"/>
          <w:sz w:val="24"/>
          <w:szCs w:val="24"/>
          <w:lang w:val="en" w:eastAsia="bg-BG"/>
        </w:rPr>
        <w:t xml:space="preserve"> </w:t>
      </w:r>
    </w:p>
    <w:p w:rsidR="00C72DD0" w:rsidRPr="008800F8" w:rsidRDefault="00C72DD0" w:rsidP="00C72DD0">
      <w:pPr>
        <w:spacing w:after="100" w:afterAutospacing="1"/>
        <w:rPr>
          <w:rFonts w:cs="Times New Roman"/>
          <w:b/>
          <w:color w:val="E36C0A" w:themeColor="accent6" w:themeShade="BF"/>
          <w:sz w:val="24"/>
          <w:szCs w:val="24"/>
          <w:u w:val="single"/>
          <w:lang w:val="en" w:eastAsia="bg-BG"/>
        </w:rPr>
      </w:pPr>
      <w:r w:rsidRPr="008800F8">
        <w:rPr>
          <w:rFonts w:cs="Times New Roman"/>
          <w:b/>
          <w:bCs/>
          <w:color w:val="E36C0A" w:themeColor="accent6" w:themeShade="BF"/>
          <w:sz w:val="24"/>
          <w:szCs w:val="24"/>
          <w:u w:val="single"/>
          <w:lang w:val="en" w:eastAsia="bg-BG"/>
        </w:rPr>
        <w:t>The Fourth International Conference on Artificial Intelligence and Pattern Recognition (AIPR2017)</w:t>
      </w:r>
      <w:r w:rsidR="008800F8" w:rsidRPr="008800F8">
        <w:rPr>
          <w:rFonts w:cs="Times New Roman"/>
          <w:b/>
          <w:bCs/>
          <w:color w:val="E36C0A" w:themeColor="accent6" w:themeShade="BF"/>
          <w:sz w:val="24"/>
          <w:szCs w:val="24"/>
          <w:u w:val="single"/>
          <w:lang w:val="en" w:eastAsia="bg-BG"/>
        </w:rPr>
        <w:t xml:space="preserve">, </w:t>
      </w:r>
      <w:r w:rsidRPr="008800F8">
        <w:rPr>
          <w:rFonts w:cs="Times New Roman"/>
          <w:b/>
          <w:color w:val="E36C0A" w:themeColor="accent6" w:themeShade="BF"/>
          <w:sz w:val="24"/>
          <w:szCs w:val="24"/>
          <w:u w:val="single"/>
          <w:lang w:val="en" w:eastAsia="bg-BG"/>
        </w:rPr>
        <w:t>18-20 September 2017, Lodz, Poland</w:t>
      </w:r>
    </w:p>
    <w:p w:rsidR="00C72DD0" w:rsidRPr="00C72DD0" w:rsidRDefault="00C72DD0" w:rsidP="008800F8">
      <w:pPr>
        <w:tabs>
          <w:tab w:val="num" w:pos="720"/>
        </w:tabs>
        <w:spacing w:after="100" w:afterAutospacing="1"/>
        <w:rPr>
          <w:rFonts w:cs="Times New Roman"/>
          <w:sz w:val="24"/>
          <w:szCs w:val="24"/>
          <w:lang w:val="en" w:eastAsia="bg-BG"/>
        </w:rPr>
      </w:pPr>
      <w:r w:rsidRPr="00C72DD0">
        <w:rPr>
          <w:rFonts w:cs="Times New Roman"/>
          <w:sz w:val="24"/>
          <w:szCs w:val="24"/>
          <w:lang w:val="en" w:eastAsia="bg-BG"/>
        </w:rPr>
        <w:t xml:space="preserve">The event will be held over three days, with presentations delivered by researchers from the international community, including presentations from keynote speakers and state-of-the-art lectures. AIPR2017 welcomes papers on the following (but not limited to) Artificial Intelligence, Pattern Recognition and related research topics. </w:t>
      </w:r>
      <w:hyperlink r:id="rId46" w:tgtFrame="_blank" w:history="1">
        <w:r w:rsidRPr="00C72DD0">
          <w:rPr>
            <w:rStyle w:val="Hyperlink"/>
            <w:rFonts w:cs="Times New Roman"/>
            <w:sz w:val="24"/>
            <w:szCs w:val="24"/>
            <w:lang w:val="en" w:eastAsia="bg-BG"/>
          </w:rPr>
          <w:t>More information and registration</w:t>
        </w:r>
      </w:hyperlink>
      <w:r w:rsidRPr="00C72DD0">
        <w:rPr>
          <w:rFonts w:cs="Times New Roman"/>
          <w:sz w:val="24"/>
          <w:szCs w:val="24"/>
          <w:lang w:val="en" w:eastAsia="bg-BG"/>
        </w:rPr>
        <w:t xml:space="preserve"> </w:t>
      </w:r>
    </w:p>
    <w:p w:rsidR="009A1D3C" w:rsidRPr="008800F8" w:rsidRDefault="009A1D3C" w:rsidP="009A1D3C">
      <w:pPr>
        <w:spacing w:after="100" w:afterAutospacing="1"/>
        <w:rPr>
          <w:rFonts w:cs="Times New Roman"/>
          <w:b/>
          <w:color w:val="E36C0A" w:themeColor="accent6" w:themeShade="BF"/>
          <w:sz w:val="24"/>
          <w:szCs w:val="24"/>
          <w:u w:val="single"/>
          <w:lang w:val="en" w:eastAsia="bg-BG"/>
        </w:rPr>
      </w:pPr>
      <w:r w:rsidRPr="008800F8">
        <w:rPr>
          <w:rFonts w:cs="Times New Roman"/>
          <w:b/>
          <w:bCs/>
          <w:color w:val="E36C0A" w:themeColor="accent6" w:themeShade="BF"/>
          <w:sz w:val="24"/>
          <w:szCs w:val="24"/>
          <w:u w:val="single"/>
          <w:lang w:val="en" w:eastAsia="bg-BG"/>
        </w:rPr>
        <w:t>2nd Global Congress &amp; Expo on Materials Science and Nanoscience</w:t>
      </w:r>
      <w:r w:rsidR="008800F8" w:rsidRPr="008800F8">
        <w:rPr>
          <w:rFonts w:cs="Times New Roman"/>
          <w:b/>
          <w:bCs/>
          <w:color w:val="E36C0A" w:themeColor="accent6" w:themeShade="BF"/>
          <w:sz w:val="24"/>
          <w:szCs w:val="24"/>
          <w:u w:val="single"/>
          <w:lang w:val="en" w:eastAsia="bg-BG"/>
        </w:rPr>
        <w:t xml:space="preserve">, </w:t>
      </w:r>
      <w:r w:rsidRPr="008800F8">
        <w:rPr>
          <w:rFonts w:cs="Times New Roman"/>
          <w:b/>
          <w:color w:val="E36C0A" w:themeColor="accent6" w:themeShade="BF"/>
          <w:sz w:val="24"/>
          <w:szCs w:val="24"/>
          <w:u w:val="single"/>
          <w:lang w:val="en" w:eastAsia="bg-BG"/>
        </w:rPr>
        <w:t>25-27 September 2017, Valencia, Spain</w:t>
      </w:r>
    </w:p>
    <w:p w:rsidR="008800F8" w:rsidRDefault="009A1D3C" w:rsidP="008800F8">
      <w:pPr>
        <w:spacing w:after="0"/>
        <w:rPr>
          <w:rFonts w:cs="Times New Roman"/>
          <w:sz w:val="24"/>
          <w:szCs w:val="24"/>
          <w:lang w:val="en" w:eastAsia="bg-BG"/>
        </w:rPr>
      </w:pPr>
      <w:r w:rsidRPr="009A1D3C">
        <w:rPr>
          <w:rFonts w:cs="Times New Roman"/>
          <w:sz w:val="24"/>
          <w:szCs w:val="24"/>
          <w:lang w:val="en" w:eastAsia="bg-BG"/>
        </w:rPr>
        <w:t xml:space="preserve">Progress in materials science is always linked to the progress and welfare of human civilization. Future advances in multiple fields of science and engineering critically depends on the availability of superior materials. This congress, accordingly, attempts to provide a platform to researchers, scientists, engineers and students to share their findings and experience on the emerging and interesting trends of multifaceted materials science. </w:t>
      </w:r>
    </w:p>
    <w:p w:rsidR="009A1D3C" w:rsidRPr="009A1D3C" w:rsidRDefault="009A1D3C" w:rsidP="008800F8">
      <w:pPr>
        <w:spacing w:after="100" w:afterAutospacing="1"/>
        <w:rPr>
          <w:rFonts w:cs="Times New Roman"/>
          <w:sz w:val="24"/>
          <w:szCs w:val="24"/>
          <w:lang w:val="en" w:eastAsia="bg-BG"/>
        </w:rPr>
      </w:pPr>
      <w:hyperlink r:id="rId47" w:tgtFrame="_blank" w:history="1">
        <w:r w:rsidRPr="009A1D3C">
          <w:rPr>
            <w:rStyle w:val="Hyperlink"/>
            <w:rFonts w:cs="Times New Roman"/>
            <w:sz w:val="24"/>
            <w:szCs w:val="24"/>
            <w:lang w:val="en" w:eastAsia="bg-BG"/>
          </w:rPr>
          <w:t>More information and registration</w:t>
        </w:r>
      </w:hyperlink>
      <w:r w:rsidRPr="009A1D3C">
        <w:rPr>
          <w:rFonts w:cs="Times New Roman"/>
          <w:sz w:val="24"/>
          <w:szCs w:val="24"/>
          <w:lang w:val="en" w:eastAsia="bg-BG"/>
        </w:rPr>
        <w:t xml:space="preserve"> </w:t>
      </w:r>
    </w:p>
    <w:p w:rsidR="00A64643" w:rsidRPr="00C125AA" w:rsidRDefault="00BA0805" w:rsidP="00A64643">
      <w:pPr>
        <w:rPr>
          <w:rFonts w:cs="Times New Roman"/>
          <w:b/>
          <w:color w:val="E36C0A" w:themeColor="accent6" w:themeShade="BF"/>
          <w:sz w:val="24"/>
          <w:szCs w:val="24"/>
          <w:u w:val="single"/>
          <w:lang w:val="en" w:eastAsia="bg-BG"/>
        </w:rPr>
      </w:pPr>
      <w:hyperlink r:id="rId48" w:history="1">
        <w:r w:rsidR="00A64643" w:rsidRPr="00C125AA">
          <w:rPr>
            <w:rStyle w:val="Hyperlink"/>
            <w:rFonts w:cs="Times New Roman"/>
            <w:b/>
            <w:color w:val="E36C0A" w:themeColor="accent6" w:themeShade="BF"/>
            <w:sz w:val="24"/>
            <w:szCs w:val="24"/>
            <w:lang w:val="en" w:eastAsia="bg-BG"/>
          </w:rPr>
          <w:t>International Conference on Integrated Quantum Photonics</w:t>
        </w:r>
      </w:hyperlink>
      <w:r w:rsidR="00C125AA" w:rsidRPr="00C125AA">
        <w:rPr>
          <w:rFonts w:cs="Times New Roman"/>
          <w:b/>
          <w:color w:val="E36C0A" w:themeColor="accent6" w:themeShade="BF"/>
          <w:sz w:val="24"/>
          <w:szCs w:val="24"/>
          <w:u w:val="single"/>
          <w:lang w:val="en" w:eastAsia="bg-BG"/>
        </w:rPr>
        <w:t xml:space="preserve">, 26 – 29 September 2017, </w:t>
      </w:r>
      <w:r w:rsidR="00A64643" w:rsidRPr="00C125AA">
        <w:rPr>
          <w:rFonts w:cs="Times New Roman"/>
          <w:b/>
          <w:color w:val="E36C0A" w:themeColor="accent6" w:themeShade="BF"/>
          <w:sz w:val="24"/>
          <w:szCs w:val="24"/>
          <w:u w:val="single"/>
          <w:lang w:val="en" w:eastAsia="bg-BG"/>
        </w:rPr>
        <w:t>Roma</w:t>
      </w:r>
      <w:r w:rsidR="00C125AA" w:rsidRPr="00C125AA">
        <w:rPr>
          <w:rFonts w:cs="Times New Roman"/>
          <w:b/>
          <w:color w:val="E36C0A" w:themeColor="accent6" w:themeShade="BF"/>
          <w:sz w:val="24"/>
          <w:szCs w:val="24"/>
          <w:u w:val="single"/>
          <w:lang w:val="en" w:eastAsia="bg-BG"/>
        </w:rPr>
        <w:t>, Italy</w:t>
      </w:r>
      <w:r w:rsidR="00A64643" w:rsidRPr="00C125AA">
        <w:rPr>
          <w:rFonts w:cs="Times New Roman"/>
          <w:b/>
          <w:color w:val="E36C0A" w:themeColor="accent6" w:themeShade="BF"/>
          <w:sz w:val="24"/>
          <w:szCs w:val="24"/>
          <w:u w:val="single"/>
          <w:lang w:val="en" w:eastAsia="bg-BG"/>
        </w:rPr>
        <w:t xml:space="preserve"> </w:t>
      </w:r>
    </w:p>
    <w:p w:rsidR="00C335BB" w:rsidRDefault="00A64643" w:rsidP="00D043E1">
      <w:pPr>
        <w:spacing w:after="100" w:afterAutospacing="1"/>
        <w:rPr>
          <w:rFonts w:cs="Times New Roman"/>
          <w:sz w:val="24"/>
          <w:szCs w:val="24"/>
          <w:lang w:val="en" w:eastAsia="bg-BG"/>
        </w:rPr>
      </w:pPr>
      <w:r w:rsidRPr="00A64643">
        <w:rPr>
          <w:rFonts w:cs="Times New Roman"/>
          <w:sz w:val="24"/>
          <w:szCs w:val="24"/>
          <w:lang w:val="en" w:eastAsia="bg-BG"/>
        </w:rPr>
        <w:t xml:space="preserve">This conference is organized in the framework of the FET funded QUCHIP project and the Marie-Curie project PICQUE. It will be the final conference for both projects. The scientific program foresees tutorial lectures, invited seminars on scientific results, oral contributions and posters. The deadline for abstract submission is 15 April 2017. </w:t>
      </w:r>
      <w:hyperlink r:id="rId49" w:history="1">
        <w:r w:rsidRPr="00A64643">
          <w:rPr>
            <w:rStyle w:val="Hyperlink"/>
            <w:rFonts w:cs="Times New Roman"/>
            <w:sz w:val="24"/>
            <w:szCs w:val="24"/>
            <w:lang w:val="en" w:eastAsia="bg-BG"/>
          </w:rPr>
          <w:t>Read more</w:t>
        </w:r>
      </w:hyperlink>
      <w:r w:rsidRPr="00A64643">
        <w:rPr>
          <w:rFonts w:cs="Times New Roman"/>
          <w:sz w:val="24"/>
          <w:szCs w:val="24"/>
          <w:lang w:val="en" w:eastAsia="bg-BG"/>
        </w:rPr>
        <w:t xml:space="preserve"> </w:t>
      </w:r>
    </w:p>
    <w:p w:rsidR="003647AB" w:rsidRPr="00D043E1" w:rsidRDefault="003647AB" w:rsidP="003647AB">
      <w:pPr>
        <w:rPr>
          <w:b/>
          <w:bCs/>
          <w:color w:val="E36C0A" w:themeColor="accent6" w:themeShade="BF"/>
          <w:sz w:val="24"/>
          <w:szCs w:val="24"/>
          <w:u w:val="single"/>
          <w:lang w:val="en-GB" w:eastAsia="bg-BG"/>
        </w:rPr>
      </w:pPr>
      <w:r w:rsidRPr="00D043E1">
        <w:rPr>
          <w:b/>
          <w:bCs/>
          <w:color w:val="E36C0A" w:themeColor="accent6" w:themeShade="BF"/>
          <w:sz w:val="24"/>
          <w:szCs w:val="24"/>
          <w:u w:val="single"/>
          <w:lang w:val="en-GB" w:eastAsia="bg-BG"/>
        </w:rPr>
        <w:t xml:space="preserve">1st European Learning &amp; Teaching Forum </w:t>
      </w:r>
      <w:r w:rsidR="00D043E1">
        <w:rPr>
          <w:b/>
          <w:bCs/>
          <w:color w:val="E36C0A" w:themeColor="accent6" w:themeShade="BF"/>
          <w:sz w:val="24"/>
          <w:szCs w:val="24"/>
          <w:u w:val="single"/>
          <w:lang w:val="en-US" w:eastAsia="bg-BG"/>
        </w:rPr>
        <w:t>“</w:t>
      </w:r>
      <w:r w:rsidRPr="00D043E1">
        <w:rPr>
          <w:b/>
          <w:bCs/>
          <w:color w:val="E36C0A" w:themeColor="accent6" w:themeShade="BF"/>
          <w:sz w:val="24"/>
          <w:szCs w:val="24"/>
          <w:u w:val="single"/>
          <w:lang w:val="en-GB" w:eastAsia="bg-BG"/>
        </w:rPr>
        <w:t>Meeting Challenges Together</w:t>
      </w:r>
      <w:r w:rsidR="00D043E1">
        <w:rPr>
          <w:b/>
          <w:bCs/>
          <w:color w:val="E36C0A" w:themeColor="accent6" w:themeShade="BF"/>
          <w:sz w:val="24"/>
          <w:szCs w:val="24"/>
          <w:u w:val="single"/>
          <w:lang w:val="en-GB" w:eastAsia="bg-BG"/>
        </w:rPr>
        <w:t xml:space="preserve">” </w:t>
      </w:r>
      <w:r w:rsidRPr="00D043E1">
        <w:rPr>
          <w:b/>
          <w:bCs/>
          <w:color w:val="E36C0A" w:themeColor="accent6" w:themeShade="BF"/>
          <w:sz w:val="24"/>
          <w:szCs w:val="24"/>
          <w:u w:val="single"/>
          <w:lang w:val="en-GB" w:eastAsia="bg-BG"/>
        </w:rPr>
        <w:t>28 - 29 September 2017</w:t>
      </w:r>
      <w:r w:rsidR="00D043E1">
        <w:rPr>
          <w:b/>
          <w:bCs/>
          <w:color w:val="E36C0A" w:themeColor="accent6" w:themeShade="BF"/>
          <w:sz w:val="24"/>
          <w:szCs w:val="24"/>
          <w:u w:val="single"/>
          <w:lang w:val="en-GB" w:eastAsia="bg-BG"/>
        </w:rPr>
        <w:t>,</w:t>
      </w:r>
      <w:r w:rsidRPr="00D043E1">
        <w:rPr>
          <w:b/>
          <w:bCs/>
          <w:color w:val="E36C0A" w:themeColor="accent6" w:themeShade="BF"/>
          <w:sz w:val="24"/>
          <w:szCs w:val="24"/>
          <w:u w:val="single"/>
          <w:lang w:val="en-GB" w:eastAsia="bg-BG"/>
        </w:rPr>
        <w:t xml:space="preserve"> Paris, France</w:t>
      </w:r>
    </w:p>
    <w:p w:rsidR="003647AB" w:rsidRPr="003647AB" w:rsidRDefault="003647AB" w:rsidP="003647AB">
      <w:pPr>
        <w:rPr>
          <w:bCs/>
          <w:sz w:val="24"/>
          <w:szCs w:val="24"/>
          <w:lang w:val="en-GB" w:eastAsia="bg-BG"/>
        </w:rPr>
      </w:pPr>
      <w:r w:rsidRPr="003647AB">
        <w:rPr>
          <w:bCs/>
          <w:sz w:val="24"/>
          <w:szCs w:val="24"/>
          <w:lang w:val="en-GB" w:eastAsia="bg-BG"/>
        </w:rPr>
        <w:t>The European Learning &amp; Teaching Forum (hereinafter the Forum) provides a platform for the exchange of experience on learning and teaching in higher education among E</w:t>
      </w:r>
      <w:r>
        <w:rPr>
          <w:bCs/>
          <w:sz w:val="24"/>
          <w:szCs w:val="24"/>
          <w:lang w:val="en-GB" w:eastAsia="bg-BG"/>
        </w:rPr>
        <w:t xml:space="preserve">uropean </w:t>
      </w:r>
      <w:r w:rsidRPr="003647AB">
        <w:rPr>
          <w:bCs/>
          <w:sz w:val="24"/>
          <w:szCs w:val="24"/>
          <w:lang w:val="en-GB" w:eastAsia="bg-BG"/>
        </w:rPr>
        <w:t>U</w:t>
      </w:r>
      <w:r>
        <w:rPr>
          <w:bCs/>
          <w:sz w:val="24"/>
          <w:szCs w:val="24"/>
          <w:lang w:val="en-GB" w:eastAsia="bg-BG"/>
        </w:rPr>
        <w:t xml:space="preserve">niversity </w:t>
      </w:r>
      <w:r w:rsidRPr="003647AB">
        <w:rPr>
          <w:bCs/>
          <w:sz w:val="24"/>
          <w:szCs w:val="24"/>
          <w:lang w:val="en-GB" w:eastAsia="bg-BG"/>
        </w:rPr>
        <w:t>A</w:t>
      </w:r>
      <w:r>
        <w:rPr>
          <w:bCs/>
          <w:sz w:val="24"/>
          <w:szCs w:val="24"/>
          <w:lang w:val="en-GB" w:eastAsia="bg-BG"/>
        </w:rPr>
        <w:t>ssociation</w:t>
      </w:r>
      <w:r w:rsidRPr="003647AB">
        <w:rPr>
          <w:bCs/>
          <w:sz w:val="24"/>
          <w:szCs w:val="24"/>
          <w:lang w:val="en-GB" w:eastAsia="bg-BG"/>
        </w:rPr>
        <w:t xml:space="preserve"> members and other higher education stakeholders. Within universities, the Forum aims to target vice-rectors for academic affairs, deans, programme directors, academic staff, and researchers in the field of learning and teaching.</w:t>
      </w:r>
    </w:p>
    <w:p w:rsidR="003647AB" w:rsidRPr="003647AB" w:rsidRDefault="003647AB" w:rsidP="003647AB">
      <w:pPr>
        <w:rPr>
          <w:bCs/>
          <w:sz w:val="24"/>
          <w:szCs w:val="24"/>
          <w:lang w:val="en-GB" w:eastAsia="bg-BG"/>
        </w:rPr>
      </w:pPr>
      <w:r w:rsidRPr="003647AB">
        <w:rPr>
          <w:bCs/>
          <w:sz w:val="24"/>
          <w:szCs w:val="24"/>
          <w:lang w:val="en-GB" w:eastAsia="bg-BG"/>
        </w:rPr>
        <w:t>The Forum</w:t>
      </w:r>
      <w:r>
        <w:rPr>
          <w:bCs/>
          <w:sz w:val="24"/>
          <w:szCs w:val="24"/>
          <w:lang w:val="en-GB" w:eastAsia="bg-BG"/>
        </w:rPr>
        <w:t xml:space="preserve"> is</w:t>
      </w:r>
      <w:r w:rsidRPr="003647AB">
        <w:rPr>
          <w:bCs/>
          <w:sz w:val="24"/>
          <w:szCs w:val="24"/>
          <w:lang w:val="en-GB" w:eastAsia="bg-BG"/>
        </w:rPr>
        <w:t xml:space="preserve"> organised by EUA in collaboration with the </w:t>
      </w:r>
      <w:proofErr w:type="spellStart"/>
      <w:r w:rsidRPr="003647AB">
        <w:rPr>
          <w:bCs/>
          <w:sz w:val="24"/>
          <w:szCs w:val="24"/>
          <w:lang w:val="en-GB" w:eastAsia="bg-BG"/>
        </w:rPr>
        <w:t>Conférence</w:t>
      </w:r>
      <w:proofErr w:type="spellEnd"/>
      <w:r w:rsidRPr="003647AB">
        <w:rPr>
          <w:bCs/>
          <w:sz w:val="24"/>
          <w:szCs w:val="24"/>
          <w:lang w:val="en-GB" w:eastAsia="bg-BG"/>
        </w:rPr>
        <w:t xml:space="preserve"> des </w:t>
      </w:r>
      <w:proofErr w:type="spellStart"/>
      <w:r w:rsidRPr="003647AB">
        <w:rPr>
          <w:bCs/>
          <w:sz w:val="24"/>
          <w:szCs w:val="24"/>
          <w:lang w:val="en-GB" w:eastAsia="bg-BG"/>
        </w:rPr>
        <w:t>présidents</w:t>
      </w:r>
      <w:proofErr w:type="spellEnd"/>
      <w:r w:rsidRPr="003647AB">
        <w:rPr>
          <w:bCs/>
          <w:sz w:val="24"/>
          <w:szCs w:val="24"/>
          <w:lang w:val="en-GB" w:eastAsia="bg-BG"/>
        </w:rPr>
        <w:t xml:space="preserve"> </w:t>
      </w:r>
      <w:proofErr w:type="spellStart"/>
      <w:r w:rsidRPr="003647AB">
        <w:rPr>
          <w:bCs/>
          <w:sz w:val="24"/>
          <w:szCs w:val="24"/>
          <w:lang w:val="en-GB" w:eastAsia="bg-BG"/>
        </w:rPr>
        <w:t>d’université</w:t>
      </w:r>
      <w:proofErr w:type="spellEnd"/>
      <w:r w:rsidRPr="003647AB">
        <w:rPr>
          <w:bCs/>
          <w:sz w:val="24"/>
          <w:szCs w:val="24"/>
          <w:lang w:val="en-GB" w:eastAsia="bg-BG"/>
        </w:rPr>
        <w:t xml:space="preserve"> (CPU) and </w:t>
      </w:r>
      <w:r>
        <w:rPr>
          <w:bCs/>
          <w:sz w:val="24"/>
          <w:szCs w:val="24"/>
          <w:lang w:val="en-GB" w:eastAsia="bg-BG"/>
        </w:rPr>
        <w:t xml:space="preserve">is </w:t>
      </w:r>
      <w:r w:rsidRPr="003647AB">
        <w:rPr>
          <w:bCs/>
          <w:sz w:val="24"/>
          <w:szCs w:val="24"/>
          <w:lang w:val="en-GB" w:eastAsia="bg-BG"/>
        </w:rPr>
        <w:t>hosted by University Pierre and Marie Curie (UPMC)</w:t>
      </w:r>
      <w:r>
        <w:rPr>
          <w:bCs/>
          <w:sz w:val="24"/>
          <w:szCs w:val="24"/>
          <w:lang w:val="en-GB" w:eastAsia="bg-BG"/>
        </w:rPr>
        <w:t>.</w:t>
      </w:r>
    </w:p>
    <w:p w:rsidR="00823800" w:rsidRDefault="003647AB" w:rsidP="00823800">
      <w:pPr>
        <w:spacing w:after="0"/>
        <w:rPr>
          <w:bCs/>
          <w:sz w:val="24"/>
          <w:szCs w:val="24"/>
          <w:lang w:val="en-GB" w:eastAsia="bg-BG"/>
        </w:rPr>
      </w:pPr>
      <w:r w:rsidRPr="003647AB">
        <w:rPr>
          <w:bCs/>
          <w:sz w:val="24"/>
          <w:szCs w:val="24"/>
          <w:lang w:val="en-GB" w:eastAsia="bg-BG"/>
        </w:rPr>
        <w:lastRenderedPageBreak/>
        <w:t>The Forum provides EUA members with opportunities for peer-learning and exchange of good practice in learning and teaching. It also wishes to identify and better engage with relevant university communities, those in charge of learning and teaching at institutional level, and dedicated policy makers, networks and organisations, thus strengthening the voice of EUA in ongoing policy debates on changing learning landscapes.</w:t>
      </w:r>
      <w:r>
        <w:rPr>
          <w:bCs/>
          <w:sz w:val="24"/>
          <w:szCs w:val="24"/>
          <w:lang w:val="en-GB" w:eastAsia="bg-BG"/>
        </w:rPr>
        <w:t xml:space="preserve"> </w:t>
      </w:r>
    </w:p>
    <w:p w:rsidR="003647AB" w:rsidRDefault="00823800" w:rsidP="003647AB">
      <w:pPr>
        <w:rPr>
          <w:bCs/>
          <w:sz w:val="24"/>
          <w:szCs w:val="24"/>
          <w:lang w:val="en-GB" w:eastAsia="bg-BG"/>
        </w:rPr>
      </w:pPr>
      <w:hyperlink r:id="rId50" w:history="1">
        <w:r w:rsidRPr="00823800">
          <w:rPr>
            <w:rStyle w:val="Hyperlink"/>
            <w:bCs/>
            <w:sz w:val="24"/>
            <w:szCs w:val="24"/>
            <w:lang w:val="en-GB" w:eastAsia="bg-BG"/>
          </w:rPr>
          <w:t>More information and registration</w:t>
        </w:r>
      </w:hyperlink>
    </w:p>
    <w:p w:rsidR="009A1D3C" w:rsidRPr="00823800" w:rsidRDefault="009A1D3C" w:rsidP="009A1D3C">
      <w:pPr>
        <w:rPr>
          <w:b/>
          <w:bCs/>
          <w:color w:val="E36C0A" w:themeColor="accent6" w:themeShade="BF"/>
          <w:sz w:val="24"/>
          <w:szCs w:val="24"/>
          <w:u w:val="single"/>
          <w:lang w:val="en" w:eastAsia="bg-BG"/>
        </w:rPr>
      </w:pPr>
      <w:r w:rsidRPr="00823800">
        <w:rPr>
          <w:b/>
          <w:bCs/>
          <w:color w:val="E36C0A" w:themeColor="accent6" w:themeShade="BF"/>
          <w:sz w:val="24"/>
          <w:szCs w:val="24"/>
          <w:u w:val="single"/>
          <w:lang w:val="en" w:eastAsia="bg-BG"/>
        </w:rPr>
        <w:t>2nd International Conference on Pharmaceutical Chemistry</w:t>
      </w:r>
      <w:r w:rsidR="00823800" w:rsidRPr="00823800">
        <w:rPr>
          <w:b/>
          <w:bCs/>
          <w:color w:val="E36C0A" w:themeColor="accent6" w:themeShade="BF"/>
          <w:sz w:val="24"/>
          <w:szCs w:val="24"/>
          <w:u w:val="single"/>
          <w:lang w:val="en" w:eastAsia="bg-BG"/>
        </w:rPr>
        <w:t xml:space="preserve">, </w:t>
      </w:r>
      <w:r w:rsidRPr="00823800">
        <w:rPr>
          <w:b/>
          <w:bCs/>
          <w:color w:val="E36C0A" w:themeColor="accent6" w:themeShade="BF"/>
          <w:sz w:val="24"/>
          <w:szCs w:val="24"/>
          <w:u w:val="single"/>
          <w:lang w:val="en" w:eastAsia="bg-BG"/>
        </w:rPr>
        <w:t>2-4 October 2017, Barcelona, Spain</w:t>
      </w:r>
    </w:p>
    <w:p w:rsidR="009A1D3C" w:rsidRPr="009A1D3C" w:rsidRDefault="009A1D3C" w:rsidP="00823800">
      <w:pPr>
        <w:spacing w:after="0"/>
        <w:rPr>
          <w:bCs/>
          <w:sz w:val="24"/>
          <w:szCs w:val="24"/>
          <w:lang w:val="en" w:eastAsia="bg-BG"/>
        </w:rPr>
      </w:pPr>
      <w:r w:rsidRPr="009A1D3C">
        <w:rPr>
          <w:bCs/>
          <w:lang w:val="en"/>
        </w:rPr>
        <w:t xml:space="preserve">Pharmaceutical Chemistry 2017 is an open platform to explore and gain the knowledge in the field of Pharma and Chemistry. </w:t>
      </w:r>
      <w:r w:rsidRPr="009A1D3C">
        <w:rPr>
          <w:bCs/>
          <w:sz w:val="24"/>
          <w:szCs w:val="24"/>
          <w:lang w:val="en" w:eastAsia="bg-BG"/>
        </w:rPr>
        <w:t xml:space="preserve">This conference brings together professors, researchers, scientists, students in all the areas of medical sciences, Pharmaceutical, Life sciences, Medical associations and societies, enables an international forum to explore the approved research. </w:t>
      </w:r>
    </w:p>
    <w:p w:rsidR="009A1D3C" w:rsidRPr="009A1D3C" w:rsidRDefault="009A1D3C" w:rsidP="00823800">
      <w:pPr>
        <w:rPr>
          <w:bCs/>
          <w:sz w:val="24"/>
          <w:szCs w:val="24"/>
          <w:lang w:val="en" w:eastAsia="bg-BG"/>
        </w:rPr>
      </w:pPr>
      <w:hyperlink r:id="rId51" w:tgtFrame="_blank" w:history="1">
        <w:r w:rsidRPr="009A1D3C">
          <w:rPr>
            <w:rStyle w:val="Hyperlink"/>
            <w:bCs/>
            <w:sz w:val="24"/>
            <w:szCs w:val="24"/>
            <w:lang w:val="en" w:eastAsia="bg-BG"/>
          </w:rPr>
          <w:t>More information and registration</w:t>
        </w:r>
      </w:hyperlink>
      <w:r w:rsidRPr="009A1D3C">
        <w:rPr>
          <w:bCs/>
          <w:sz w:val="24"/>
          <w:szCs w:val="24"/>
          <w:lang w:val="en" w:eastAsia="bg-BG"/>
        </w:rPr>
        <w:t xml:space="preserve"> </w:t>
      </w:r>
    </w:p>
    <w:p w:rsidR="00C0710C" w:rsidRPr="00823800" w:rsidRDefault="00C0710C" w:rsidP="00C0710C">
      <w:pPr>
        <w:rPr>
          <w:b/>
          <w:bCs/>
          <w:color w:val="E36C0A" w:themeColor="accent6" w:themeShade="BF"/>
          <w:sz w:val="24"/>
          <w:szCs w:val="24"/>
          <w:u w:val="single"/>
          <w:lang w:val="en" w:eastAsia="bg-BG"/>
        </w:rPr>
      </w:pPr>
      <w:hyperlink r:id="rId52" w:history="1">
        <w:r w:rsidRPr="00823800">
          <w:rPr>
            <w:rStyle w:val="Hyperlink"/>
            <w:b/>
            <w:bCs/>
            <w:color w:val="E36C0A" w:themeColor="accent6" w:themeShade="BF"/>
            <w:sz w:val="24"/>
            <w:szCs w:val="24"/>
            <w:lang w:val="en" w:eastAsia="bg-BG"/>
          </w:rPr>
          <w:t xml:space="preserve">SC2 </w:t>
        </w:r>
        <w:proofErr w:type="spellStart"/>
        <w:r w:rsidRPr="00823800">
          <w:rPr>
            <w:rStyle w:val="Hyperlink"/>
            <w:b/>
            <w:bCs/>
            <w:color w:val="E36C0A" w:themeColor="accent6" w:themeShade="BF"/>
            <w:sz w:val="24"/>
            <w:szCs w:val="24"/>
            <w:lang w:val="en" w:eastAsia="bg-BG"/>
          </w:rPr>
          <w:t>Infoweek</w:t>
        </w:r>
        <w:proofErr w:type="spellEnd"/>
      </w:hyperlink>
      <w:r w:rsidRPr="00823800">
        <w:rPr>
          <w:b/>
          <w:bCs/>
          <w:color w:val="E36C0A" w:themeColor="accent6" w:themeShade="BF"/>
          <w:sz w:val="24"/>
          <w:szCs w:val="24"/>
          <w:u w:val="single"/>
          <w:lang w:val="en-GB" w:eastAsia="bg-BG"/>
        </w:rPr>
        <w:t xml:space="preserve">, </w:t>
      </w:r>
      <w:r w:rsidRPr="00823800">
        <w:rPr>
          <w:b/>
          <w:bCs/>
          <w:color w:val="E36C0A" w:themeColor="accent6" w:themeShade="BF"/>
          <w:sz w:val="24"/>
          <w:szCs w:val="24"/>
          <w:u w:val="single"/>
          <w:lang w:val="en" w:eastAsia="bg-BG"/>
        </w:rPr>
        <w:t xml:space="preserve">14 – 17 November 2017, Brussels, Belgium </w:t>
      </w:r>
    </w:p>
    <w:p w:rsidR="00C0710C" w:rsidRPr="00C0710C" w:rsidRDefault="00C0710C" w:rsidP="00C0710C">
      <w:pPr>
        <w:rPr>
          <w:bCs/>
          <w:sz w:val="24"/>
          <w:szCs w:val="24"/>
          <w:lang w:val="en" w:eastAsia="bg-BG"/>
        </w:rPr>
      </w:pPr>
      <w:proofErr w:type="spellStart"/>
      <w:r w:rsidRPr="00C0710C">
        <w:rPr>
          <w:bCs/>
          <w:sz w:val="24"/>
          <w:szCs w:val="24"/>
          <w:lang w:val="en" w:eastAsia="bg-BG"/>
        </w:rPr>
        <w:t>Infoday</w:t>
      </w:r>
      <w:proofErr w:type="spellEnd"/>
      <w:r w:rsidRPr="00C0710C">
        <w:rPr>
          <w:bCs/>
          <w:sz w:val="24"/>
          <w:szCs w:val="24"/>
          <w:lang w:val="en" w:eastAsia="bg-BG"/>
        </w:rPr>
        <w:t xml:space="preserve">, brokerage, dissemination with a focus on </w:t>
      </w:r>
      <w:proofErr w:type="spellStart"/>
      <w:r w:rsidRPr="00C0710C">
        <w:rPr>
          <w:bCs/>
          <w:sz w:val="24"/>
          <w:szCs w:val="24"/>
          <w:lang w:val="en" w:eastAsia="bg-BG"/>
        </w:rPr>
        <w:t>digitisation</w:t>
      </w:r>
      <w:proofErr w:type="spellEnd"/>
      <w:r w:rsidRPr="00C0710C">
        <w:rPr>
          <w:bCs/>
          <w:sz w:val="24"/>
          <w:szCs w:val="24"/>
          <w:lang w:val="en" w:eastAsia="bg-BG"/>
        </w:rPr>
        <w:t xml:space="preserve"> and a </w:t>
      </w:r>
      <w:proofErr w:type="spellStart"/>
      <w:r w:rsidRPr="00C0710C">
        <w:rPr>
          <w:bCs/>
          <w:sz w:val="24"/>
          <w:szCs w:val="24"/>
          <w:lang w:val="en" w:eastAsia="bg-BG"/>
        </w:rPr>
        <w:t>bioeconomy</w:t>
      </w:r>
      <w:proofErr w:type="spellEnd"/>
      <w:r w:rsidRPr="00C0710C">
        <w:rPr>
          <w:bCs/>
          <w:sz w:val="24"/>
          <w:szCs w:val="24"/>
          <w:lang w:val="en" w:eastAsia="bg-BG"/>
        </w:rPr>
        <w:t xml:space="preserve"> policy event - all in one week! </w:t>
      </w:r>
      <w:hyperlink r:id="rId53" w:history="1">
        <w:r w:rsidRPr="00C0710C">
          <w:rPr>
            <w:rStyle w:val="Hyperlink"/>
            <w:bCs/>
            <w:sz w:val="24"/>
            <w:szCs w:val="24"/>
            <w:lang w:val="en" w:eastAsia="bg-BG"/>
          </w:rPr>
          <w:t>Read more</w:t>
        </w:r>
      </w:hyperlink>
      <w:r w:rsidRPr="00C0710C">
        <w:rPr>
          <w:bCs/>
          <w:sz w:val="24"/>
          <w:szCs w:val="24"/>
          <w:lang w:val="en" w:eastAsia="bg-BG"/>
        </w:rPr>
        <w:t xml:space="preserve"> </w:t>
      </w:r>
    </w:p>
    <w:p w:rsidR="00C0710C" w:rsidRDefault="00C0710C" w:rsidP="003647AB">
      <w:pPr>
        <w:rPr>
          <w:bCs/>
          <w:sz w:val="24"/>
          <w:szCs w:val="24"/>
          <w:lang w:val="en-GB" w:eastAsia="bg-BG"/>
        </w:rPr>
      </w:pPr>
    </w:p>
    <w:p w:rsidR="00C0710C" w:rsidRDefault="00C0710C" w:rsidP="003647AB">
      <w:pPr>
        <w:rPr>
          <w:bCs/>
          <w:sz w:val="24"/>
          <w:szCs w:val="24"/>
          <w:lang w:val="en-GB" w:eastAsia="bg-BG"/>
        </w:rPr>
      </w:pPr>
    </w:p>
    <w:p w:rsidR="00C0710C" w:rsidRPr="003647AB" w:rsidRDefault="00C0710C" w:rsidP="003647AB">
      <w:pPr>
        <w:rPr>
          <w:bCs/>
          <w:sz w:val="24"/>
          <w:szCs w:val="24"/>
          <w:lang w:val="en-GB" w:eastAsia="bg-BG"/>
        </w:rPr>
      </w:pPr>
    </w:p>
    <w:p w:rsidR="00CF6898" w:rsidRPr="00063258" w:rsidRDefault="00CF6898" w:rsidP="006C4754">
      <w:pPr>
        <w:rPr>
          <w:rFonts w:cs="Times New Roman"/>
          <w:sz w:val="24"/>
          <w:szCs w:val="24"/>
          <w:lang w:val="en-US"/>
        </w:rPr>
      </w:pPr>
    </w:p>
    <w:p w:rsidR="00CF6898" w:rsidRPr="00063258" w:rsidRDefault="00CF6898" w:rsidP="00460469">
      <w:pPr>
        <w:rPr>
          <w:lang w:val="en-US"/>
        </w:rPr>
        <w:sectPr w:rsidR="00CF6898" w:rsidRPr="00063258" w:rsidSect="002852EF">
          <w:footerReference w:type="default" r:id="rId54"/>
          <w:pgSz w:w="11906" w:h="16838"/>
          <w:pgMar w:top="1417" w:right="1417" w:bottom="1417" w:left="1417" w:header="708" w:footer="708" w:gutter="0"/>
          <w:cols w:space="708"/>
          <w:docGrid w:linePitch="360"/>
        </w:sectPr>
      </w:pPr>
    </w:p>
    <w:p w:rsidR="00912146" w:rsidRDefault="00912146" w:rsidP="00B278E8">
      <w:pPr>
        <w:pStyle w:val="Publications"/>
      </w:pPr>
      <w:bookmarkStart w:id="23" w:name="_Toc485041304"/>
      <w:r>
        <w:lastRenderedPageBreak/>
        <w:t>ПУБЛИКАЦИИ</w:t>
      </w:r>
      <w:bookmarkEnd w:id="23"/>
    </w:p>
    <w:p w:rsidR="00436D9E" w:rsidRDefault="00A16A70" w:rsidP="00A16A70">
      <w:pPr>
        <w:pStyle w:val="Heading2"/>
        <w:ind w:left="426"/>
        <w:rPr>
          <w:rFonts w:eastAsia="Times New Roman"/>
          <w:lang w:eastAsia="bg-BG"/>
        </w:rPr>
      </w:pPr>
      <w:bookmarkStart w:id="24" w:name="_Toc485041305"/>
      <w:r w:rsidRPr="00A16A70">
        <w:rPr>
          <w:rFonts w:eastAsia="Times New Roman"/>
          <w:lang w:val="en-US" w:eastAsia="bg-BG"/>
        </w:rPr>
        <w:t>Research EU</w:t>
      </w:r>
      <w:r w:rsidR="00B3215B">
        <w:rPr>
          <w:rFonts w:eastAsia="Times New Roman"/>
          <w:lang w:val="en-US" w:eastAsia="bg-BG"/>
        </w:rPr>
        <w:t>: results magazine</w:t>
      </w:r>
      <w:bookmarkEnd w:id="24"/>
    </w:p>
    <w:p w:rsidR="00825B81" w:rsidRDefault="00825B81" w:rsidP="001F443A">
      <w:pPr>
        <w:spacing w:before="100" w:beforeAutospacing="1" w:after="100" w:afterAutospacing="1"/>
        <w:ind w:left="720"/>
        <w:rPr>
          <w:rFonts w:eastAsia="Times New Roman" w:cs="Times New Roman"/>
          <w:b/>
          <w:bCs/>
          <w:sz w:val="24"/>
          <w:szCs w:val="24"/>
          <w:lang w:val="en-US" w:eastAsia="bg-BG"/>
        </w:rPr>
      </w:pPr>
      <w:r w:rsidRPr="001F443A">
        <w:rPr>
          <w:rFonts w:eastAsia="Times New Roman" w:cs="Times New Roman"/>
          <w:sz w:val="24"/>
          <w:szCs w:val="24"/>
          <w:lang w:eastAsia="bg-BG"/>
        </w:rPr>
        <w:drawing>
          <wp:anchor distT="0" distB="0" distL="114300" distR="114300" simplePos="0" relativeHeight="251711488" behindDoc="1" locked="0" layoutInCell="1" allowOverlap="1" wp14:anchorId="37F46C59" wp14:editId="36ED56E4">
            <wp:simplePos x="0" y="0"/>
            <wp:positionH relativeFrom="column">
              <wp:posOffset>22225</wp:posOffset>
            </wp:positionH>
            <wp:positionV relativeFrom="paragraph">
              <wp:posOffset>50165</wp:posOffset>
            </wp:positionV>
            <wp:extent cx="1119600" cy="1587600"/>
            <wp:effectExtent l="0" t="0" r="4445" b="0"/>
            <wp:wrapThrough wrapText="bothSides">
              <wp:wrapPolygon edited="0">
                <wp:start x="0" y="0"/>
                <wp:lineTo x="0" y="21254"/>
                <wp:lineTo x="21318" y="21254"/>
                <wp:lineTo x="21318" y="0"/>
                <wp:lineTo x="0" y="0"/>
              </wp:wrapPolygon>
            </wp:wrapThrough>
            <wp:docPr id="10" name="Picture 10" descr="research*eu results magazine - May 2017">
              <a:hlinkClick xmlns:a="http://schemas.openxmlformats.org/drawingml/2006/main" r:id="rId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earch*eu results magazine - May 2017">
                      <a:hlinkClick r:id="rId55" tgtFrame="&quot;_blank&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19600" cy="158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5B81" w:rsidRDefault="00825B81" w:rsidP="00825B81">
      <w:pPr>
        <w:spacing w:after="0"/>
        <w:ind w:left="720"/>
        <w:rPr>
          <w:rFonts w:eastAsia="Times New Roman" w:cs="Times New Roman"/>
          <w:b/>
          <w:bCs/>
          <w:sz w:val="24"/>
          <w:szCs w:val="24"/>
          <w:lang w:val="en-US" w:eastAsia="bg-BG"/>
        </w:rPr>
      </w:pPr>
    </w:p>
    <w:p w:rsidR="00825B81" w:rsidRDefault="00825B81" w:rsidP="00825B81">
      <w:pPr>
        <w:spacing w:after="0"/>
        <w:ind w:left="720"/>
        <w:rPr>
          <w:rFonts w:eastAsia="Times New Roman" w:cs="Times New Roman"/>
          <w:b/>
          <w:bCs/>
          <w:sz w:val="24"/>
          <w:szCs w:val="24"/>
          <w:lang w:val="en-US" w:eastAsia="bg-BG"/>
        </w:rPr>
      </w:pPr>
    </w:p>
    <w:p w:rsidR="00825B81" w:rsidRDefault="00825B81" w:rsidP="00825B81">
      <w:pPr>
        <w:spacing w:after="0"/>
        <w:ind w:left="720"/>
        <w:rPr>
          <w:rFonts w:eastAsia="Times New Roman" w:cs="Times New Roman"/>
          <w:b/>
          <w:bCs/>
          <w:sz w:val="24"/>
          <w:szCs w:val="24"/>
          <w:lang w:val="en-US" w:eastAsia="bg-BG"/>
        </w:rPr>
      </w:pPr>
    </w:p>
    <w:p w:rsidR="00825B81" w:rsidRDefault="00825B81" w:rsidP="00825B81">
      <w:pPr>
        <w:spacing w:after="0"/>
        <w:ind w:left="720"/>
        <w:rPr>
          <w:rFonts w:eastAsia="Times New Roman" w:cs="Times New Roman"/>
          <w:b/>
          <w:bCs/>
          <w:sz w:val="24"/>
          <w:szCs w:val="24"/>
          <w:lang w:val="en-US" w:eastAsia="bg-BG"/>
        </w:rPr>
      </w:pPr>
    </w:p>
    <w:p w:rsidR="00825B81" w:rsidRDefault="00825B81" w:rsidP="00825B81">
      <w:pPr>
        <w:spacing w:after="0"/>
        <w:ind w:left="720"/>
        <w:rPr>
          <w:rFonts w:eastAsia="Times New Roman" w:cs="Times New Roman"/>
          <w:b/>
          <w:bCs/>
          <w:sz w:val="24"/>
          <w:szCs w:val="24"/>
          <w:lang w:val="en-US" w:eastAsia="bg-BG"/>
        </w:rPr>
      </w:pPr>
    </w:p>
    <w:p w:rsidR="001F443A" w:rsidRPr="001F443A" w:rsidRDefault="001F443A" w:rsidP="00825B81">
      <w:pPr>
        <w:spacing w:after="0"/>
        <w:ind w:left="720"/>
        <w:rPr>
          <w:rFonts w:eastAsia="Times New Roman" w:cs="Times New Roman"/>
          <w:sz w:val="24"/>
          <w:szCs w:val="24"/>
          <w:lang w:eastAsia="bg-BG"/>
        </w:rPr>
      </w:pPr>
      <w:r w:rsidRPr="001F443A">
        <w:rPr>
          <w:rFonts w:eastAsia="Times New Roman" w:cs="Times New Roman"/>
          <w:b/>
          <w:bCs/>
          <w:sz w:val="24"/>
          <w:szCs w:val="24"/>
          <w:lang w:eastAsia="bg-BG"/>
        </w:rPr>
        <w:t>Iss</w:t>
      </w:r>
      <w:r w:rsidR="00825B81">
        <w:rPr>
          <w:rFonts w:eastAsia="Times New Roman" w:cs="Times New Roman"/>
          <w:b/>
          <w:bCs/>
          <w:sz w:val="24"/>
          <w:szCs w:val="24"/>
          <w:lang w:val="en-US" w:eastAsia="bg-BG"/>
        </w:rPr>
        <w:t>u</w:t>
      </w:r>
      <w:r w:rsidRPr="001F443A">
        <w:rPr>
          <w:rFonts w:eastAsia="Times New Roman" w:cs="Times New Roman"/>
          <w:b/>
          <w:bCs/>
          <w:sz w:val="24"/>
          <w:szCs w:val="24"/>
          <w:lang w:eastAsia="bg-BG"/>
        </w:rPr>
        <w:t>e 62 - May 2017</w:t>
      </w:r>
      <w:r w:rsidRPr="001F443A">
        <w:rPr>
          <w:rFonts w:eastAsia="Times New Roman" w:cs="Times New Roman"/>
          <w:sz w:val="24"/>
          <w:szCs w:val="24"/>
          <w:lang w:eastAsia="bg-BG"/>
        </w:rPr>
        <w:t xml:space="preserve"> </w:t>
      </w:r>
    </w:p>
    <w:p w:rsidR="001F443A" w:rsidRPr="001F443A" w:rsidRDefault="001F443A" w:rsidP="00825B81">
      <w:pPr>
        <w:spacing w:before="120" w:after="120"/>
        <w:rPr>
          <w:rFonts w:eastAsia="Times New Roman" w:cs="Times New Roman"/>
          <w:sz w:val="24"/>
          <w:szCs w:val="24"/>
          <w:lang w:eastAsia="bg-BG"/>
        </w:rPr>
      </w:pPr>
      <w:r w:rsidRPr="001F443A">
        <w:rPr>
          <w:rFonts w:eastAsia="Times New Roman" w:cs="Times New Roman"/>
          <w:sz w:val="24"/>
          <w:szCs w:val="24"/>
          <w:lang w:eastAsia="bg-BG"/>
        </w:rPr>
        <w:t>Languages</w:t>
      </w:r>
      <w:r w:rsidR="00825B81">
        <w:rPr>
          <w:rFonts w:eastAsia="Times New Roman" w:cs="Times New Roman"/>
          <w:sz w:val="24"/>
          <w:szCs w:val="24"/>
          <w:lang w:val="en-US" w:eastAsia="bg-BG"/>
        </w:rPr>
        <w:t xml:space="preserve"> </w:t>
      </w:r>
      <w:hyperlink r:id="rId57" w:tgtFrame="_blank" w:history="1">
        <w:r w:rsidRPr="001F443A">
          <w:rPr>
            <w:rStyle w:val="Hyperlink"/>
            <w:rFonts w:eastAsia="Times New Roman" w:cs="Times New Roman"/>
            <w:sz w:val="24"/>
            <w:szCs w:val="24"/>
            <w:lang w:eastAsia="bg-BG"/>
          </w:rPr>
          <w:t>pdf</w:t>
        </w:r>
      </w:hyperlink>
      <w:r w:rsidRPr="001F443A">
        <w:rPr>
          <w:rFonts w:eastAsia="Times New Roman" w:cs="Times New Roman"/>
          <w:sz w:val="24"/>
          <w:szCs w:val="24"/>
          <w:lang w:eastAsia="bg-BG"/>
        </w:rPr>
        <w:t xml:space="preserve"> (30,1 MB) </w:t>
      </w:r>
    </w:p>
    <w:p w:rsidR="001F443A" w:rsidRPr="001F443A" w:rsidRDefault="001F443A" w:rsidP="00825B81">
      <w:pPr>
        <w:spacing w:before="120" w:after="120"/>
        <w:rPr>
          <w:rFonts w:eastAsia="Times New Roman" w:cs="Times New Roman"/>
          <w:sz w:val="24"/>
          <w:szCs w:val="24"/>
          <w:lang w:eastAsia="bg-BG"/>
        </w:rPr>
      </w:pPr>
      <w:r w:rsidRPr="001F443A">
        <w:rPr>
          <w:rFonts w:eastAsia="Times New Roman" w:cs="Times New Roman"/>
          <w:b/>
          <w:bCs/>
          <w:sz w:val="24"/>
          <w:szCs w:val="24"/>
          <w:lang w:eastAsia="bg-BG"/>
        </w:rPr>
        <w:t>Special feature:</w:t>
      </w:r>
      <w:r w:rsidRPr="001F443A">
        <w:rPr>
          <w:rFonts w:eastAsia="Times New Roman" w:cs="Times New Roman"/>
          <w:sz w:val="24"/>
          <w:szCs w:val="24"/>
          <w:lang w:eastAsia="bg-BG"/>
        </w:rPr>
        <w:t xml:space="preserve"> </w:t>
      </w:r>
      <w:r w:rsidRPr="001F443A">
        <w:rPr>
          <w:rFonts w:eastAsia="Times New Roman" w:cs="Times New Roman"/>
          <w:i/>
          <w:iCs/>
          <w:sz w:val="24"/>
          <w:szCs w:val="24"/>
          <w:lang w:eastAsia="bg-BG"/>
        </w:rPr>
        <w:t xml:space="preserve">‘Extreme space weather: </w:t>
      </w:r>
      <w:proofErr w:type="spellStart"/>
      <w:r w:rsidRPr="001F443A">
        <w:rPr>
          <w:rFonts w:eastAsia="Times New Roman" w:cs="Times New Roman"/>
          <w:i/>
          <w:iCs/>
          <w:sz w:val="24"/>
          <w:szCs w:val="24"/>
          <w:lang w:eastAsia="bg-BG"/>
        </w:rPr>
        <w:t>let’s</w:t>
      </w:r>
      <w:proofErr w:type="spellEnd"/>
      <w:r w:rsidRPr="001F443A">
        <w:rPr>
          <w:rFonts w:eastAsia="Times New Roman" w:cs="Times New Roman"/>
          <w:i/>
          <w:iCs/>
          <w:sz w:val="24"/>
          <w:szCs w:val="24"/>
          <w:lang w:eastAsia="bg-BG"/>
        </w:rPr>
        <w:t xml:space="preserve"> get </w:t>
      </w:r>
      <w:proofErr w:type="spellStart"/>
      <w:r w:rsidRPr="001F443A">
        <w:rPr>
          <w:rFonts w:eastAsia="Times New Roman" w:cs="Times New Roman"/>
          <w:i/>
          <w:iCs/>
          <w:sz w:val="24"/>
          <w:szCs w:val="24"/>
          <w:lang w:eastAsia="bg-BG"/>
        </w:rPr>
        <w:t>ready’</w:t>
      </w:r>
      <w:proofErr w:type="spellEnd"/>
      <w:r w:rsidRPr="001F443A">
        <w:rPr>
          <w:rFonts w:eastAsia="Times New Roman" w:cs="Times New Roman"/>
          <w:sz w:val="24"/>
          <w:szCs w:val="24"/>
          <w:lang w:eastAsia="bg-BG"/>
        </w:rPr>
        <w:t xml:space="preserve"> </w:t>
      </w:r>
    </w:p>
    <w:p w:rsidR="001F443A" w:rsidRPr="001F443A" w:rsidRDefault="001F443A" w:rsidP="00825B81">
      <w:pPr>
        <w:spacing w:before="120" w:after="120"/>
        <w:rPr>
          <w:rFonts w:eastAsia="Times New Roman" w:cs="Times New Roman"/>
          <w:sz w:val="24"/>
          <w:szCs w:val="24"/>
          <w:lang w:eastAsia="bg-BG"/>
        </w:rPr>
      </w:pPr>
      <w:r w:rsidRPr="001F443A">
        <w:rPr>
          <w:rFonts w:eastAsia="Times New Roman" w:cs="Times New Roman"/>
          <w:b/>
          <w:bCs/>
          <w:sz w:val="24"/>
          <w:szCs w:val="24"/>
          <w:lang w:eastAsia="bg-BG"/>
        </w:rPr>
        <w:t>Interviews:</w:t>
      </w:r>
      <w:r w:rsidRPr="001F443A">
        <w:rPr>
          <w:rFonts w:eastAsia="Times New Roman" w:cs="Times New Roman"/>
          <w:sz w:val="24"/>
          <w:szCs w:val="24"/>
          <w:lang w:eastAsia="bg-BG"/>
        </w:rPr>
        <w:t xml:space="preserve"> </w:t>
      </w:r>
    </w:p>
    <w:p w:rsidR="001F443A" w:rsidRPr="001F443A" w:rsidRDefault="001F443A" w:rsidP="000D4193">
      <w:pPr>
        <w:numPr>
          <w:ilvl w:val="0"/>
          <w:numId w:val="15"/>
        </w:numPr>
        <w:spacing w:before="120" w:after="120"/>
        <w:rPr>
          <w:rFonts w:eastAsia="Times New Roman" w:cs="Times New Roman"/>
          <w:sz w:val="24"/>
          <w:szCs w:val="24"/>
          <w:lang w:eastAsia="bg-BG"/>
        </w:rPr>
      </w:pPr>
      <w:r w:rsidRPr="001F443A">
        <w:rPr>
          <w:rFonts w:eastAsia="Times New Roman" w:cs="Times New Roman"/>
          <w:sz w:val="24"/>
          <w:szCs w:val="24"/>
          <w:lang w:eastAsia="bg-BG"/>
        </w:rPr>
        <w:t xml:space="preserve">Prof Richard Harrison of </w:t>
      </w:r>
      <w:proofErr w:type="spellStart"/>
      <w:r w:rsidRPr="001F443A">
        <w:rPr>
          <w:rFonts w:eastAsia="Times New Roman" w:cs="Times New Roman"/>
          <w:sz w:val="24"/>
          <w:szCs w:val="24"/>
          <w:lang w:eastAsia="bg-BG"/>
        </w:rPr>
        <w:t>STFC’s</w:t>
      </w:r>
      <w:proofErr w:type="spellEnd"/>
      <w:r w:rsidRPr="001F443A">
        <w:rPr>
          <w:rFonts w:eastAsia="Times New Roman" w:cs="Times New Roman"/>
          <w:sz w:val="24"/>
          <w:szCs w:val="24"/>
          <w:lang w:eastAsia="bg-BG"/>
        </w:rPr>
        <w:t xml:space="preserve"> Rutherford Appleton Laboratory in the United Kingdom on ‘A benchmark dataset to advance heliospheric </w:t>
      </w:r>
      <w:proofErr w:type="spellStart"/>
      <w:r w:rsidRPr="001F443A">
        <w:rPr>
          <w:rFonts w:eastAsia="Times New Roman" w:cs="Times New Roman"/>
          <w:sz w:val="24"/>
          <w:szCs w:val="24"/>
          <w:lang w:eastAsia="bg-BG"/>
        </w:rPr>
        <w:t>research’</w:t>
      </w:r>
      <w:proofErr w:type="spellEnd"/>
    </w:p>
    <w:p w:rsidR="001F443A" w:rsidRPr="001F443A" w:rsidRDefault="001F443A" w:rsidP="00825B81">
      <w:pPr>
        <w:spacing w:before="120" w:after="120"/>
        <w:rPr>
          <w:rFonts w:eastAsia="Times New Roman" w:cs="Times New Roman"/>
          <w:sz w:val="24"/>
          <w:szCs w:val="24"/>
          <w:lang w:eastAsia="bg-BG"/>
        </w:rPr>
      </w:pPr>
      <w:r w:rsidRPr="001F443A">
        <w:rPr>
          <w:rFonts w:eastAsia="Times New Roman" w:cs="Times New Roman"/>
          <w:b/>
          <w:bCs/>
          <w:sz w:val="24"/>
          <w:szCs w:val="24"/>
          <w:lang w:eastAsia="bg-BG"/>
        </w:rPr>
        <w:t>Other highlights:</w:t>
      </w:r>
      <w:r w:rsidRPr="001F443A">
        <w:rPr>
          <w:rFonts w:eastAsia="Times New Roman" w:cs="Times New Roman"/>
          <w:sz w:val="24"/>
          <w:szCs w:val="24"/>
          <w:lang w:eastAsia="bg-BG"/>
        </w:rPr>
        <w:t xml:space="preserve"> </w:t>
      </w:r>
    </w:p>
    <w:p w:rsidR="001F443A" w:rsidRPr="001F443A" w:rsidRDefault="001F443A" w:rsidP="000D4193">
      <w:pPr>
        <w:numPr>
          <w:ilvl w:val="0"/>
          <w:numId w:val="16"/>
        </w:numPr>
        <w:spacing w:after="100" w:afterAutospacing="1"/>
        <w:ind w:left="714" w:hanging="357"/>
        <w:rPr>
          <w:rFonts w:eastAsia="Times New Roman" w:cs="Times New Roman"/>
          <w:sz w:val="24"/>
          <w:szCs w:val="24"/>
          <w:lang w:eastAsia="bg-BG"/>
        </w:rPr>
      </w:pPr>
      <w:r w:rsidRPr="001F443A">
        <w:rPr>
          <w:rFonts w:eastAsia="Times New Roman" w:cs="Times New Roman"/>
          <w:sz w:val="24"/>
          <w:szCs w:val="24"/>
          <w:lang w:eastAsia="bg-BG"/>
        </w:rPr>
        <w:t>Advancing therapeutic applications of gene editing</w:t>
      </w:r>
    </w:p>
    <w:p w:rsidR="001F443A" w:rsidRPr="001F443A" w:rsidRDefault="001F443A" w:rsidP="000D4193">
      <w:pPr>
        <w:numPr>
          <w:ilvl w:val="0"/>
          <w:numId w:val="16"/>
        </w:numPr>
        <w:spacing w:before="100" w:beforeAutospacing="1" w:after="100" w:afterAutospacing="1"/>
        <w:rPr>
          <w:rFonts w:eastAsia="Times New Roman" w:cs="Times New Roman"/>
          <w:sz w:val="24"/>
          <w:szCs w:val="24"/>
          <w:lang w:eastAsia="bg-BG"/>
        </w:rPr>
      </w:pPr>
      <w:r w:rsidRPr="001F443A">
        <w:rPr>
          <w:rFonts w:eastAsia="Times New Roman" w:cs="Times New Roman"/>
          <w:sz w:val="24"/>
          <w:szCs w:val="24"/>
          <w:lang w:eastAsia="bg-BG"/>
        </w:rPr>
        <w:t>Technology to tackle lower achievement in science and mathematics education</w:t>
      </w:r>
    </w:p>
    <w:p w:rsidR="001F443A" w:rsidRPr="001F443A" w:rsidRDefault="001F443A" w:rsidP="000D4193">
      <w:pPr>
        <w:numPr>
          <w:ilvl w:val="0"/>
          <w:numId w:val="16"/>
        </w:numPr>
        <w:spacing w:before="100" w:beforeAutospacing="1" w:after="100" w:afterAutospacing="1"/>
        <w:rPr>
          <w:rFonts w:eastAsia="Times New Roman" w:cs="Times New Roman"/>
          <w:sz w:val="24"/>
          <w:szCs w:val="24"/>
          <w:lang w:eastAsia="bg-BG"/>
        </w:rPr>
      </w:pPr>
      <w:r w:rsidRPr="001F443A">
        <w:rPr>
          <w:rFonts w:eastAsia="Times New Roman" w:cs="Times New Roman"/>
          <w:sz w:val="24"/>
          <w:szCs w:val="24"/>
          <w:lang w:eastAsia="bg-BG"/>
        </w:rPr>
        <w:t>Powering the next-generation of electric vehicles</w:t>
      </w:r>
    </w:p>
    <w:p w:rsidR="001F443A" w:rsidRPr="001F443A" w:rsidRDefault="001F443A" w:rsidP="000D4193">
      <w:pPr>
        <w:numPr>
          <w:ilvl w:val="0"/>
          <w:numId w:val="16"/>
        </w:numPr>
        <w:spacing w:before="100" w:beforeAutospacing="1" w:after="100" w:afterAutospacing="1"/>
        <w:rPr>
          <w:rFonts w:eastAsia="Times New Roman" w:cs="Times New Roman"/>
          <w:sz w:val="24"/>
          <w:szCs w:val="24"/>
          <w:lang w:eastAsia="bg-BG"/>
        </w:rPr>
      </w:pPr>
      <w:r w:rsidRPr="001F443A">
        <w:rPr>
          <w:rFonts w:eastAsia="Times New Roman" w:cs="Times New Roman"/>
          <w:sz w:val="24"/>
          <w:szCs w:val="24"/>
          <w:lang w:eastAsia="bg-BG"/>
        </w:rPr>
        <w:t>Breaking the cycle of forest loss in the Amazon</w:t>
      </w:r>
    </w:p>
    <w:p w:rsidR="001F443A" w:rsidRPr="001F443A" w:rsidRDefault="001F443A" w:rsidP="000D4193">
      <w:pPr>
        <w:numPr>
          <w:ilvl w:val="0"/>
          <w:numId w:val="16"/>
        </w:numPr>
        <w:spacing w:before="100" w:beforeAutospacing="1" w:after="100" w:afterAutospacing="1"/>
        <w:rPr>
          <w:rFonts w:eastAsia="Times New Roman" w:cs="Times New Roman"/>
          <w:sz w:val="24"/>
          <w:szCs w:val="24"/>
          <w:lang w:eastAsia="bg-BG"/>
        </w:rPr>
      </w:pPr>
      <w:r w:rsidRPr="001F443A">
        <w:rPr>
          <w:rFonts w:eastAsia="Times New Roman" w:cs="Times New Roman"/>
          <w:sz w:val="24"/>
          <w:szCs w:val="24"/>
          <w:lang w:eastAsia="bg-BG"/>
        </w:rPr>
        <w:t>Biopesticides replace toxic chemical sprays</w:t>
      </w:r>
    </w:p>
    <w:p w:rsidR="001F443A" w:rsidRPr="001F443A" w:rsidRDefault="001F443A" w:rsidP="000D4193">
      <w:pPr>
        <w:numPr>
          <w:ilvl w:val="0"/>
          <w:numId w:val="16"/>
        </w:numPr>
        <w:spacing w:before="100" w:beforeAutospacing="1" w:after="100" w:afterAutospacing="1"/>
        <w:rPr>
          <w:rFonts w:eastAsia="Times New Roman" w:cs="Times New Roman"/>
          <w:sz w:val="24"/>
          <w:szCs w:val="24"/>
          <w:lang w:eastAsia="bg-BG"/>
        </w:rPr>
      </w:pPr>
      <w:r w:rsidRPr="001F443A">
        <w:rPr>
          <w:rFonts w:eastAsia="Times New Roman" w:cs="Times New Roman"/>
          <w:sz w:val="24"/>
          <w:szCs w:val="24"/>
          <w:lang w:eastAsia="bg-BG"/>
        </w:rPr>
        <w:t>Smart, wearable healthcare devices one step closer to mass production</w:t>
      </w:r>
    </w:p>
    <w:p w:rsidR="001F443A" w:rsidRPr="001F443A" w:rsidRDefault="001F443A" w:rsidP="000D4193">
      <w:pPr>
        <w:numPr>
          <w:ilvl w:val="0"/>
          <w:numId w:val="16"/>
        </w:numPr>
        <w:spacing w:before="100" w:beforeAutospacing="1" w:after="100" w:afterAutospacing="1"/>
        <w:rPr>
          <w:rFonts w:eastAsia="Times New Roman" w:cs="Times New Roman"/>
          <w:sz w:val="24"/>
          <w:szCs w:val="24"/>
          <w:lang w:eastAsia="bg-BG"/>
        </w:rPr>
      </w:pPr>
      <w:r w:rsidRPr="001F443A">
        <w:rPr>
          <w:rFonts w:eastAsia="Times New Roman" w:cs="Times New Roman"/>
          <w:sz w:val="24"/>
          <w:szCs w:val="24"/>
          <w:lang w:eastAsia="bg-BG"/>
        </w:rPr>
        <w:t>Robots of tomorrow with intelligent visual capabilities</w:t>
      </w:r>
    </w:p>
    <w:p w:rsidR="001F443A" w:rsidRPr="001F443A" w:rsidRDefault="001F443A" w:rsidP="000D4193">
      <w:pPr>
        <w:numPr>
          <w:ilvl w:val="0"/>
          <w:numId w:val="16"/>
        </w:numPr>
        <w:spacing w:before="100" w:beforeAutospacing="1" w:after="100" w:afterAutospacing="1"/>
        <w:rPr>
          <w:rFonts w:eastAsia="Times New Roman" w:cs="Times New Roman"/>
          <w:sz w:val="24"/>
          <w:szCs w:val="24"/>
          <w:lang w:eastAsia="bg-BG"/>
        </w:rPr>
      </w:pPr>
      <w:r w:rsidRPr="001F443A">
        <w:rPr>
          <w:rFonts w:eastAsia="Times New Roman" w:cs="Times New Roman"/>
          <w:sz w:val="24"/>
          <w:szCs w:val="24"/>
          <w:lang w:eastAsia="bg-BG"/>
        </w:rPr>
        <w:t>Jaw-dropping discovery of earth-like planets revealed to the world</w:t>
      </w:r>
    </w:p>
    <w:p w:rsidR="001F443A" w:rsidRPr="001F443A" w:rsidRDefault="001F443A" w:rsidP="000D4193">
      <w:pPr>
        <w:numPr>
          <w:ilvl w:val="0"/>
          <w:numId w:val="16"/>
        </w:numPr>
        <w:spacing w:before="100" w:beforeAutospacing="1" w:after="100" w:afterAutospacing="1"/>
        <w:rPr>
          <w:rFonts w:eastAsia="Times New Roman" w:cs="Times New Roman"/>
          <w:sz w:val="24"/>
          <w:szCs w:val="24"/>
          <w:lang w:eastAsia="bg-BG"/>
        </w:rPr>
      </w:pPr>
      <w:r w:rsidRPr="001F443A">
        <w:rPr>
          <w:rFonts w:eastAsia="Times New Roman" w:cs="Times New Roman"/>
          <w:sz w:val="24"/>
          <w:szCs w:val="24"/>
          <w:lang w:eastAsia="bg-BG"/>
        </w:rPr>
        <w:t>Solving real world problems with applied mathematics</w:t>
      </w:r>
    </w:p>
    <w:p w:rsidR="005E2473" w:rsidRDefault="005E2473" w:rsidP="005E2473">
      <w:pPr>
        <w:pStyle w:val="Heading2"/>
        <w:ind w:left="426"/>
      </w:pPr>
      <w:bookmarkStart w:id="25" w:name="_Toc485041306"/>
      <w:r>
        <w:rPr>
          <w:lang w:val="en-US"/>
        </w:rPr>
        <w:t>CERN COURIER</w:t>
      </w:r>
      <w:bookmarkEnd w:id="25"/>
    </w:p>
    <w:p w:rsidR="00E7539E" w:rsidRPr="00E7539E" w:rsidRDefault="00825B81" w:rsidP="00E7539E">
      <w:pPr>
        <w:rPr>
          <w:lang w:val="en-GB"/>
        </w:rPr>
      </w:pPr>
      <w:r w:rsidRPr="00E7539E">
        <w:drawing>
          <wp:anchor distT="0" distB="0" distL="114300" distR="114300" simplePos="0" relativeHeight="251710464" behindDoc="1" locked="0" layoutInCell="1" allowOverlap="1" wp14:anchorId="4F2BF791" wp14:editId="64C54373">
            <wp:simplePos x="0" y="0"/>
            <wp:positionH relativeFrom="column">
              <wp:posOffset>26035</wp:posOffset>
            </wp:positionH>
            <wp:positionV relativeFrom="paragraph">
              <wp:posOffset>36195</wp:posOffset>
            </wp:positionV>
            <wp:extent cx="1180465" cy="1558290"/>
            <wp:effectExtent l="0" t="0" r="635" b="3810"/>
            <wp:wrapThrough wrapText="bothSides">
              <wp:wrapPolygon edited="0">
                <wp:start x="0" y="0"/>
                <wp:lineTo x="0" y="21389"/>
                <wp:lineTo x="21263" y="21389"/>
                <wp:lineTo x="21263" y="0"/>
                <wp:lineTo x="0" y="0"/>
              </wp:wrapPolygon>
            </wp:wrapThrough>
            <wp:docPr id="1" name="Picture 1" descr="http://images.iop.org/objects/ccr/cern/57/5/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iop.org/objects/ccr/cern/57/5/cover.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80465" cy="1558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5B81" w:rsidRDefault="00825B81" w:rsidP="00E7539E">
      <w:pPr>
        <w:rPr>
          <w:b/>
          <w:bCs/>
          <w:sz w:val="24"/>
          <w:szCs w:val="24"/>
          <w:lang w:val="en-GB"/>
        </w:rPr>
      </w:pPr>
    </w:p>
    <w:p w:rsidR="00825B81" w:rsidRDefault="00825B81" w:rsidP="00E7539E">
      <w:pPr>
        <w:rPr>
          <w:b/>
          <w:bCs/>
          <w:sz w:val="24"/>
          <w:szCs w:val="24"/>
          <w:lang w:val="en-GB"/>
        </w:rPr>
      </w:pPr>
    </w:p>
    <w:p w:rsidR="00825B81" w:rsidRDefault="00825B81" w:rsidP="00E7539E">
      <w:pPr>
        <w:rPr>
          <w:b/>
          <w:bCs/>
          <w:sz w:val="24"/>
          <w:szCs w:val="24"/>
          <w:lang w:val="en-GB"/>
        </w:rPr>
      </w:pPr>
    </w:p>
    <w:p w:rsidR="00E7539E" w:rsidRPr="00825B81" w:rsidRDefault="00E7539E" w:rsidP="00E7539E">
      <w:pPr>
        <w:rPr>
          <w:b/>
          <w:bCs/>
          <w:sz w:val="24"/>
          <w:szCs w:val="24"/>
          <w:lang w:val="en-GB"/>
        </w:rPr>
      </w:pPr>
      <w:r w:rsidRPr="00825B81">
        <w:rPr>
          <w:b/>
          <w:bCs/>
          <w:sz w:val="24"/>
          <w:szCs w:val="24"/>
          <w:lang w:val="en-GB"/>
        </w:rPr>
        <w:t>June 2017</w:t>
      </w:r>
      <w:r w:rsidRPr="00825B81">
        <w:rPr>
          <w:b/>
          <w:bCs/>
          <w:sz w:val="24"/>
          <w:szCs w:val="24"/>
        </w:rPr>
        <w:t xml:space="preserve">, </w:t>
      </w:r>
      <w:r w:rsidRPr="00825B81">
        <w:rPr>
          <w:b/>
          <w:bCs/>
          <w:sz w:val="24"/>
          <w:szCs w:val="24"/>
          <w:lang w:val="en-GB"/>
        </w:rPr>
        <w:t>Volume 57 Issue 5</w:t>
      </w:r>
    </w:p>
    <w:p w:rsidR="00E7539E" w:rsidRPr="00825B81" w:rsidRDefault="00E7539E" w:rsidP="00825B81">
      <w:pPr>
        <w:rPr>
          <w:sz w:val="24"/>
          <w:szCs w:val="24"/>
          <w:lang w:val="en-GB"/>
        </w:rPr>
      </w:pPr>
      <w:hyperlink r:id="rId59" w:history="1">
        <w:r w:rsidRPr="00825B81">
          <w:rPr>
            <w:rStyle w:val="Hyperlink"/>
            <w:sz w:val="24"/>
            <w:szCs w:val="24"/>
            <w:lang w:val="en-GB"/>
          </w:rPr>
          <w:t>Download digital edition</w:t>
        </w:r>
      </w:hyperlink>
    </w:p>
    <w:p w:rsidR="0073307E" w:rsidRDefault="0073307E">
      <w:pPr>
        <w:jc w:val="left"/>
        <w:rPr>
          <w:lang w:val="en-US"/>
        </w:rPr>
      </w:pPr>
      <w:r>
        <w:rPr>
          <w:lang w:val="en-US"/>
        </w:rPr>
        <w:br w:type="page"/>
      </w:r>
    </w:p>
    <w:p w:rsidR="0073307E" w:rsidRPr="0073307E" w:rsidRDefault="0073307E" w:rsidP="0073307E">
      <w:pPr>
        <w:pStyle w:val="Heading2"/>
        <w:ind w:left="426"/>
        <w:rPr>
          <w:lang w:val="en-US"/>
        </w:rPr>
      </w:pPr>
      <w:bookmarkStart w:id="26" w:name="_Toc485041307"/>
      <w:r w:rsidRPr="0073307E">
        <w:rPr>
          <w:lang w:val="en-US"/>
        </w:rPr>
        <w:lastRenderedPageBreak/>
        <w:t>Assessing the pote</w:t>
      </w:r>
      <w:r w:rsidRPr="0073307E">
        <w:rPr>
          <w:lang w:val="en-US"/>
        </w:rPr>
        <w:t>n</w:t>
      </w:r>
      <w:r w:rsidRPr="0073307E">
        <w:rPr>
          <w:lang w:val="en-US"/>
        </w:rPr>
        <w:t>tial for crowdfunding and other forms of alternative finance to support research and innovation</w:t>
      </w:r>
      <w:bookmarkEnd w:id="26"/>
    </w:p>
    <w:p w:rsidR="0073307E" w:rsidRDefault="001F443A" w:rsidP="001F443A">
      <w:pPr>
        <w:rPr>
          <w:lang w:val="en-US"/>
        </w:rPr>
      </w:pPr>
      <w:hyperlink r:id="rId60" w:tgtFrame="_blank" w:history="1">
        <w:r w:rsidRPr="001F443A">
          <w:rPr>
            <w:rStyle w:val="Hyperlink"/>
          </w:rPr>
          <w:drawing>
            <wp:inline distT="0" distB="0" distL="0" distR="0" wp14:anchorId="0FE1687A" wp14:editId="5571BBDA">
              <wp:extent cx="1198800" cy="1695600"/>
              <wp:effectExtent l="0" t="0" r="1905" b="0"/>
              <wp:docPr id="17" name="Picture 17" descr="Publication cover">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ublication cover">
                        <a:hlinkClick r:id="rId60" tgtFrame="&quot;_blank&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98800" cy="1695600"/>
                      </a:xfrm>
                      <a:prstGeom prst="rect">
                        <a:avLst/>
                      </a:prstGeom>
                      <a:noFill/>
                      <a:ln>
                        <a:noFill/>
                      </a:ln>
                    </pic:spPr>
                  </pic:pic>
                </a:graphicData>
              </a:graphic>
            </wp:inline>
          </w:drawing>
        </w:r>
      </w:hyperlink>
    </w:p>
    <w:p w:rsidR="001F443A" w:rsidRPr="0073307E" w:rsidRDefault="001F443A" w:rsidP="001F443A">
      <w:pPr>
        <w:rPr>
          <w:sz w:val="24"/>
          <w:szCs w:val="24"/>
        </w:rPr>
      </w:pPr>
      <w:r w:rsidRPr="0073307E">
        <w:rPr>
          <w:sz w:val="24"/>
          <w:szCs w:val="24"/>
        </w:rPr>
        <w:t>This report provides an assessment of whether alternative finance has the potential to help Europe address the problem of access to finance for innovative companies and bridge the gap in terms of access to risk capital, and if EU action is needed to support development of the sector.</w:t>
      </w:r>
    </w:p>
    <w:p w:rsidR="001F443A" w:rsidRPr="0073307E" w:rsidRDefault="001F443A" w:rsidP="001F443A">
      <w:pPr>
        <w:rPr>
          <w:sz w:val="24"/>
          <w:szCs w:val="24"/>
        </w:rPr>
      </w:pPr>
      <w:r w:rsidRPr="0073307E">
        <w:rPr>
          <w:sz w:val="24"/>
          <w:szCs w:val="24"/>
        </w:rPr>
        <w:t xml:space="preserve">»» </w:t>
      </w:r>
      <w:hyperlink r:id="rId62" w:tgtFrame="_blank" w:history="1">
        <w:r w:rsidRPr="0073307E">
          <w:rPr>
            <w:rStyle w:val="Hyperlink"/>
            <w:sz w:val="24"/>
            <w:szCs w:val="24"/>
          </w:rPr>
          <w:t>Annexes to the Report</w:t>
        </w:r>
      </w:hyperlink>
    </w:p>
    <w:p w:rsidR="001F443A" w:rsidRDefault="001F443A" w:rsidP="00E7539E">
      <w:pPr>
        <w:rPr>
          <w:sz w:val="24"/>
          <w:szCs w:val="24"/>
          <w:lang w:val="en-US"/>
        </w:rPr>
      </w:pPr>
    </w:p>
    <w:p w:rsidR="00011128" w:rsidRPr="0073307E" w:rsidRDefault="00011128" w:rsidP="00E7539E">
      <w:pPr>
        <w:rPr>
          <w:sz w:val="24"/>
          <w:szCs w:val="24"/>
          <w:lang w:val="en-US"/>
        </w:rPr>
      </w:pPr>
    </w:p>
    <w:p w:rsidR="00011128" w:rsidRPr="00011128" w:rsidRDefault="00011128" w:rsidP="00011128">
      <w:pPr>
        <w:pStyle w:val="Heading2"/>
        <w:ind w:left="426"/>
      </w:pPr>
      <w:bookmarkStart w:id="27" w:name="_Toc485041308"/>
      <w:r w:rsidRPr="00011128">
        <w:t>Open innovation, open science, open to the world</w:t>
      </w:r>
      <w:bookmarkEnd w:id="27"/>
    </w:p>
    <w:p w:rsidR="001F443A" w:rsidRPr="001F443A" w:rsidRDefault="001F443A" w:rsidP="001F443A">
      <w:pPr>
        <w:rPr>
          <w:rStyle w:val="Hyperlink"/>
        </w:rPr>
      </w:pPr>
      <w:r w:rsidRPr="001F443A">
        <w:fldChar w:fldCharType="begin"/>
      </w:r>
      <w:r w:rsidRPr="001F443A">
        <w:instrText xml:space="preserve"> HYPERLINK "https://bookshop.europa.eu/en/europe-s-future-pbKI0217113/" \t "_blank" </w:instrText>
      </w:r>
      <w:r w:rsidRPr="001F443A">
        <w:fldChar w:fldCharType="separate"/>
      </w:r>
      <w:r w:rsidRPr="001F443A">
        <w:rPr>
          <w:rStyle w:val="Hyperlink"/>
        </w:rPr>
        <w:drawing>
          <wp:inline distT="0" distB="0" distL="0" distR="0" wp14:anchorId="5EAF44AC" wp14:editId="04EA63EA">
            <wp:extent cx="1198800" cy="1695600"/>
            <wp:effectExtent l="0" t="0" r="1905" b="0"/>
            <wp:docPr id="19" name="Picture 19" descr="Publication cover">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ublication cover">
                      <a:hlinkClick r:id="rId63" tgtFrame="&quot;_blank&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98800" cy="1695600"/>
                    </a:xfrm>
                    <a:prstGeom prst="rect">
                      <a:avLst/>
                    </a:prstGeom>
                    <a:noFill/>
                    <a:ln>
                      <a:noFill/>
                    </a:ln>
                  </pic:spPr>
                </pic:pic>
              </a:graphicData>
            </a:graphic>
          </wp:inline>
        </w:drawing>
      </w:r>
    </w:p>
    <w:p w:rsidR="001F443A" w:rsidRPr="00011128" w:rsidRDefault="001F443A" w:rsidP="001F443A">
      <w:pPr>
        <w:rPr>
          <w:b/>
          <w:bCs/>
          <w:sz w:val="24"/>
          <w:szCs w:val="24"/>
        </w:rPr>
      </w:pPr>
      <w:r w:rsidRPr="001F443A">
        <w:rPr>
          <w:lang w:val="en-US"/>
        </w:rPr>
        <w:fldChar w:fldCharType="end"/>
      </w:r>
      <w:r w:rsidRPr="00011128">
        <w:rPr>
          <w:b/>
          <w:bCs/>
          <w:sz w:val="24"/>
          <w:szCs w:val="24"/>
        </w:rPr>
        <w:t>Reflections of the Research, Innovation and Science Policy Experts (RISE) High Level Group</w:t>
      </w:r>
    </w:p>
    <w:p w:rsidR="001F443A" w:rsidRPr="00011128" w:rsidRDefault="001F443A" w:rsidP="001F443A">
      <w:pPr>
        <w:rPr>
          <w:sz w:val="24"/>
          <w:szCs w:val="24"/>
        </w:rPr>
      </w:pPr>
      <w:r w:rsidRPr="00011128">
        <w:rPr>
          <w:sz w:val="24"/>
          <w:szCs w:val="24"/>
        </w:rPr>
        <w:t>The book will act as the basis for further reflection and debate throughout Europe with experts and stakeholders on the economic and societal policy rationale for an open EU Research and Innovation strategy.</w:t>
      </w:r>
    </w:p>
    <w:p w:rsidR="001F443A" w:rsidRPr="001F443A" w:rsidRDefault="001F443A" w:rsidP="00E7539E"/>
    <w:p w:rsidR="00011128" w:rsidRDefault="00011128">
      <w:pPr>
        <w:jc w:val="left"/>
        <w:rPr>
          <w:lang w:val="en-US"/>
        </w:rPr>
      </w:pPr>
      <w:r>
        <w:rPr>
          <w:lang w:val="en-US"/>
        </w:rPr>
        <w:br w:type="page"/>
      </w:r>
    </w:p>
    <w:p w:rsidR="001F443A" w:rsidRPr="00B8249A" w:rsidRDefault="00B8249A" w:rsidP="00B8249A">
      <w:pPr>
        <w:pStyle w:val="Heading2"/>
        <w:ind w:left="426"/>
        <w:rPr>
          <w:szCs w:val="24"/>
          <w:lang w:val="en-US"/>
        </w:rPr>
      </w:pPr>
      <w:bookmarkStart w:id="28" w:name="_Toc485041309"/>
      <w:r w:rsidRPr="00B8249A">
        <w:rPr>
          <w:lang w:val="en"/>
        </w:rPr>
        <w:lastRenderedPageBreak/>
        <w:t>Policy Implications of Virtual Work</w:t>
      </w:r>
      <w:bookmarkEnd w:id="28"/>
    </w:p>
    <w:p w:rsidR="000077B1" w:rsidRPr="00B8249A" w:rsidRDefault="00B8249A" w:rsidP="00B8249A">
      <w:pPr>
        <w:rPr>
          <w:sz w:val="24"/>
          <w:szCs w:val="24"/>
          <w:lang w:val="en-US"/>
        </w:rPr>
      </w:pPr>
      <w:r w:rsidRPr="00B8249A">
        <w:rPr>
          <w:sz w:val="24"/>
          <w:szCs w:val="24"/>
        </w:rPr>
        <w:drawing>
          <wp:anchor distT="0" distB="0" distL="114300" distR="114300" simplePos="0" relativeHeight="251712512" behindDoc="1" locked="0" layoutInCell="1" allowOverlap="1" wp14:anchorId="6DCBFACE" wp14:editId="45619C5C">
            <wp:simplePos x="0" y="0"/>
            <wp:positionH relativeFrom="column">
              <wp:posOffset>-1905</wp:posOffset>
            </wp:positionH>
            <wp:positionV relativeFrom="paragraph">
              <wp:posOffset>21590</wp:posOffset>
            </wp:positionV>
            <wp:extent cx="1259840" cy="1778000"/>
            <wp:effectExtent l="0" t="0" r="0" b="0"/>
            <wp:wrapThrough wrapText="bothSides">
              <wp:wrapPolygon edited="0">
                <wp:start x="0" y="0"/>
                <wp:lineTo x="0" y="21291"/>
                <wp:lineTo x="21230" y="21291"/>
                <wp:lineTo x="21230" y="0"/>
                <wp:lineTo x="0" y="0"/>
              </wp:wrapPolygon>
            </wp:wrapThrough>
            <wp:docPr id="2" name="Picture 2" descr="http://www.cost.eu/var/ezwebin_site/storage/images/medialib/images/library/publications/policy-implications-of-virtual-work/1797382-1-eng-GB/Policy-Implications-of-Virtual-Work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st.eu/var/ezwebin_site/storage/images/medialib/images/library/publications/policy-implications-of-virtual-work/1797382-1-eng-GB/Policy-Implications-of-Virtual-Work_publication.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59840" cy="177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77B1" w:rsidRPr="00B8249A" w:rsidRDefault="000077B1" w:rsidP="00B8249A">
      <w:pPr>
        <w:rPr>
          <w:sz w:val="24"/>
          <w:szCs w:val="24"/>
          <w:lang w:val="en"/>
        </w:rPr>
      </w:pPr>
    </w:p>
    <w:p w:rsidR="00B8249A" w:rsidRDefault="00B8249A" w:rsidP="00B8249A">
      <w:pPr>
        <w:ind w:left="644"/>
        <w:rPr>
          <w:sz w:val="24"/>
          <w:szCs w:val="24"/>
          <w:lang w:val="en"/>
        </w:rPr>
      </w:pPr>
    </w:p>
    <w:p w:rsidR="00B8249A" w:rsidRDefault="00B8249A" w:rsidP="00B8249A">
      <w:pPr>
        <w:ind w:left="644"/>
        <w:rPr>
          <w:sz w:val="24"/>
          <w:szCs w:val="24"/>
          <w:lang w:val="en"/>
        </w:rPr>
      </w:pPr>
    </w:p>
    <w:p w:rsidR="00B8249A" w:rsidRDefault="00B8249A" w:rsidP="00B8249A">
      <w:pPr>
        <w:ind w:left="644"/>
        <w:rPr>
          <w:sz w:val="24"/>
          <w:szCs w:val="24"/>
          <w:lang w:val="en"/>
        </w:rPr>
      </w:pPr>
    </w:p>
    <w:p w:rsidR="00B8249A" w:rsidRPr="00B8249A" w:rsidRDefault="00B8249A" w:rsidP="00B8249A">
      <w:pPr>
        <w:rPr>
          <w:sz w:val="24"/>
          <w:szCs w:val="24"/>
          <w:lang w:val="en"/>
        </w:rPr>
      </w:pPr>
      <w:r w:rsidRPr="00B8249A">
        <w:rPr>
          <w:sz w:val="24"/>
          <w:szCs w:val="24"/>
          <w:lang w:val="en"/>
        </w:rPr>
        <w:t xml:space="preserve">Digital technologies have changed the workplace and the way we work. </w:t>
      </w:r>
      <w:hyperlink r:id="rId66" w:tooltip="Click for explanation" w:history="1">
        <w:r w:rsidRPr="00B8249A">
          <w:rPr>
            <w:rStyle w:val="Hyperlink"/>
            <w:sz w:val="24"/>
            <w:szCs w:val="24"/>
            <w:lang w:val="en"/>
          </w:rPr>
          <w:t>COST Action</w:t>
        </w:r>
      </w:hyperlink>
      <w:r w:rsidRPr="00B8249A">
        <w:rPr>
          <w:sz w:val="24"/>
          <w:szCs w:val="24"/>
          <w:lang w:val="en"/>
        </w:rPr>
        <w:t xml:space="preserve"> IS1202 - "Dynamics of Virtual Work" has gathered a group of specialists from 30 European countries and many associated institutes in other parts of the world to discuss how the new forms of digital work should be reflected in </w:t>
      </w:r>
      <w:proofErr w:type="spellStart"/>
      <w:r w:rsidRPr="00B8249A">
        <w:rPr>
          <w:sz w:val="24"/>
          <w:szCs w:val="24"/>
          <w:lang w:val="en"/>
        </w:rPr>
        <w:t>labour</w:t>
      </w:r>
      <w:proofErr w:type="spellEnd"/>
      <w:r w:rsidRPr="00B8249A">
        <w:rPr>
          <w:sz w:val="24"/>
          <w:szCs w:val="24"/>
          <w:lang w:val="en"/>
        </w:rPr>
        <w:t xml:space="preserve"> policies across Europe and beyond.</w:t>
      </w:r>
    </w:p>
    <w:p w:rsidR="00B8249A" w:rsidRPr="00B8249A" w:rsidRDefault="00B8249A" w:rsidP="00B8249A">
      <w:pPr>
        <w:spacing w:before="120" w:after="120"/>
        <w:rPr>
          <w:sz w:val="24"/>
          <w:szCs w:val="24"/>
          <w:lang w:val="en"/>
        </w:rPr>
      </w:pPr>
      <w:r w:rsidRPr="00B8249A">
        <w:rPr>
          <w:sz w:val="24"/>
          <w:szCs w:val="24"/>
          <w:lang w:val="en"/>
        </w:rPr>
        <w:t xml:space="preserve">Digital technologies have changed the way people get paid or how their rights are perceived. Researchers have teamed up with policy makers and came up with a series of </w:t>
      </w:r>
      <w:r w:rsidRPr="00B8249A">
        <w:rPr>
          <w:b/>
          <w:bCs/>
          <w:sz w:val="24"/>
          <w:szCs w:val="24"/>
          <w:lang w:val="en"/>
        </w:rPr>
        <w:t>questions</w:t>
      </w:r>
      <w:r w:rsidRPr="00B8249A">
        <w:rPr>
          <w:sz w:val="24"/>
          <w:szCs w:val="24"/>
          <w:lang w:val="en"/>
        </w:rPr>
        <w:t xml:space="preserve"> that will need to be addressed in order to adapt </w:t>
      </w:r>
      <w:proofErr w:type="spellStart"/>
      <w:r w:rsidRPr="00B8249A">
        <w:rPr>
          <w:sz w:val="24"/>
          <w:szCs w:val="24"/>
          <w:lang w:val="en"/>
        </w:rPr>
        <w:t>labour</w:t>
      </w:r>
      <w:proofErr w:type="spellEnd"/>
      <w:r w:rsidRPr="00B8249A">
        <w:rPr>
          <w:sz w:val="24"/>
          <w:szCs w:val="24"/>
          <w:lang w:val="en"/>
        </w:rPr>
        <w:t xml:space="preserve"> regulation and policy to the dynamics of today's online work. </w:t>
      </w:r>
    </w:p>
    <w:p w:rsidR="00B8249A" w:rsidRPr="00B8249A" w:rsidRDefault="00B8249A" w:rsidP="00B8249A">
      <w:pPr>
        <w:spacing w:before="120" w:after="120"/>
        <w:rPr>
          <w:sz w:val="24"/>
          <w:szCs w:val="24"/>
          <w:lang w:val="en"/>
        </w:rPr>
      </w:pPr>
      <w:r w:rsidRPr="00B8249A">
        <w:rPr>
          <w:sz w:val="24"/>
          <w:szCs w:val="24"/>
          <w:lang w:val="en"/>
        </w:rPr>
        <w:t xml:space="preserve">These </w:t>
      </w:r>
      <w:r w:rsidRPr="00B8249A">
        <w:rPr>
          <w:b/>
          <w:bCs/>
          <w:sz w:val="24"/>
          <w:szCs w:val="24"/>
          <w:lang w:val="en"/>
        </w:rPr>
        <w:t>questions</w:t>
      </w:r>
      <w:r w:rsidRPr="00B8249A">
        <w:rPr>
          <w:sz w:val="24"/>
          <w:szCs w:val="24"/>
          <w:lang w:val="en"/>
        </w:rPr>
        <w:t xml:space="preserve"> are now part of a </w:t>
      </w:r>
      <w:hyperlink r:id="rId67" w:anchor="aboutBook" w:history="1">
        <w:r w:rsidRPr="00B8249A">
          <w:rPr>
            <w:rStyle w:val="Hyperlink"/>
            <w:b/>
            <w:bCs/>
            <w:sz w:val="24"/>
            <w:szCs w:val="24"/>
            <w:lang w:val="en"/>
          </w:rPr>
          <w:t>book series</w:t>
        </w:r>
      </w:hyperlink>
      <w:r w:rsidRPr="00B8249A">
        <w:rPr>
          <w:sz w:val="24"/>
          <w:szCs w:val="24"/>
          <w:lang w:val="en"/>
        </w:rPr>
        <w:t xml:space="preserve"> published with Palgrave Macmillan: </w:t>
      </w:r>
    </w:p>
    <w:p w:rsidR="00B8249A" w:rsidRPr="00B8249A" w:rsidRDefault="00B8249A" w:rsidP="000D4193">
      <w:pPr>
        <w:numPr>
          <w:ilvl w:val="0"/>
          <w:numId w:val="13"/>
        </w:numPr>
        <w:spacing w:before="120" w:after="120"/>
        <w:rPr>
          <w:sz w:val="24"/>
          <w:szCs w:val="24"/>
          <w:lang w:val="en"/>
        </w:rPr>
      </w:pPr>
      <w:r w:rsidRPr="00B8249A">
        <w:rPr>
          <w:sz w:val="24"/>
          <w:szCs w:val="24"/>
          <w:lang w:val="en"/>
        </w:rPr>
        <w:t>What is the quality of the new jobs created in terms of security, pay and working conditions?</w:t>
      </w:r>
    </w:p>
    <w:p w:rsidR="00B8249A" w:rsidRPr="00B8249A" w:rsidRDefault="00B8249A" w:rsidP="000D4193">
      <w:pPr>
        <w:numPr>
          <w:ilvl w:val="0"/>
          <w:numId w:val="13"/>
        </w:numPr>
        <w:spacing w:before="120" w:after="120"/>
        <w:rPr>
          <w:sz w:val="24"/>
          <w:szCs w:val="24"/>
          <w:lang w:val="en"/>
        </w:rPr>
      </w:pPr>
      <w:r w:rsidRPr="00B8249A">
        <w:rPr>
          <w:sz w:val="24"/>
          <w:szCs w:val="24"/>
          <w:lang w:val="en"/>
        </w:rPr>
        <w:t>How does the existing education system prepare young people for a future in which they may need to hold multiple jobs? </w:t>
      </w:r>
    </w:p>
    <w:p w:rsidR="00B8249A" w:rsidRPr="00B8249A" w:rsidRDefault="00B8249A" w:rsidP="000D4193">
      <w:pPr>
        <w:numPr>
          <w:ilvl w:val="0"/>
          <w:numId w:val="13"/>
        </w:numPr>
        <w:spacing w:before="120" w:after="120"/>
        <w:rPr>
          <w:sz w:val="24"/>
          <w:szCs w:val="24"/>
          <w:lang w:val="en"/>
        </w:rPr>
      </w:pPr>
      <w:r w:rsidRPr="00B8249A">
        <w:rPr>
          <w:sz w:val="24"/>
          <w:szCs w:val="24"/>
          <w:lang w:val="en"/>
        </w:rPr>
        <w:t>What kinds of employment contracts are currently used for digital workers and how well do they correspond to the actualities of power and autonomy in new employment relationships? </w:t>
      </w:r>
    </w:p>
    <w:p w:rsidR="00B8249A" w:rsidRPr="00B8249A" w:rsidRDefault="00B8249A" w:rsidP="000D4193">
      <w:pPr>
        <w:numPr>
          <w:ilvl w:val="0"/>
          <w:numId w:val="13"/>
        </w:numPr>
        <w:spacing w:before="120" w:after="120"/>
        <w:rPr>
          <w:sz w:val="24"/>
          <w:szCs w:val="24"/>
          <w:lang w:val="en"/>
        </w:rPr>
      </w:pPr>
      <w:r w:rsidRPr="00B8249A">
        <w:rPr>
          <w:sz w:val="24"/>
          <w:szCs w:val="24"/>
          <w:lang w:val="en"/>
        </w:rPr>
        <w:t>What rights do public authorities have to inspect and regulate online platforms and the working conditions of their workers? </w:t>
      </w:r>
    </w:p>
    <w:p w:rsidR="00B8249A" w:rsidRPr="00B8249A" w:rsidRDefault="00B8249A" w:rsidP="000D4193">
      <w:pPr>
        <w:numPr>
          <w:ilvl w:val="0"/>
          <w:numId w:val="13"/>
        </w:numPr>
        <w:spacing w:before="120" w:after="120"/>
        <w:rPr>
          <w:sz w:val="24"/>
          <w:szCs w:val="24"/>
          <w:lang w:val="en"/>
        </w:rPr>
      </w:pPr>
      <w:r w:rsidRPr="00B8249A">
        <w:rPr>
          <w:sz w:val="24"/>
          <w:szCs w:val="24"/>
          <w:lang w:val="en"/>
        </w:rPr>
        <w:t>How can new forms of digital work create the basis for career breaks and changes, compatible with work-life balance and family development? </w:t>
      </w:r>
    </w:p>
    <w:p w:rsidR="00B8249A" w:rsidRPr="00B8249A" w:rsidRDefault="00B8249A" w:rsidP="000D4193">
      <w:pPr>
        <w:numPr>
          <w:ilvl w:val="0"/>
          <w:numId w:val="13"/>
        </w:numPr>
        <w:spacing w:before="120" w:after="120"/>
        <w:rPr>
          <w:sz w:val="24"/>
          <w:szCs w:val="24"/>
          <w:lang w:val="en"/>
        </w:rPr>
      </w:pPr>
      <w:r w:rsidRPr="00B8249A">
        <w:rPr>
          <w:sz w:val="24"/>
          <w:szCs w:val="24"/>
          <w:lang w:val="en"/>
        </w:rPr>
        <w:t>What pension rights are available to virtual workers? </w:t>
      </w:r>
    </w:p>
    <w:p w:rsidR="000077B1" w:rsidRPr="00B8249A" w:rsidRDefault="000077B1" w:rsidP="00B8249A">
      <w:pPr>
        <w:spacing w:before="120" w:after="120"/>
        <w:rPr>
          <w:sz w:val="24"/>
          <w:szCs w:val="24"/>
          <w:lang w:val="en"/>
        </w:rPr>
      </w:pPr>
      <w:r w:rsidRPr="00B8249A">
        <w:rPr>
          <w:sz w:val="24"/>
          <w:szCs w:val="24"/>
          <w:lang w:val="en"/>
        </w:rPr>
        <w:t xml:space="preserve">Author(s): </w:t>
      </w:r>
      <w:proofErr w:type="spellStart"/>
      <w:r w:rsidRPr="00B8249A">
        <w:rPr>
          <w:sz w:val="24"/>
          <w:szCs w:val="24"/>
          <w:lang w:val="en"/>
        </w:rPr>
        <w:t>Meil</w:t>
      </w:r>
      <w:proofErr w:type="spellEnd"/>
      <w:r w:rsidRPr="00B8249A">
        <w:rPr>
          <w:sz w:val="24"/>
          <w:szCs w:val="24"/>
          <w:lang w:val="en"/>
        </w:rPr>
        <w:t>, P., Kirov, V. (Eds.)</w:t>
      </w:r>
    </w:p>
    <w:p w:rsidR="000077B1" w:rsidRPr="00B8249A" w:rsidRDefault="000077B1" w:rsidP="00B8249A">
      <w:pPr>
        <w:spacing w:before="120" w:after="120"/>
        <w:rPr>
          <w:sz w:val="24"/>
          <w:szCs w:val="24"/>
          <w:lang w:val="en"/>
        </w:rPr>
      </w:pPr>
      <w:r w:rsidRPr="00B8249A">
        <w:rPr>
          <w:sz w:val="24"/>
          <w:szCs w:val="24"/>
          <w:lang w:val="en"/>
        </w:rPr>
        <w:t>Publisher(s): Palgrave Macmillan</w:t>
      </w:r>
    </w:p>
    <w:p w:rsidR="000077B1" w:rsidRPr="00B8249A" w:rsidRDefault="000077B1" w:rsidP="00B8249A">
      <w:pPr>
        <w:spacing w:before="120" w:after="120"/>
        <w:rPr>
          <w:sz w:val="24"/>
          <w:szCs w:val="24"/>
          <w:lang w:val="en"/>
        </w:rPr>
      </w:pPr>
      <w:hyperlink r:id="rId68" w:anchor="reviews" w:history="1">
        <w:r w:rsidRPr="00B8249A">
          <w:rPr>
            <w:rStyle w:val="Hyperlink"/>
            <w:sz w:val="24"/>
            <w:szCs w:val="24"/>
            <w:lang w:val="en"/>
          </w:rPr>
          <w:t>http://www.palgrave.com/us/book/9783319520568#reviews</w:t>
        </w:r>
      </w:hyperlink>
    </w:p>
    <w:p w:rsidR="00475D8A" w:rsidRDefault="00475D8A">
      <w:pPr>
        <w:jc w:val="left"/>
        <w:rPr>
          <w:lang w:val="en"/>
        </w:rPr>
      </w:pPr>
      <w:r>
        <w:rPr>
          <w:lang w:val="en"/>
        </w:rPr>
        <w:br w:type="page"/>
      </w:r>
    </w:p>
    <w:p w:rsidR="000077B1" w:rsidRPr="000077B1" w:rsidRDefault="00475D8A" w:rsidP="00475D8A">
      <w:pPr>
        <w:pStyle w:val="Heading2"/>
        <w:ind w:left="426"/>
        <w:rPr>
          <w:lang w:val="en"/>
        </w:rPr>
      </w:pPr>
      <w:bookmarkStart w:id="29" w:name="_Toc485041310"/>
      <w:r>
        <w:rPr>
          <w:lang w:val="en"/>
        </w:rPr>
        <w:lastRenderedPageBreak/>
        <w:t>IAU Horizons</w:t>
      </w:r>
      <w:bookmarkEnd w:id="29"/>
    </w:p>
    <w:p w:rsidR="00475D8A" w:rsidRDefault="00475D8A" w:rsidP="00260269">
      <w:pPr>
        <w:rPr>
          <w:b/>
          <w:bCs/>
          <w:lang w:val="en"/>
        </w:rPr>
      </w:pPr>
    </w:p>
    <w:p w:rsidR="00475D8A" w:rsidRDefault="00475D8A" w:rsidP="00260269">
      <w:pPr>
        <w:rPr>
          <w:b/>
          <w:bCs/>
          <w:lang w:val="en"/>
        </w:rPr>
      </w:pPr>
    </w:p>
    <w:p w:rsidR="00475D8A" w:rsidRDefault="00475D8A" w:rsidP="00260269">
      <w:pPr>
        <w:rPr>
          <w:b/>
          <w:bCs/>
          <w:lang w:val="en"/>
        </w:rPr>
      </w:pPr>
    </w:p>
    <w:p w:rsidR="00475D8A" w:rsidRDefault="00475D8A" w:rsidP="00260269">
      <w:pPr>
        <w:rPr>
          <w:b/>
          <w:bCs/>
          <w:lang w:val="en"/>
        </w:rPr>
      </w:pPr>
    </w:p>
    <w:p w:rsidR="00260269" w:rsidRPr="00475D8A" w:rsidRDefault="00260269" w:rsidP="00260269">
      <w:pPr>
        <w:rPr>
          <w:sz w:val="24"/>
          <w:szCs w:val="24"/>
          <w:lang w:val="en"/>
        </w:rPr>
      </w:pPr>
      <w:r w:rsidRPr="00475D8A">
        <w:rPr>
          <w:sz w:val="24"/>
          <w:szCs w:val="24"/>
        </w:rPr>
        <w:drawing>
          <wp:anchor distT="0" distB="0" distL="114300" distR="114300" simplePos="0" relativeHeight="251713536" behindDoc="1" locked="0" layoutInCell="1" allowOverlap="1" wp14:anchorId="4D00E836" wp14:editId="36D94C1D">
            <wp:simplePos x="0" y="0"/>
            <wp:positionH relativeFrom="column">
              <wp:posOffset>-1905</wp:posOffset>
            </wp:positionH>
            <wp:positionV relativeFrom="page">
              <wp:posOffset>1255395</wp:posOffset>
            </wp:positionV>
            <wp:extent cx="1328400" cy="1872000"/>
            <wp:effectExtent l="0" t="0" r="5715" b="0"/>
            <wp:wrapThrough wrapText="bothSides">
              <wp:wrapPolygon edited="0">
                <wp:start x="0" y="0"/>
                <wp:lineTo x="0" y="21322"/>
                <wp:lineTo x="21383" y="21322"/>
                <wp:lineTo x="21383" y="0"/>
                <wp:lineTo x="0" y="0"/>
              </wp:wrapPolygon>
            </wp:wrapThrough>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28400" cy="1872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70" w:history="1">
        <w:r w:rsidRPr="00475D8A">
          <w:rPr>
            <w:rStyle w:val="Hyperlink"/>
            <w:b/>
            <w:bCs/>
            <w:sz w:val="24"/>
            <w:szCs w:val="24"/>
            <w:lang w:val="en"/>
          </w:rPr>
          <w:t>Volume 22, issue 1 of IAU Horizons</w:t>
        </w:r>
      </w:hyperlink>
      <w:r w:rsidRPr="00475D8A">
        <w:rPr>
          <w:sz w:val="24"/>
          <w:szCs w:val="24"/>
          <w:lang w:val="en"/>
        </w:rPr>
        <w:t xml:space="preserve">, presenting IAU projects and initiatives, focuses on: the preparations for the IAU 2017 International Conference and the Global Meeting of Association VII to take place in Accra, Ghana, in October. It provides a report on the 15th General Conference; details results and opportunities linked to the IAU key thematic priorities of work; presents the new Members and the various projects IAU is involved in. The </w:t>
      </w:r>
      <w:r w:rsidRPr="00475D8A">
        <w:rPr>
          <w:i/>
          <w:iCs/>
          <w:sz w:val="24"/>
          <w:szCs w:val="24"/>
          <w:lang w:val="en"/>
        </w:rPr>
        <w:t>In Focus Section</w:t>
      </w:r>
      <w:r w:rsidRPr="00475D8A">
        <w:rPr>
          <w:sz w:val="24"/>
          <w:szCs w:val="24"/>
          <w:lang w:val="en"/>
        </w:rPr>
        <w:t xml:space="preserve"> offers a series of papers on « Corruption in Higher Education ».</w:t>
      </w:r>
    </w:p>
    <w:p w:rsidR="00260269" w:rsidRPr="00475D8A" w:rsidRDefault="00260269" w:rsidP="00475D8A">
      <w:pPr>
        <w:spacing w:before="120" w:after="120"/>
        <w:rPr>
          <w:sz w:val="24"/>
          <w:szCs w:val="24"/>
          <w:lang w:val="en"/>
        </w:rPr>
      </w:pPr>
      <w:r w:rsidRPr="00475D8A">
        <w:rPr>
          <w:b/>
          <w:bCs/>
          <w:sz w:val="24"/>
          <w:szCs w:val="24"/>
          <w:lang w:val="en"/>
        </w:rPr>
        <w:t>IN FOCUS</w:t>
      </w:r>
    </w:p>
    <w:p w:rsidR="00260269" w:rsidRPr="00475D8A" w:rsidRDefault="00260269" w:rsidP="000D4193">
      <w:pPr>
        <w:numPr>
          <w:ilvl w:val="0"/>
          <w:numId w:val="14"/>
        </w:numPr>
        <w:spacing w:before="120" w:after="120"/>
        <w:rPr>
          <w:sz w:val="24"/>
          <w:szCs w:val="24"/>
          <w:lang w:val="en"/>
        </w:rPr>
      </w:pPr>
      <w:r w:rsidRPr="00475D8A">
        <w:rPr>
          <w:sz w:val="24"/>
          <w:szCs w:val="24"/>
          <w:lang w:val="en"/>
        </w:rPr>
        <w:t xml:space="preserve">IAU-MCO Guidelines for an Institutional Code of Ethics in Higher Education, Abridged and annotated version of the Guidelines adopted in 2012, </w:t>
      </w:r>
      <w:r w:rsidRPr="00475D8A">
        <w:rPr>
          <w:i/>
          <w:iCs/>
          <w:sz w:val="24"/>
          <w:szCs w:val="24"/>
          <w:lang w:val="en"/>
        </w:rPr>
        <w:t xml:space="preserve">by Eva </w:t>
      </w:r>
      <w:proofErr w:type="spellStart"/>
      <w:r w:rsidRPr="00475D8A">
        <w:rPr>
          <w:i/>
          <w:iCs/>
          <w:sz w:val="24"/>
          <w:szCs w:val="24"/>
          <w:lang w:val="en"/>
        </w:rPr>
        <w:t>Egron-Polak</w:t>
      </w:r>
      <w:proofErr w:type="spellEnd"/>
      <w:r w:rsidRPr="00475D8A">
        <w:rPr>
          <w:i/>
          <w:iCs/>
          <w:sz w:val="24"/>
          <w:szCs w:val="24"/>
          <w:lang w:val="en"/>
        </w:rPr>
        <w:t>, IAU</w:t>
      </w:r>
    </w:p>
    <w:p w:rsidR="00260269" w:rsidRPr="00475D8A" w:rsidRDefault="00260269" w:rsidP="000D4193">
      <w:pPr>
        <w:numPr>
          <w:ilvl w:val="0"/>
          <w:numId w:val="14"/>
        </w:numPr>
        <w:spacing w:before="120" w:after="120"/>
        <w:rPr>
          <w:sz w:val="24"/>
          <w:szCs w:val="24"/>
          <w:lang w:val="en"/>
        </w:rPr>
      </w:pPr>
      <w:r w:rsidRPr="00475D8A">
        <w:rPr>
          <w:sz w:val="24"/>
          <w:szCs w:val="24"/>
          <w:lang w:val="en"/>
        </w:rPr>
        <w:t xml:space="preserve">Corruption in Higher Education: an Overview, </w:t>
      </w:r>
      <w:r w:rsidRPr="00475D8A">
        <w:rPr>
          <w:i/>
          <w:iCs/>
          <w:sz w:val="24"/>
          <w:szCs w:val="24"/>
          <w:lang w:val="en"/>
        </w:rPr>
        <w:t xml:space="preserve">by </w:t>
      </w:r>
      <w:proofErr w:type="spellStart"/>
      <w:r w:rsidRPr="00475D8A">
        <w:rPr>
          <w:i/>
          <w:iCs/>
          <w:sz w:val="24"/>
          <w:szCs w:val="24"/>
          <w:lang w:val="en"/>
        </w:rPr>
        <w:t>Goolam</w:t>
      </w:r>
      <w:proofErr w:type="spellEnd"/>
      <w:r w:rsidRPr="00475D8A">
        <w:rPr>
          <w:i/>
          <w:iCs/>
          <w:sz w:val="24"/>
          <w:szCs w:val="24"/>
          <w:lang w:val="en"/>
        </w:rPr>
        <w:t xml:space="preserve"> </w:t>
      </w:r>
      <w:proofErr w:type="spellStart"/>
      <w:r w:rsidRPr="00475D8A">
        <w:rPr>
          <w:i/>
          <w:iCs/>
          <w:sz w:val="24"/>
          <w:szCs w:val="24"/>
          <w:lang w:val="en"/>
        </w:rPr>
        <w:t>Mohamedbhai</w:t>
      </w:r>
      <w:proofErr w:type="spellEnd"/>
      <w:r w:rsidRPr="00475D8A">
        <w:rPr>
          <w:i/>
          <w:iCs/>
          <w:sz w:val="24"/>
          <w:szCs w:val="24"/>
          <w:lang w:val="en"/>
        </w:rPr>
        <w:t>, Mauritius</w:t>
      </w:r>
    </w:p>
    <w:p w:rsidR="00260269" w:rsidRPr="00475D8A" w:rsidRDefault="00260269" w:rsidP="000D4193">
      <w:pPr>
        <w:numPr>
          <w:ilvl w:val="0"/>
          <w:numId w:val="14"/>
        </w:numPr>
        <w:spacing w:before="120" w:after="120"/>
        <w:rPr>
          <w:sz w:val="24"/>
          <w:szCs w:val="24"/>
          <w:lang w:val="en"/>
        </w:rPr>
      </w:pPr>
      <w:r w:rsidRPr="00475D8A">
        <w:rPr>
          <w:sz w:val="24"/>
          <w:szCs w:val="24"/>
          <w:lang w:val="en"/>
        </w:rPr>
        <w:t xml:space="preserve">Keeping the promises of cross-border higher education by fighting corruption risks, </w:t>
      </w:r>
      <w:r w:rsidRPr="00475D8A">
        <w:rPr>
          <w:i/>
          <w:iCs/>
          <w:sz w:val="24"/>
          <w:szCs w:val="24"/>
          <w:lang w:val="en"/>
        </w:rPr>
        <w:t xml:space="preserve">by Jacques </w:t>
      </w:r>
      <w:proofErr w:type="spellStart"/>
      <w:r w:rsidRPr="00475D8A">
        <w:rPr>
          <w:i/>
          <w:iCs/>
          <w:sz w:val="24"/>
          <w:szCs w:val="24"/>
          <w:lang w:val="en"/>
        </w:rPr>
        <w:t>Hallak</w:t>
      </w:r>
      <w:proofErr w:type="spellEnd"/>
      <w:r w:rsidRPr="00475D8A">
        <w:rPr>
          <w:i/>
          <w:iCs/>
          <w:sz w:val="24"/>
          <w:szCs w:val="24"/>
          <w:lang w:val="en"/>
        </w:rPr>
        <w:t xml:space="preserve"> and Muriel Poisson, IIEP</w:t>
      </w:r>
    </w:p>
    <w:p w:rsidR="00260269" w:rsidRPr="00475D8A" w:rsidRDefault="00260269" w:rsidP="000D4193">
      <w:pPr>
        <w:numPr>
          <w:ilvl w:val="0"/>
          <w:numId w:val="14"/>
        </w:numPr>
        <w:spacing w:before="120" w:after="120"/>
        <w:rPr>
          <w:sz w:val="24"/>
          <w:szCs w:val="24"/>
          <w:lang w:val="en"/>
        </w:rPr>
      </w:pPr>
      <w:r w:rsidRPr="00475D8A">
        <w:rPr>
          <w:sz w:val="24"/>
          <w:szCs w:val="24"/>
          <w:lang w:val="en"/>
        </w:rPr>
        <w:t xml:space="preserve">Combatting Corruption and Enhancing Integrity in Higher Education: An Advisory Statement for effective International Practice, </w:t>
      </w:r>
      <w:r w:rsidRPr="00475D8A">
        <w:rPr>
          <w:i/>
          <w:iCs/>
          <w:sz w:val="24"/>
          <w:szCs w:val="24"/>
          <w:lang w:val="en"/>
        </w:rPr>
        <w:t xml:space="preserve">by </w:t>
      </w:r>
      <w:proofErr w:type="spellStart"/>
      <w:r w:rsidRPr="00475D8A">
        <w:rPr>
          <w:i/>
          <w:iCs/>
          <w:sz w:val="24"/>
          <w:szCs w:val="24"/>
          <w:lang w:val="en"/>
        </w:rPr>
        <w:t>Stamenka</w:t>
      </w:r>
      <w:proofErr w:type="spellEnd"/>
      <w:r w:rsidRPr="00475D8A">
        <w:rPr>
          <w:i/>
          <w:iCs/>
          <w:sz w:val="24"/>
          <w:szCs w:val="24"/>
          <w:lang w:val="en"/>
        </w:rPr>
        <w:t xml:space="preserve"> </w:t>
      </w:r>
      <w:proofErr w:type="spellStart"/>
      <w:r w:rsidRPr="00475D8A">
        <w:rPr>
          <w:i/>
          <w:iCs/>
          <w:sz w:val="24"/>
          <w:szCs w:val="24"/>
          <w:lang w:val="en"/>
        </w:rPr>
        <w:t>Uvalić-Trumbić</w:t>
      </w:r>
      <w:proofErr w:type="spellEnd"/>
      <w:r w:rsidRPr="00475D8A">
        <w:rPr>
          <w:i/>
          <w:iCs/>
          <w:sz w:val="24"/>
          <w:szCs w:val="24"/>
          <w:lang w:val="en"/>
        </w:rPr>
        <w:t>, UNESCO – CHEA initiative</w:t>
      </w:r>
    </w:p>
    <w:p w:rsidR="00260269" w:rsidRPr="00475D8A" w:rsidRDefault="00260269" w:rsidP="000D4193">
      <w:pPr>
        <w:numPr>
          <w:ilvl w:val="0"/>
          <w:numId w:val="14"/>
        </w:numPr>
        <w:spacing w:before="120" w:after="120"/>
        <w:rPr>
          <w:sz w:val="24"/>
          <w:szCs w:val="24"/>
          <w:lang w:val="en"/>
        </w:rPr>
      </w:pPr>
      <w:r w:rsidRPr="00475D8A">
        <w:rPr>
          <w:sz w:val="24"/>
          <w:szCs w:val="24"/>
          <w:lang w:val="en"/>
        </w:rPr>
        <w:t xml:space="preserve">Higher Education Should Help to Provide “Ethical Competence”, </w:t>
      </w:r>
      <w:r w:rsidRPr="00475D8A">
        <w:rPr>
          <w:i/>
          <w:iCs/>
          <w:sz w:val="24"/>
          <w:szCs w:val="24"/>
          <w:lang w:val="en"/>
        </w:rPr>
        <w:t>by Bo Rothstein, UK and Lennart Levi, Sweden</w:t>
      </w:r>
    </w:p>
    <w:p w:rsidR="00260269" w:rsidRPr="00475D8A" w:rsidRDefault="00260269" w:rsidP="000D4193">
      <w:pPr>
        <w:numPr>
          <w:ilvl w:val="0"/>
          <w:numId w:val="14"/>
        </w:numPr>
        <w:spacing w:before="120" w:after="120"/>
        <w:rPr>
          <w:sz w:val="24"/>
          <w:szCs w:val="24"/>
          <w:lang w:val="en"/>
        </w:rPr>
      </w:pPr>
      <w:r w:rsidRPr="00475D8A">
        <w:rPr>
          <w:sz w:val="24"/>
          <w:szCs w:val="24"/>
          <w:lang w:val="en"/>
        </w:rPr>
        <w:t xml:space="preserve">The Global Challenge of Corruption in Higher Education, </w:t>
      </w:r>
      <w:r w:rsidRPr="00475D8A">
        <w:rPr>
          <w:i/>
          <w:iCs/>
          <w:sz w:val="24"/>
          <w:szCs w:val="24"/>
          <w:lang w:val="en"/>
        </w:rPr>
        <w:t xml:space="preserve">by Elena </w:t>
      </w:r>
      <w:proofErr w:type="spellStart"/>
      <w:r w:rsidRPr="00475D8A">
        <w:rPr>
          <w:i/>
          <w:iCs/>
          <w:sz w:val="24"/>
          <w:szCs w:val="24"/>
          <w:lang w:val="en"/>
        </w:rPr>
        <w:t>Denisova</w:t>
      </w:r>
      <w:proofErr w:type="spellEnd"/>
      <w:r w:rsidRPr="00475D8A">
        <w:rPr>
          <w:i/>
          <w:iCs/>
          <w:sz w:val="24"/>
          <w:szCs w:val="24"/>
          <w:lang w:val="en"/>
        </w:rPr>
        <w:t>-Schmidt, Switzerland, and Hans de Wit, United States of America</w:t>
      </w:r>
    </w:p>
    <w:p w:rsidR="00260269" w:rsidRPr="00475D8A" w:rsidRDefault="00260269" w:rsidP="000D4193">
      <w:pPr>
        <w:numPr>
          <w:ilvl w:val="0"/>
          <w:numId w:val="14"/>
        </w:numPr>
        <w:spacing w:before="120" w:after="120"/>
        <w:rPr>
          <w:sz w:val="24"/>
          <w:szCs w:val="24"/>
          <w:lang w:val="en"/>
        </w:rPr>
      </w:pPr>
      <w:r w:rsidRPr="00475D8A">
        <w:rPr>
          <w:sz w:val="24"/>
          <w:szCs w:val="24"/>
          <w:lang w:val="en"/>
        </w:rPr>
        <w:t xml:space="preserve">Fighting Corruption in Tertiary Education through Good Governance, </w:t>
      </w:r>
      <w:r w:rsidRPr="00475D8A">
        <w:rPr>
          <w:i/>
          <w:iCs/>
          <w:sz w:val="24"/>
          <w:szCs w:val="24"/>
          <w:lang w:val="en"/>
        </w:rPr>
        <w:t xml:space="preserve">by Jamil </w:t>
      </w:r>
      <w:proofErr w:type="spellStart"/>
      <w:r w:rsidRPr="00475D8A">
        <w:rPr>
          <w:i/>
          <w:iCs/>
          <w:sz w:val="24"/>
          <w:szCs w:val="24"/>
          <w:lang w:val="en"/>
        </w:rPr>
        <w:t>Salmi</w:t>
      </w:r>
      <w:proofErr w:type="spellEnd"/>
      <w:r w:rsidRPr="00475D8A">
        <w:rPr>
          <w:i/>
          <w:iCs/>
          <w:sz w:val="24"/>
          <w:szCs w:val="24"/>
          <w:lang w:val="en"/>
        </w:rPr>
        <w:t xml:space="preserve">, Expert and Robin </w:t>
      </w:r>
      <w:proofErr w:type="spellStart"/>
      <w:r w:rsidRPr="00475D8A">
        <w:rPr>
          <w:i/>
          <w:iCs/>
          <w:sz w:val="24"/>
          <w:szCs w:val="24"/>
          <w:lang w:val="en"/>
        </w:rPr>
        <w:t>Matross</w:t>
      </w:r>
      <w:proofErr w:type="spellEnd"/>
      <w:r w:rsidRPr="00475D8A">
        <w:rPr>
          <w:i/>
          <w:iCs/>
          <w:sz w:val="24"/>
          <w:szCs w:val="24"/>
          <w:lang w:val="en"/>
        </w:rPr>
        <w:t xml:space="preserve"> Helms, American Council on Education</w:t>
      </w:r>
    </w:p>
    <w:p w:rsidR="00260269" w:rsidRPr="00475D8A" w:rsidRDefault="00260269" w:rsidP="000D4193">
      <w:pPr>
        <w:numPr>
          <w:ilvl w:val="0"/>
          <w:numId w:val="14"/>
        </w:numPr>
        <w:spacing w:before="120" w:after="120"/>
        <w:rPr>
          <w:sz w:val="24"/>
          <w:szCs w:val="24"/>
          <w:lang w:val="en"/>
        </w:rPr>
      </w:pPr>
      <w:r w:rsidRPr="00475D8A">
        <w:rPr>
          <w:sz w:val="24"/>
          <w:szCs w:val="24"/>
          <w:lang w:val="en"/>
        </w:rPr>
        <w:t xml:space="preserve">Towards enhancing Integrity in Higher Education: how developing purposeful toolkits may help reverse negative trends at institutional level, </w:t>
      </w:r>
      <w:r w:rsidRPr="00475D8A">
        <w:rPr>
          <w:i/>
          <w:iCs/>
          <w:sz w:val="24"/>
          <w:szCs w:val="24"/>
          <w:lang w:val="en"/>
        </w:rPr>
        <w:t xml:space="preserve">by Stefan </w:t>
      </w:r>
      <w:proofErr w:type="spellStart"/>
      <w:r w:rsidRPr="00475D8A">
        <w:rPr>
          <w:i/>
          <w:iCs/>
          <w:sz w:val="24"/>
          <w:szCs w:val="24"/>
          <w:lang w:val="en"/>
        </w:rPr>
        <w:t>Delplace</w:t>
      </w:r>
      <w:proofErr w:type="spellEnd"/>
      <w:r w:rsidRPr="00475D8A">
        <w:rPr>
          <w:i/>
          <w:iCs/>
          <w:sz w:val="24"/>
          <w:szCs w:val="24"/>
          <w:lang w:val="en"/>
        </w:rPr>
        <w:t>, EURASHE</w:t>
      </w:r>
    </w:p>
    <w:p w:rsidR="00260269" w:rsidRPr="00475D8A" w:rsidRDefault="00260269" w:rsidP="000D4193">
      <w:pPr>
        <w:numPr>
          <w:ilvl w:val="0"/>
          <w:numId w:val="14"/>
        </w:numPr>
        <w:spacing w:before="120" w:after="120"/>
        <w:rPr>
          <w:sz w:val="24"/>
          <w:szCs w:val="24"/>
          <w:lang w:val="en"/>
        </w:rPr>
      </w:pPr>
      <w:r w:rsidRPr="00475D8A">
        <w:rPr>
          <w:sz w:val="24"/>
          <w:szCs w:val="24"/>
          <w:lang w:val="en"/>
        </w:rPr>
        <w:t xml:space="preserve">Higher Education and Corruption: what have we learned?, </w:t>
      </w:r>
      <w:r w:rsidRPr="00475D8A">
        <w:rPr>
          <w:i/>
          <w:iCs/>
          <w:sz w:val="24"/>
          <w:szCs w:val="24"/>
          <w:lang w:val="en"/>
        </w:rPr>
        <w:t xml:space="preserve">by Stephen P. </w:t>
      </w:r>
      <w:proofErr w:type="spellStart"/>
      <w:r w:rsidRPr="00475D8A">
        <w:rPr>
          <w:i/>
          <w:iCs/>
          <w:sz w:val="24"/>
          <w:szCs w:val="24"/>
          <w:lang w:val="en"/>
        </w:rPr>
        <w:t>Heyneman</w:t>
      </w:r>
      <w:proofErr w:type="spellEnd"/>
      <w:r w:rsidRPr="00475D8A">
        <w:rPr>
          <w:i/>
          <w:iCs/>
          <w:sz w:val="24"/>
          <w:szCs w:val="24"/>
          <w:lang w:val="en"/>
        </w:rPr>
        <w:t>, United States of America</w:t>
      </w:r>
    </w:p>
    <w:p w:rsidR="00260269" w:rsidRPr="00475D8A" w:rsidRDefault="00260269" w:rsidP="000D4193">
      <w:pPr>
        <w:numPr>
          <w:ilvl w:val="0"/>
          <w:numId w:val="14"/>
        </w:numPr>
        <w:spacing w:before="120" w:after="120"/>
        <w:rPr>
          <w:sz w:val="24"/>
          <w:szCs w:val="24"/>
          <w:lang w:val="en"/>
        </w:rPr>
      </w:pPr>
      <w:r w:rsidRPr="00475D8A">
        <w:rPr>
          <w:sz w:val="24"/>
          <w:szCs w:val="24"/>
          <w:lang w:val="en"/>
        </w:rPr>
        <w:t xml:space="preserve">Fighting against Academic Corruption in China: the War Must Go on, </w:t>
      </w:r>
      <w:r w:rsidRPr="00475D8A">
        <w:rPr>
          <w:i/>
          <w:iCs/>
          <w:sz w:val="24"/>
          <w:szCs w:val="24"/>
          <w:lang w:val="en"/>
        </w:rPr>
        <w:t>by Kai Ren, People’s Republic of China</w:t>
      </w:r>
    </w:p>
    <w:sectPr w:rsidR="00260269" w:rsidRPr="00475D8A" w:rsidSect="002852EF">
      <w:footerReference w:type="default" r:id="rId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193" w:rsidRDefault="000D4193" w:rsidP="003B2D94">
      <w:pPr>
        <w:spacing w:after="0" w:line="240" w:lineRule="auto"/>
      </w:pPr>
      <w:r>
        <w:separator/>
      </w:r>
    </w:p>
  </w:endnote>
  <w:endnote w:type="continuationSeparator" w:id="0">
    <w:p w:rsidR="000D4193" w:rsidRDefault="000D4193"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Cambria">
    <w:altName w:val="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BA0805">
      <w:tc>
        <w:tcPr>
          <w:tcW w:w="4500" w:type="pct"/>
          <w:tcBorders>
            <w:top w:val="single" w:sz="4" w:space="0" w:color="000000" w:themeColor="text1"/>
          </w:tcBorders>
        </w:tcPr>
        <w:p w:rsidR="00BA0805" w:rsidRPr="00D22505" w:rsidRDefault="00BA080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BA0805" w:rsidRDefault="00BA0805">
          <w:pPr>
            <w:pStyle w:val="Header"/>
            <w:rPr>
              <w:color w:val="FFFFFF" w:themeColor="background1"/>
            </w:rPr>
          </w:pPr>
          <w:r>
            <w:fldChar w:fldCharType="begin"/>
          </w:r>
          <w:r>
            <w:instrText xml:space="preserve"> PAGE   \* MERGEFORMAT </w:instrText>
          </w:r>
          <w:r>
            <w:fldChar w:fldCharType="separate"/>
          </w:r>
          <w:r w:rsidR="000F300E" w:rsidRPr="000F300E">
            <w:rPr>
              <w:noProof/>
              <w:color w:val="FFFFFF" w:themeColor="background1"/>
            </w:rPr>
            <w:t>2</w:t>
          </w:r>
          <w:r>
            <w:rPr>
              <w:noProof/>
              <w:color w:val="FFFFFF" w:themeColor="background1"/>
            </w:rPr>
            <w:fldChar w:fldCharType="end"/>
          </w:r>
        </w:p>
      </w:tc>
    </w:tr>
  </w:tbl>
  <w:p w:rsidR="00BA0805" w:rsidRDefault="00BA08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BA0805">
      <w:tc>
        <w:tcPr>
          <w:tcW w:w="4500" w:type="pct"/>
          <w:tcBorders>
            <w:top w:val="single" w:sz="4" w:space="0" w:color="000000" w:themeColor="text1"/>
          </w:tcBorders>
        </w:tcPr>
        <w:p w:rsidR="00BA0805" w:rsidRPr="00D22505" w:rsidRDefault="00BA080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BA0805" w:rsidRDefault="00BA0805">
          <w:pPr>
            <w:pStyle w:val="Header"/>
            <w:rPr>
              <w:color w:val="FFFFFF" w:themeColor="background1"/>
            </w:rPr>
          </w:pPr>
          <w:r>
            <w:fldChar w:fldCharType="begin"/>
          </w:r>
          <w:r>
            <w:instrText xml:space="preserve"> PAGE   \* MERGEFORMAT </w:instrText>
          </w:r>
          <w:r>
            <w:fldChar w:fldCharType="separate"/>
          </w:r>
          <w:r w:rsidR="000F300E" w:rsidRPr="000F300E">
            <w:rPr>
              <w:noProof/>
              <w:color w:val="FFFFFF" w:themeColor="background1"/>
            </w:rPr>
            <w:t>3</w:t>
          </w:r>
          <w:r>
            <w:rPr>
              <w:noProof/>
              <w:color w:val="FFFFFF" w:themeColor="background1"/>
            </w:rPr>
            <w:fldChar w:fldCharType="end"/>
          </w:r>
        </w:p>
      </w:tc>
    </w:tr>
  </w:tbl>
  <w:p w:rsidR="00BA0805" w:rsidRDefault="00BA08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BA0805" w:rsidTr="00D22505">
      <w:tc>
        <w:tcPr>
          <w:tcW w:w="4500" w:type="pct"/>
          <w:tcBorders>
            <w:top w:val="single" w:sz="4" w:space="0" w:color="000000" w:themeColor="text1"/>
          </w:tcBorders>
        </w:tcPr>
        <w:p w:rsidR="00BA0805" w:rsidRPr="00D22505" w:rsidRDefault="00BA080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BA0805" w:rsidRDefault="00BA0805">
          <w:pPr>
            <w:pStyle w:val="Header"/>
            <w:rPr>
              <w:color w:val="FFFFFF" w:themeColor="background1"/>
            </w:rPr>
          </w:pPr>
          <w:r>
            <w:fldChar w:fldCharType="begin"/>
          </w:r>
          <w:r>
            <w:instrText xml:space="preserve"> PAGE   \* MERGEFORMAT </w:instrText>
          </w:r>
          <w:r>
            <w:fldChar w:fldCharType="separate"/>
          </w:r>
          <w:r w:rsidR="000F300E" w:rsidRPr="000F300E">
            <w:rPr>
              <w:noProof/>
              <w:color w:val="FFFFFF" w:themeColor="background1"/>
            </w:rPr>
            <w:t>18</w:t>
          </w:r>
          <w:r>
            <w:rPr>
              <w:noProof/>
              <w:color w:val="FFFFFF" w:themeColor="background1"/>
            </w:rPr>
            <w:fldChar w:fldCharType="end"/>
          </w:r>
        </w:p>
      </w:tc>
    </w:tr>
  </w:tbl>
  <w:p w:rsidR="00BA0805" w:rsidRDefault="00BA080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BA0805" w:rsidTr="00D22505">
      <w:tc>
        <w:tcPr>
          <w:tcW w:w="4500" w:type="pct"/>
          <w:tcBorders>
            <w:top w:val="single" w:sz="4" w:space="0" w:color="000000" w:themeColor="text1"/>
          </w:tcBorders>
        </w:tcPr>
        <w:p w:rsidR="00BA0805" w:rsidRPr="00D22505" w:rsidRDefault="00BA080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BA0805" w:rsidRDefault="00BA0805">
          <w:pPr>
            <w:pStyle w:val="Header"/>
            <w:rPr>
              <w:color w:val="FFFFFF" w:themeColor="background1"/>
            </w:rPr>
          </w:pPr>
          <w:r>
            <w:fldChar w:fldCharType="begin"/>
          </w:r>
          <w:r>
            <w:instrText xml:space="preserve"> PAGE   \* MERGEFORMAT </w:instrText>
          </w:r>
          <w:r>
            <w:fldChar w:fldCharType="separate"/>
          </w:r>
          <w:r w:rsidR="000F300E" w:rsidRPr="000F300E">
            <w:rPr>
              <w:noProof/>
              <w:color w:val="FFFFFF" w:themeColor="background1"/>
            </w:rPr>
            <w:t>24</w:t>
          </w:r>
          <w:r>
            <w:rPr>
              <w:noProof/>
              <w:color w:val="FFFFFF" w:themeColor="background1"/>
            </w:rPr>
            <w:fldChar w:fldCharType="end"/>
          </w:r>
        </w:p>
      </w:tc>
    </w:tr>
  </w:tbl>
  <w:p w:rsidR="00BA0805" w:rsidRDefault="00BA080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BA0805" w:rsidTr="00413D6F">
      <w:tc>
        <w:tcPr>
          <w:tcW w:w="4500" w:type="pct"/>
          <w:tcBorders>
            <w:top w:val="single" w:sz="4" w:space="0" w:color="000000" w:themeColor="text1"/>
          </w:tcBorders>
        </w:tcPr>
        <w:p w:rsidR="00BA0805" w:rsidRPr="00D22505" w:rsidRDefault="00BA080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BA0805" w:rsidRDefault="00BA0805">
          <w:pPr>
            <w:pStyle w:val="Header"/>
            <w:rPr>
              <w:color w:val="FFFFFF" w:themeColor="background1"/>
            </w:rPr>
          </w:pPr>
          <w:r>
            <w:fldChar w:fldCharType="begin"/>
          </w:r>
          <w:r>
            <w:instrText xml:space="preserve"> PAGE   \* MERGEFORMAT </w:instrText>
          </w:r>
          <w:r>
            <w:fldChar w:fldCharType="separate"/>
          </w:r>
          <w:r w:rsidR="000F300E" w:rsidRPr="000F300E">
            <w:rPr>
              <w:noProof/>
              <w:color w:val="FFFFFF" w:themeColor="background1"/>
            </w:rPr>
            <w:t>28</w:t>
          </w:r>
          <w:r>
            <w:rPr>
              <w:noProof/>
              <w:color w:val="FFFFFF" w:themeColor="background1"/>
            </w:rPr>
            <w:fldChar w:fldCharType="end"/>
          </w:r>
        </w:p>
      </w:tc>
    </w:tr>
  </w:tbl>
  <w:p w:rsidR="00BA0805" w:rsidRDefault="00BA08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193" w:rsidRDefault="000D4193" w:rsidP="003B2D94">
      <w:pPr>
        <w:spacing w:after="0" w:line="240" w:lineRule="auto"/>
      </w:pPr>
      <w:r>
        <w:separator/>
      </w:r>
    </w:p>
  </w:footnote>
  <w:footnote w:type="continuationSeparator" w:id="0">
    <w:p w:rsidR="000D4193" w:rsidRDefault="000D4193" w:rsidP="003B2D94">
      <w:pPr>
        <w:spacing w:after="0" w:line="240" w:lineRule="auto"/>
      </w:pPr>
      <w:r>
        <w:continuationSeparator/>
      </w:r>
    </w:p>
  </w:footnote>
  <w:footnote w:id="1">
    <w:p w:rsidR="00BA0805" w:rsidRDefault="00BA0805" w:rsidP="00195AC2">
      <w:pPr>
        <w:pStyle w:val="FootnoteText"/>
      </w:pPr>
      <w:r>
        <w:rPr>
          <w:rStyle w:val="FootnoteReference"/>
        </w:rPr>
        <w:footnoteRef/>
      </w:r>
      <w:r w:rsidRPr="00195AC2">
        <w:rPr>
          <w:lang w:val="ru-RU"/>
        </w:rPr>
        <w:t xml:space="preserve"> </w:t>
      </w:r>
      <w:proofErr w:type="spellStart"/>
      <w:r>
        <w:t>Обн</w:t>
      </w:r>
      <w:proofErr w:type="spellEnd"/>
      <w:r>
        <w:t>. ДВ бр. 13 от 16 Февруари 2016 г., доп. ДВ бр. 34 от 3 Май 2016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7F7"/>
    <w:multiLevelType w:val="multilevel"/>
    <w:tmpl w:val="750A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F72AFC"/>
    <w:multiLevelType w:val="multilevel"/>
    <w:tmpl w:val="94AE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454E8"/>
    <w:multiLevelType w:val="hybridMultilevel"/>
    <w:tmpl w:val="FBDCF220"/>
    <w:lvl w:ilvl="0" w:tplc="04020011">
      <w:start w:val="1"/>
      <w:numFmt w:val="decimal"/>
      <w:lvlText w:val="%1)"/>
      <w:lvlJc w:val="left"/>
      <w:pPr>
        <w:ind w:left="900" w:hanging="360"/>
      </w:pPr>
      <w:rPr>
        <w:rFonts w:cs="Times New Roman"/>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4">
    <w:nsid w:val="17177314"/>
    <w:multiLevelType w:val="hybridMultilevel"/>
    <w:tmpl w:val="86A01384"/>
    <w:lvl w:ilvl="0" w:tplc="7FC8A26C">
      <w:start w:val="1"/>
      <w:numFmt w:val="bullet"/>
      <w:pStyle w:val="Heading2"/>
      <w:lvlText w:val=""/>
      <w:lvlJc w:val="left"/>
      <w:pPr>
        <w:ind w:left="36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D851CD4"/>
    <w:multiLevelType w:val="multilevel"/>
    <w:tmpl w:val="5090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D43A74"/>
    <w:multiLevelType w:val="multilevel"/>
    <w:tmpl w:val="7194B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091380"/>
    <w:multiLevelType w:val="multilevel"/>
    <w:tmpl w:val="79C8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2F0064"/>
    <w:multiLevelType w:val="hybridMultilevel"/>
    <w:tmpl w:val="5D304F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4A85BBA"/>
    <w:multiLevelType w:val="multilevel"/>
    <w:tmpl w:val="646C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6676E5"/>
    <w:multiLevelType w:val="hybridMultilevel"/>
    <w:tmpl w:val="2CC02F28"/>
    <w:lvl w:ilvl="0" w:tplc="5F303A76">
      <w:start w:val="1"/>
      <w:numFmt w:val="bullet"/>
      <w:lvlText w:val="–"/>
      <w:lvlJc w:val="left"/>
      <w:pPr>
        <w:ind w:left="1068"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11">
    <w:nsid w:val="4C8C5CE9"/>
    <w:multiLevelType w:val="multilevel"/>
    <w:tmpl w:val="32D6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53133932"/>
    <w:multiLevelType w:val="multilevel"/>
    <w:tmpl w:val="EA12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E252DC"/>
    <w:multiLevelType w:val="multilevel"/>
    <w:tmpl w:val="0A6A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6F0475"/>
    <w:multiLevelType w:val="multilevel"/>
    <w:tmpl w:val="5DB8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1F5923"/>
    <w:multiLevelType w:val="hybridMultilevel"/>
    <w:tmpl w:val="DB0020F2"/>
    <w:lvl w:ilvl="0" w:tplc="0402000F">
      <w:start w:val="4"/>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6044558F"/>
    <w:multiLevelType w:val="multilevel"/>
    <w:tmpl w:val="50CE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516F59"/>
    <w:multiLevelType w:val="hybridMultilevel"/>
    <w:tmpl w:val="D84ED40C"/>
    <w:lvl w:ilvl="0" w:tplc="04020011">
      <w:start w:val="1"/>
      <w:numFmt w:val="decimal"/>
      <w:lvlText w:val="%1)"/>
      <w:lvlJc w:val="left"/>
      <w:pPr>
        <w:tabs>
          <w:tab w:val="num" w:pos="720"/>
        </w:tabs>
        <w:ind w:left="720" w:hanging="360"/>
      </w:pPr>
      <w:rPr>
        <w:rFonts w:cs="Times New Roman"/>
      </w:rPr>
    </w:lvl>
    <w:lvl w:ilvl="1" w:tplc="0402000F">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19">
    <w:nsid w:val="6887553F"/>
    <w:multiLevelType w:val="multilevel"/>
    <w:tmpl w:val="1F74EC18"/>
    <w:lvl w:ilvl="0">
      <w:start w:val="1"/>
      <w:numFmt w:val="bullet"/>
      <w:lvlText w:val="¬"/>
      <w:lvlJc w:val="left"/>
      <w:pPr>
        <w:ind w:left="360" w:hanging="360"/>
      </w:pPr>
      <w:rPr>
        <w:rFonts w:ascii="Calibri" w:hAnsi="Calibri" w:hint="default"/>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68B379E3"/>
    <w:multiLevelType w:val="multilevel"/>
    <w:tmpl w:val="A72C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49010C"/>
    <w:multiLevelType w:val="hybridMultilevel"/>
    <w:tmpl w:val="9D90210A"/>
    <w:lvl w:ilvl="0" w:tplc="E102CF60">
      <w:start w:val="1"/>
      <w:numFmt w:val="bullet"/>
      <w:lvlText w:val=""/>
      <w:lvlJc w:val="left"/>
      <w:pPr>
        <w:ind w:left="1428" w:hanging="360"/>
      </w:pPr>
      <w:rPr>
        <w:rFonts w:ascii="Symbol" w:hAnsi="Symbol" w:hint="default"/>
        <w:color w:val="auto"/>
      </w:rPr>
    </w:lvl>
    <w:lvl w:ilvl="1" w:tplc="04020003">
      <w:start w:val="1"/>
      <w:numFmt w:val="bullet"/>
      <w:lvlText w:val="o"/>
      <w:lvlJc w:val="left"/>
      <w:pPr>
        <w:ind w:left="2148" w:hanging="360"/>
      </w:pPr>
      <w:rPr>
        <w:rFonts w:ascii="Courier New" w:hAnsi="Courier New" w:cs="Times New Roman"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cs="Times New Roman"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cs="Times New Roman" w:hint="default"/>
      </w:rPr>
    </w:lvl>
    <w:lvl w:ilvl="8" w:tplc="04020005">
      <w:start w:val="1"/>
      <w:numFmt w:val="bullet"/>
      <w:lvlText w:val=""/>
      <w:lvlJc w:val="left"/>
      <w:pPr>
        <w:ind w:left="7188" w:hanging="360"/>
      </w:pPr>
      <w:rPr>
        <w:rFonts w:ascii="Wingdings" w:hAnsi="Wingdings" w:hint="default"/>
      </w:rPr>
    </w:lvl>
  </w:abstractNum>
  <w:num w:numId="1">
    <w:abstractNumId w:val="4"/>
  </w:num>
  <w:num w:numId="2">
    <w:abstractNumId w:val="12"/>
  </w:num>
  <w:num w:numId="3">
    <w:abstractNumId w:val="5"/>
  </w:num>
  <w:num w:numId="4">
    <w:abstractNumId w:val="20"/>
  </w:num>
  <w:num w:numId="5">
    <w:abstractNumId w:val="1"/>
  </w:num>
  <w:num w:numId="6">
    <w:abstractNumId w:val="15"/>
  </w:num>
  <w:num w:numId="7">
    <w:abstractNumId w:val="6"/>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lvlOverride w:ilvl="2"/>
    <w:lvlOverride w:ilvl="3"/>
    <w:lvlOverride w:ilvl="4"/>
    <w:lvlOverride w:ilvl="5"/>
    <w:lvlOverride w:ilvl="6"/>
    <w:lvlOverride w:ilvl="7"/>
    <w:lvlOverride w:ilvl="8"/>
  </w:num>
  <w:num w:numId="13">
    <w:abstractNumId w:val="7"/>
  </w:num>
  <w:num w:numId="14">
    <w:abstractNumId w:val="0"/>
  </w:num>
  <w:num w:numId="15">
    <w:abstractNumId w:val="17"/>
  </w:num>
  <w:num w:numId="16">
    <w:abstractNumId w:val="11"/>
  </w:num>
  <w:num w:numId="17">
    <w:abstractNumId w:val="14"/>
  </w:num>
  <w:num w:numId="18">
    <w:abstractNumId w:val="13"/>
  </w:num>
  <w:num w:numId="19">
    <w:abstractNumId w:val="2"/>
  </w:num>
  <w:num w:numId="20">
    <w:abstractNumId w:val="9"/>
  </w:num>
  <w:num w:numId="21">
    <w:abstractNumId w:val="8"/>
  </w:num>
  <w:num w:numId="2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E5"/>
    <w:rsid w:val="00000046"/>
    <w:rsid w:val="000011E1"/>
    <w:rsid w:val="00002242"/>
    <w:rsid w:val="0000233A"/>
    <w:rsid w:val="00002687"/>
    <w:rsid w:val="000027A6"/>
    <w:rsid w:val="00002998"/>
    <w:rsid w:val="00002F1F"/>
    <w:rsid w:val="00003DC8"/>
    <w:rsid w:val="00004811"/>
    <w:rsid w:val="00004AD5"/>
    <w:rsid w:val="00004B13"/>
    <w:rsid w:val="000051BA"/>
    <w:rsid w:val="00005575"/>
    <w:rsid w:val="000055B1"/>
    <w:rsid w:val="000059D6"/>
    <w:rsid w:val="00006C12"/>
    <w:rsid w:val="00006D5A"/>
    <w:rsid w:val="00006D5E"/>
    <w:rsid w:val="000077B1"/>
    <w:rsid w:val="00007D37"/>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BB2"/>
    <w:rsid w:val="00014FCA"/>
    <w:rsid w:val="00015120"/>
    <w:rsid w:val="00015393"/>
    <w:rsid w:val="00015B3F"/>
    <w:rsid w:val="00016676"/>
    <w:rsid w:val="0001691E"/>
    <w:rsid w:val="0001699F"/>
    <w:rsid w:val="00016B77"/>
    <w:rsid w:val="00016DAB"/>
    <w:rsid w:val="00017A70"/>
    <w:rsid w:val="00017A85"/>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F3"/>
    <w:rsid w:val="00025F1B"/>
    <w:rsid w:val="00026447"/>
    <w:rsid w:val="000266DB"/>
    <w:rsid w:val="0002697A"/>
    <w:rsid w:val="0002714F"/>
    <w:rsid w:val="00027428"/>
    <w:rsid w:val="00027781"/>
    <w:rsid w:val="00027A74"/>
    <w:rsid w:val="00027ADB"/>
    <w:rsid w:val="00030200"/>
    <w:rsid w:val="0003056E"/>
    <w:rsid w:val="000315DC"/>
    <w:rsid w:val="000316BF"/>
    <w:rsid w:val="00031E1E"/>
    <w:rsid w:val="000321DE"/>
    <w:rsid w:val="000324E6"/>
    <w:rsid w:val="000325BB"/>
    <w:rsid w:val="00032CE7"/>
    <w:rsid w:val="0003317A"/>
    <w:rsid w:val="00033BB9"/>
    <w:rsid w:val="00033E0C"/>
    <w:rsid w:val="00034AB9"/>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C71"/>
    <w:rsid w:val="00040DF8"/>
    <w:rsid w:val="00040FA6"/>
    <w:rsid w:val="000416A5"/>
    <w:rsid w:val="00041833"/>
    <w:rsid w:val="00041D31"/>
    <w:rsid w:val="0004287B"/>
    <w:rsid w:val="00042B49"/>
    <w:rsid w:val="00043878"/>
    <w:rsid w:val="000443EA"/>
    <w:rsid w:val="00045065"/>
    <w:rsid w:val="000452B9"/>
    <w:rsid w:val="0004589C"/>
    <w:rsid w:val="00045D18"/>
    <w:rsid w:val="000461C6"/>
    <w:rsid w:val="00046323"/>
    <w:rsid w:val="0004692C"/>
    <w:rsid w:val="000469EE"/>
    <w:rsid w:val="00046FFF"/>
    <w:rsid w:val="00047AA8"/>
    <w:rsid w:val="000500D8"/>
    <w:rsid w:val="00050228"/>
    <w:rsid w:val="000506EA"/>
    <w:rsid w:val="0005115F"/>
    <w:rsid w:val="000511A3"/>
    <w:rsid w:val="000511D2"/>
    <w:rsid w:val="0005124D"/>
    <w:rsid w:val="000522D2"/>
    <w:rsid w:val="000527F3"/>
    <w:rsid w:val="00053D9C"/>
    <w:rsid w:val="000555E8"/>
    <w:rsid w:val="000557DB"/>
    <w:rsid w:val="0005602C"/>
    <w:rsid w:val="00056152"/>
    <w:rsid w:val="0005640E"/>
    <w:rsid w:val="000568CA"/>
    <w:rsid w:val="00060348"/>
    <w:rsid w:val="00061042"/>
    <w:rsid w:val="00061AD5"/>
    <w:rsid w:val="00061B49"/>
    <w:rsid w:val="00061E61"/>
    <w:rsid w:val="000628B2"/>
    <w:rsid w:val="00062B66"/>
    <w:rsid w:val="00062E84"/>
    <w:rsid w:val="00063258"/>
    <w:rsid w:val="000632AE"/>
    <w:rsid w:val="00063305"/>
    <w:rsid w:val="00063F9D"/>
    <w:rsid w:val="0006473F"/>
    <w:rsid w:val="00065049"/>
    <w:rsid w:val="00065080"/>
    <w:rsid w:val="00065342"/>
    <w:rsid w:val="0006753C"/>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F74"/>
    <w:rsid w:val="00077261"/>
    <w:rsid w:val="0007766D"/>
    <w:rsid w:val="00080FDF"/>
    <w:rsid w:val="00081285"/>
    <w:rsid w:val="000812A8"/>
    <w:rsid w:val="00082490"/>
    <w:rsid w:val="000824A1"/>
    <w:rsid w:val="000824FE"/>
    <w:rsid w:val="00082578"/>
    <w:rsid w:val="00082838"/>
    <w:rsid w:val="00082DCF"/>
    <w:rsid w:val="00083511"/>
    <w:rsid w:val="00083A5C"/>
    <w:rsid w:val="00083B8C"/>
    <w:rsid w:val="00084435"/>
    <w:rsid w:val="00084935"/>
    <w:rsid w:val="0008534F"/>
    <w:rsid w:val="0008544D"/>
    <w:rsid w:val="00085E19"/>
    <w:rsid w:val="000861A4"/>
    <w:rsid w:val="00086C1B"/>
    <w:rsid w:val="00087829"/>
    <w:rsid w:val="00087B25"/>
    <w:rsid w:val="000900B2"/>
    <w:rsid w:val="00090F97"/>
    <w:rsid w:val="00091232"/>
    <w:rsid w:val="000921A0"/>
    <w:rsid w:val="00092449"/>
    <w:rsid w:val="0009355C"/>
    <w:rsid w:val="0009411C"/>
    <w:rsid w:val="000944D7"/>
    <w:rsid w:val="0009468A"/>
    <w:rsid w:val="00094C9D"/>
    <w:rsid w:val="00095A13"/>
    <w:rsid w:val="00095F8A"/>
    <w:rsid w:val="00096194"/>
    <w:rsid w:val="00096D53"/>
    <w:rsid w:val="00096FBE"/>
    <w:rsid w:val="00097241"/>
    <w:rsid w:val="0009732F"/>
    <w:rsid w:val="00097A4D"/>
    <w:rsid w:val="000A13D4"/>
    <w:rsid w:val="000A159F"/>
    <w:rsid w:val="000A1635"/>
    <w:rsid w:val="000A1E9D"/>
    <w:rsid w:val="000A2065"/>
    <w:rsid w:val="000A2102"/>
    <w:rsid w:val="000A246F"/>
    <w:rsid w:val="000A2656"/>
    <w:rsid w:val="000A3B05"/>
    <w:rsid w:val="000A3E0B"/>
    <w:rsid w:val="000A3F40"/>
    <w:rsid w:val="000A449E"/>
    <w:rsid w:val="000A47D7"/>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21C6"/>
    <w:rsid w:val="000B25C6"/>
    <w:rsid w:val="000B2675"/>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D06"/>
    <w:rsid w:val="000C5121"/>
    <w:rsid w:val="000C54E4"/>
    <w:rsid w:val="000C5D0D"/>
    <w:rsid w:val="000C5D24"/>
    <w:rsid w:val="000C6499"/>
    <w:rsid w:val="000C65A4"/>
    <w:rsid w:val="000C7003"/>
    <w:rsid w:val="000C776F"/>
    <w:rsid w:val="000C7C6B"/>
    <w:rsid w:val="000C7CFE"/>
    <w:rsid w:val="000D054C"/>
    <w:rsid w:val="000D0951"/>
    <w:rsid w:val="000D0E73"/>
    <w:rsid w:val="000D0F5B"/>
    <w:rsid w:val="000D157A"/>
    <w:rsid w:val="000D1AE0"/>
    <w:rsid w:val="000D1BAA"/>
    <w:rsid w:val="000D28A3"/>
    <w:rsid w:val="000D2EEC"/>
    <w:rsid w:val="000D3481"/>
    <w:rsid w:val="000D3B97"/>
    <w:rsid w:val="000D3CFD"/>
    <w:rsid w:val="000D4193"/>
    <w:rsid w:val="000D43FC"/>
    <w:rsid w:val="000D46C5"/>
    <w:rsid w:val="000D4D96"/>
    <w:rsid w:val="000D5FE3"/>
    <w:rsid w:val="000D66C4"/>
    <w:rsid w:val="000D6F64"/>
    <w:rsid w:val="000D7056"/>
    <w:rsid w:val="000D7A6E"/>
    <w:rsid w:val="000D7E99"/>
    <w:rsid w:val="000E0517"/>
    <w:rsid w:val="000E0B13"/>
    <w:rsid w:val="000E0C6C"/>
    <w:rsid w:val="000E0DF1"/>
    <w:rsid w:val="000E1B01"/>
    <w:rsid w:val="000E1B3B"/>
    <w:rsid w:val="000E2BCA"/>
    <w:rsid w:val="000E3E41"/>
    <w:rsid w:val="000E3E5B"/>
    <w:rsid w:val="000E46B5"/>
    <w:rsid w:val="000E47AA"/>
    <w:rsid w:val="000E562F"/>
    <w:rsid w:val="000E5640"/>
    <w:rsid w:val="000E67B1"/>
    <w:rsid w:val="000E7037"/>
    <w:rsid w:val="000E79A8"/>
    <w:rsid w:val="000F08AA"/>
    <w:rsid w:val="000F098E"/>
    <w:rsid w:val="000F0EEA"/>
    <w:rsid w:val="000F11E8"/>
    <w:rsid w:val="000F18F0"/>
    <w:rsid w:val="000F1958"/>
    <w:rsid w:val="000F244F"/>
    <w:rsid w:val="000F2A91"/>
    <w:rsid w:val="000F2E3E"/>
    <w:rsid w:val="000F2EDA"/>
    <w:rsid w:val="000F300E"/>
    <w:rsid w:val="000F311A"/>
    <w:rsid w:val="000F37B0"/>
    <w:rsid w:val="000F3B5C"/>
    <w:rsid w:val="000F44E7"/>
    <w:rsid w:val="000F465C"/>
    <w:rsid w:val="000F4672"/>
    <w:rsid w:val="000F4723"/>
    <w:rsid w:val="000F4BD4"/>
    <w:rsid w:val="000F50A6"/>
    <w:rsid w:val="000F6B38"/>
    <w:rsid w:val="000F76CC"/>
    <w:rsid w:val="000F78CC"/>
    <w:rsid w:val="000F79F3"/>
    <w:rsid w:val="00100529"/>
    <w:rsid w:val="001006D8"/>
    <w:rsid w:val="00100E66"/>
    <w:rsid w:val="00100F2D"/>
    <w:rsid w:val="0010154A"/>
    <w:rsid w:val="001015CA"/>
    <w:rsid w:val="001017D3"/>
    <w:rsid w:val="00101FAA"/>
    <w:rsid w:val="001026EA"/>
    <w:rsid w:val="001027C6"/>
    <w:rsid w:val="00102B4D"/>
    <w:rsid w:val="00103449"/>
    <w:rsid w:val="00104287"/>
    <w:rsid w:val="0010483E"/>
    <w:rsid w:val="00105696"/>
    <w:rsid w:val="001056AC"/>
    <w:rsid w:val="00105795"/>
    <w:rsid w:val="00106947"/>
    <w:rsid w:val="00106FC3"/>
    <w:rsid w:val="00107003"/>
    <w:rsid w:val="001072B6"/>
    <w:rsid w:val="00107D33"/>
    <w:rsid w:val="00110598"/>
    <w:rsid w:val="00110845"/>
    <w:rsid w:val="001110A5"/>
    <w:rsid w:val="001110D9"/>
    <w:rsid w:val="001118C6"/>
    <w:rsid w:val="00111905"/>
    <w:rsid w:val="00111FEE"/>
    <w:rsid w:val="0011207E"/>
    <w:rsid w:val="001124FE"/>
    <w:rsid w:val="001128CE"/>
    <w:rsid w:val="00112910"/>
    <w:rsid w:val="00113668"/>
    <w:rsid w:val="00113705"/>
    <w:rsid w:val="00113AF8"/>
    <w:rsid w:val="0011441F"/>
    <w:rsid w:val="00114538"/>
    <w:rsid w:val="001148EC"/>
    <w:rsid w:val="00115158"/>
    <w:rsid w:val="0011623F"/>
    <w:rsid w:val="001163CE"/>
    <w:rsid w:val="001169E1"/>
    <w:rsid w:val="00117732"/>
    <w:rsid w:val="00117C34"/>
    <w:rsid w:val="00117D2F"/>
    <w:rsid w:val="001211D8"/>
    <w:rsid w:val="001215B9"/>
    <w:rsid w:val="00121B7F"/>
    <w:rsid w:val="00123A50"/>
    <w:rsid w:val="00123AEC"/>
    <w:rsid w:val="001244FF"/>
    <w:rsid w:val="00124BE7"/>
    <w:rsid w:val="00125067"/>
    <w:rsid w:val="001259AA"/>
    <w:rsid w:val="00125C13"/>
    <w:rsid w:val="001265DE"/>
    <w:rsid w:val="00127C50"/>
    <w:rsid w:val="00127E33"/>
    <w:rsid w:val="00127E6E"/>
    <w:rsid w:val="00127F6B"/>
    <w:rsid w:val="00131741"/>
    <w:rsid w:val="00131C44"/>
    <w:rsid w:val="00131D5C"/>
    <w:rsid w:val="00132145"/>
    <w:rsid w:val="001332DB"/>
    <w:rsid w:val="0013357C"/>
    <w:rsid w:val="001339F4"/>
    <w:rsid w:val="00133CB7"/>
    <w:rsid w:val="001342BF"/>
    <w:rsid w:val="001349EC"/>
    <w:rsid w:val="00135280"/>
    <w:rsid w:val="001353B4"/>
    <w:rsid w:val="00135787"/>
    <w:rsid w:val="001357F9"/>
    <w:rsid w:val="00135CE0"/>
    <w:rsid w:val="00136035"/>
    <w:rsid w:val="0013615B"/>
    <w:rsid w:val="00136575"/>
    <w:rsid w:val="00136AC9"/>
    <w:rsid w:val="00137868"/>
    <w:rsid w:val="00137CE4"/>
    <w:rsid w:val="00137D83"/>
    <w:rsid w:val="001419D6"/>
    <w:rsid w:val="00141A24"/>
    <w:rsid w:val="00141A48"/>
    <w:rsid w:val="001422D1"/>
    <w:rsid w:val="00142310"/>
    <w:rsid w:val="00143FDD"/>
    <w:rsid w:val="00144D87"/>
    <w:rsid w:val="00145260"/>
    <w:rsid w:val="00145521"/>
    <w:rsid w:val="00145BB4"/>
    <w:rsid w:val="00145ECA"/>
    <w:rsid w:val="00146305"/>
    <w:rsid w:val="00146AE0"/>
    <w:rsid w:val="00146CC1"/>
    <w:rsid w:val="00146DC4"/>
    <w:rsid w:val="001479AA"/>
    <w:rsid w:val="00147D3E"/>
    <w:rsid w:val="00150DEA"/>
    <w:rsid w:val="00150F7B"/>
    <w:rsid w:val="001511E9"/>
    <w:rsid w:val="0015203C"/>
    <w:rsid w:val="001528CE"/>
    <w:rsid w:val="00152F70"/>
    <w:rsid w:val="0015350B"/>
    <w:rsid w:val="00153B56"/>
    <w:rsid w:val="00154F95"/>
    <w:rsid w:val="0015515D"/>
    <w:rsid w:val="00155254"/>
    <w:rsid w:val="00155DF1"/>
    <w:rsid w:val="0015666D"/>
    <w:rsid w:val="00157E5C"/>
    <w:rsid w:val="00160501"/>
    <w:rsid w:val="001610C7"/>
    <w:rsid w:val="00161385"/>
    <w:rsid w:val="001617C0"/>
    <w:rsid w:val="00161917"/>
    <w:rsid w:val="00161C49"/>
    <w:rsid w:val="00161E2C"/>
    <w:rsid w:val="0016215C"/>
    <w:rsid w:val="00162241"/>
    <w:rsid w:val="00162278"/>
    <w:rsid w:val="001625E8"/>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D35"/>
    <w:rsid w:val="00171070"/>
    <w:rsid w:val="001710F5"/>
    <w:rsid w:val="0017136C"/>
    <w:rsid w:val="001713A2"/>
    <w:rsid w:val="00171902"/>
    <w:rsid w:val="001719D2"/>
    <w:rsid w:val="00172595"/>
    <w:rsid w:val="00172763"/>
    <w:rsid w:val="001729C1"/>
    <w:rsid w:val="00173980"/>
    <w:rsid w:val="00174401"/>
    <w:rsid w:val="00174A14"/>
    <w:rsid w:val="00174E65"/>
    <w:rsid w:val="00175A4D"/>
    <w:rsid w:val="00176C49"/>
    <w:rsid w:val="001777A5"/>
    <w:rsid w:val="001778A4"/>
    <w:rsid w:val="00177CBE"/>
    <w:rsid w:val="00177FD0"/>
    <w:rsid w:val="00180824"/>
    <w:rsid w:val="00180FA2"/>
    <w:rsid w:val="0018119F"/>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CD8"/>
    <w:rsid w:val="00187F7D"/>
    <w:rsid w:val="00190191"/>
    <w:rsid w:val="00191679"/>
    <w:rsid w:val="001917F8"/>
    <w:rsid w:val="00191996"/>
    <w:rsid w:val="00191DD3"/>
    <w:rsid w:val="0019201D"/>
    <w:rsid w:val="0019241F"/>
    <w:rsid w:val="001926C8"/>
    <w:rsid w:val="001926DF"/>
    <w:rsid w:val="00192791"/>
    <w:rsid w:val="00192E36"/>
    <w:rsid w:val="00193704"/>
    <w:rsid w:val="00193B23"/>
    <w:rsid w:val="0019412D"/>
    <w:rsid w:val="001946E0"/>
    <w:rsid w:val="00195AC2"/>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953"/>
    <w:rsid w:val="001A3C79"/>
    <w:rsid w:val="001A3D60"/>
    <w:rsid w:val="001A3DDC"/>
    <w:rsid w:val="001A4244"/>
    <w:rsid w:val="001A44FA"/>
    <w:rsid w:val="001A52DC"/>
    <w:rsid w:val="001A581C"/>
    <w:rsid w:val="001A66EE"/>
    <w:rsid w:val="001A6B66"/>
    <w:rsid w:val="001A6E09"/>
    <w:rsid w:val="001A6F89"/>
    <w:rsid w:val="001A763C"/>
    <w:rsid w:val="001A7B27"/>
    <w:rsid w:val="001B003B"/>
    <w:rsid w:val="001B0DCF"/>
    <w:rsid w:val="001B1260"/>
    <w:rsid w:val="001B1D07"/>
    <w:rsid w:val="001B2708"/>
    <w:rsid w:val="001B2E7E"/>
    <w:rsid w:val="001B34B4"/>
    <w:rsid w:val="001B467B"/>
    <w:rsid w:val="001B476A"/>
    <w:rsid w:val="001B493B"/>
    <w:rsid w:val="001B59CF"/>
    <w:rsid w:val="001B5F13"/>
    <w:rsid w:val="001B7715"/>
    <w:rsid w:val="001B791F"/>
    <w:rsid w:val="001B7A99"/>
    <w:rsid w:val="001C0179"/>
    <w:rsid w:val="001C033D"/>
    <w:rsid w:val="001C0848"/>
    <w:rsid w:val="001C0D65"/>
    <w:rsid w:val="001C1193"/>
    <w:rsid w:val="001C220B"/>
    <w:rsid w:val="001C26A0"/>
    <w:rsid w:val="001C2E5A"/>
    <w:rsid w:val="001C3510"/>
    <w:rsid w:val="001C3DC4"/>
    <w:rsid w:val="001C474D"/>
    <w:rsid w:val="001C47F2"/>
    <w:rsid w:val="001C47F8"/>
    <w:rsid w:val="001C4878"/>
    <w:rsid w:val="001C5349"/>
    <w:rsid w:val="001C576D"/>
    <w:rsid w:val="001C57F1"/>
    <w:rsid w:val="001C65F0"/>
    <w:rsid w:val="001C7D41"/>
    <w:rsid w:val="001D02D0"/>
    <w:rsid w:val="001D083E"/>
    <w:rsid w:val="001D0F1E"/>
    <w:rsid w:val="001D144F"/>
    <w:rsid w:val="001D1BB6"/>
    <w:rsid w:val="001D3075"/>
    <w:rsid w:val="001D36A5"/>
    <w:rsid w:val="001D3BCD"/>
    <w:rsid w:val="001D3D34"/>
    <w:rsid w:val="001D3DBB"/>
    <w:rsid w:val="001D4104"/>
    <w:rsid w:val="001D4206"/>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2550"/>
    <w:rsid w:val="001E2913"/>
    <w:rsid w:val="001E36FD"/>
    <w:rsid w:val="001E373E"/>
    <w:rsid w:val="001E3F9E"/>
    <w:rsid w:val="001E4430"/>
    <w:rsid w:val="001E4545"/>
    <w:rsid w:val="001E478F"/>
    <w:rsid w:val="001E506B"/>
    <w:rsid w:val="001E50CA"/>
    <w:rsid w:val="001E51B1"/>
    <w:rsid w:val="001E69CE"/>
    <w:rsid w:val="001E7133"/>
    <w:rsid w:val="001E7190"/>
    <w:rsid w:val="001E74FA"/>
    <w:rsid w:val="001E7E3F"/>
    <w:rsid w:val="001F0758"/>
    <w:rsid w:val="001F0BE2"/>
    <w:rsid w:val="001F1578"/>
    <w:rsid w:val="001F15EB"/>
    <w:rsid w:val="001F2278"/>
    <w:rsid w:val="001F2607"/>
    <w:rsid w:val="001F301E"/>
    <w:rsid w:val="001F3849"/>
    <w:rsid w:val="001F38E6"/>
    <w:rsid w:val="001F3B9F"/>
    <w:rsid w:val="001F3DD7"/>
    <w:rsid w:val="001F4378"/>
    <w:rsid w:val="001F43B5"/>
    <w:rsid w:val="001F443A"/>
    <w:rsid w:val="001F5335"/>
    <w:rsid w:val="001F581A"/>
    <w:rsid w:val="001F61CC"/>
    <w:rsid w:val="001F61F6"/>
    <w:rsid w:val="001F658E"/>
    <w:rsid w:val="001F6D7C"/>
    <w:rsid w:val="001F6F8D"/>
    <w:rsid w:val="001F7517"/>
    <w:rsid w:val="001F7ACD"/>
    <w:rsid w:val="001F7D6E"/>
    <w:rsid w:val="002005D6"/>
    <w:rsid w:val="00200A5A"/>
    <w:rsid w:val="002015C3"/>
    <w:rsid w:val="00201924"/>
    <w:rsid w:val="00201BD2"/>
    <w:rsid w:val="00202659"/>
    <w:rsid w:val="00203ABE"/>
    <w:rsid w:val="00203FE8"/>
    <w:rsid w:val="00204613"/>
    <w:rsid w:val="00204CCF"/>
    <w:rsid w:val="0020533E"/>
    <w:rsid w:val="00205936"/>
    <w:rsid w:val="00206392"/>
    <w:rsid w:val="00206510"/>
    <w:rsid w:val="00207868"/>
    <w:rsid w:val="002102C0"/>
    <w:rsid w:val="00210511"/>
    <w:rsid w:val="00210DB8"/>
    <w:rsid w:val="0021193B"/>
    <w:rsid w:val="0021240F"/>
    <w:rsid w:val="00212550"/>
    <w:rsid w:val="002131F4"/>
    <w:rsid w:val="0021369A"/>
    <w:rsid w:val="0021426F"/>
    <w:rsid w:val="00214D24"/>
    <w:rsid w:val="002157B6"/>
    <w:rsid w:val="002157B7"/>
    <w:rsid w:val="00215BEE"/>
    <w:rsid w:val="00215CE8"/>
    <w:rsid w:val="00216268"/>
    <w:rsid w:val="00216FEE"/>
    <w:rsid w:val="002176E2"/>
    <w:rsid w:val="00217DF8"/>
    <w:rsid w:val="002201D8"/>
    <w:rsid w:val="00220581"/>
    <w:rsid w:val="002206F2"/>
    <w:rsid w:val="00220F26"/>
    <w:rsid w:val="0022192B"/>
    <w:rsid w:val="00221967"/>
    <w:rsid w:val="0022199D"/>
    <w:rsid w:val="00222330"/>
    <w:rsid w:val="00222A92"/>
    <w:rsid w:val="0022374A"/>
    <w:rsid w:val="00223914"/>
    <w:rsid w:val="002240DE"/>
    <w:rsid w:val="00224138"/>
    <w:rsid w:val="002243D5"/>
    <w:rsid w:val="00224552"/>
    <w:rsid w:val="002257A5"/>
    <w:rsid w:val="00225E88"/>
    <w:rsid w:val="00226067"/>
    <w:rsid w:val="002267F4"/>
    <w:rsid w:val="002270FF"/>
    <w:rsid w:val="0022715D"/>
    <w:rsid w:val="0022792B"/>
    <w:rsid w:val="00227D1A"/>
    <w:rsid w:val="002300FB"/>
    <w:rsid w:val="0023078A"/>
    <w:rsid w:val="00230A7A"/>
    <w:rsid w:val="0023116B"/>
    <w:rsid w:val="00231CE8"/>
    <w:rsid w:val="00231D49"/>
    <w:rsid w:val="00234023"/>
    <w:rsid w:val="002347AD"/>
    <w:rsid w:val="002358E3"/>
    <w:rsid w:val="00236D36"/>
    <w:rsid w:val="00236F72"/>
    <w:rsid w:val="002409A8"/>
    <w:rsid w:val="00241217"/>
    <w:rsid w:val="00241CB4"/>
    <w:rsid w:val="00242941"/>
    <w:rsid w:val="00242AED"/>
    <w:rsid w:val="002435EA"/>
    <w:rsid w:val="00244299"/>
    <w:rsid w:val="002449D9"/>
    <w:rsid w:val="002449ED"/>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FD4"/>
    <w:rsid w:val="00251814"/>
    <w:rsid w:val="00251B38"/>
    <w:rsid w:val="00251DF9"/>
    <w:rsid w:val="00253BC9"/>
    <w:rsid w:val="002541A5"/>
    <w:rsid w:val="00254606"/>
    <w:rsid w:val="002549DE"/>
    <w:rsid w:val="00254B2A"/>
    <w:rsid w:val="00254FF1"/>
    <w:rsid w:val="00255EC2"/>
    <w:rsid w:val="00256417"/>
    <w:rsid w:val="00256576"/>
    <w:rsid w:val="002566FF"/>
    <w:rsid w:val="00256B9B"/>
    <w:rsid w:val="00256F1B"/>
    <w:rsid w:val="00257430"/>
    <w:rsid w:val="0025750A"/>
    <w:rsid w:val="0025783B"/>
    <w:rsid w:val="00257B15"/>
    <w:rsid w:val="00260269"/>
    <w:rsid w:val="00260AA5"/>
    <w:rsid w:val="0026113E"/>
    <w:rsid w:val="00261ED6"/>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702FF"/>
    <w:rsid w:val="0027051A"/>
    <w:rsid w:val="002709C3"/>
    <w:rsid w:val="002714E6"/>
    <w:rsid w:val="00271595"/>
    <w:rsid w:val="002720F8"/>
    <w:rsid w:val="00272484"/>
    <w:rsid w:val="00272727"/>
    <w:rsid w:val="00272D46"/>
    <w:rsid w:val="00273881"/>
    <w:rsid w:val="002741AC"/>
    <w:rsid w:val="00275389"/>
    <w:rsid w:val="00275438"/>
    <w:rsid w:val="00275666"/>
    <w:rsid w:val="00275B8B"/>
    <w:rsid w:val="00275E68"/>
    <w:rsid w:val="00276A3E"/>
    <w:rsid w:val="00276DA9"/>
    <w:rsid w:val="00277587"/>
    <w:rsid w:val="002776C6"/>
    <w:rsid w:val="0027785F"/>
    <w:rsid w:val="00277A0C"/>
    <w:rsid w:val="00277DD8"/>
    <w:rsid w:val="00280D05"/>
    <w:rsid w:val="002812B6"/>
    <w:rsid w:val="002812C3"/>
    <w:rsid w:val="00281771"/>
    <w:rsid w:val="00281AB9"/>
    <w:rsid w:val="00282155"/>
    <w:rsid w:val="00282929"/>
    <w:rsid w:val="00282B8E"/>
    <w:rsid w:val="00282F35"/>
    <w:rsid w:val="00283B60"/>
    <w:rsid w:val="00283C0E"/>
    <w:rsid w:val="00283C3C"/>
    <w:rsid w:val="0028412F"/>
    <w:rsid w:val="0028444C"/>
    <w:rsid w:val="00284622"/>
    <w:rsid w:val="002851CA"/>
    <w:rsid w:val="002852EF"/>
    <w:rsid w:val="0028534C"/>
    <w:rsid w:val="002857F9"/>
    <w:rsid w:val="00285937"/>
    <w:rsid w:val="0028602D"/>
    <w:rsid w:val="00286126"/>
    <w:rsid w:val="0028666D"/>
    <w:rsid w:val="002874C1"/>
    <w:rsid w:val="00287706"/>
    <w:rsid w:val="00287753"/>
    <w:rsid w:val="00290B73"/>
    <w:rsid w:val="002912EC"/>
    <w:rsid w:val="00291D50"/>
    <w:rsid w:val="00291F7C"/>
    <w:rsid w:val="00292092"/>
    <w:rsid w:val="0029290F"/>
    <w:rsid w:val="00292C1A"/>
    <w:rsid w:val="00292C27"/>
    <w:rsid w:val="00292D90"/>
    <w:rsid w:val="00292FC9"/>
    <w:rsid w:val="002935D3"/>
    <w:rsid w:val="00293AC2"/>
    <w:rsid w:val="00293E6E"/>
    <w:rsid w:val="002949EC"/>
    <w:rsid w:val="00294B0A"/>
    <w:rsid w:val="0029564F"/>
    <w:rsid w:val="00295ECF"/>
    <w:rsid w:val="002963B2"/>
    <w:rsid w:val="00297127"/>
    <w:rsid w:val="0029721A"/>
    <w:rsid w:val="00297247"/>
    <w:rsid w:val="0029743C"/>
    <w:rsid w:val="00297B1B"/>
    <w:rsid w:val="002A0B04"/>
    <w:rsid w:val="002A1AC6"/>
    <w:rsid w:val="002A1E7C"/>
    <w:rsid w:val="002A28EA"/>
    <w:rsid w:val="002A28F8"/>
    <w:rsid w:val="002A3E52"/>
    <w:rsid w:val="002A3F53"/>
    <w:rsid w:val="002A49D7"/>
    <w:rsid w:val="002A5028"/>
    <w:rsid w:val="002A5F1A"/>
    <w:rsid w:val="002A6167"/>
    <w:rsid w:val="002A63DF"/>
    <w:rsid w:val="002A6E37"/>
    <w:rsid w:val="002A7715"/>
    <w:rsid w:val="002A7B9E"/>
    <w:rsid w:val="002A7D71"/>
    <w:rsid w:val="002B04F0"/>
    <w:rsid w:val="002B05A8"/>
    <w:rsid w:val="002B2061"/>
    <w:rsid w:val="002B2357"/>
    <w:rsid w:val="002B26EC"/>
    <w:rsid w:val="002B2F11"/>
    <w:rsid w:val="002B2F6F"/>
    <w:rsid w:val="002B3B3C"/>
    <w:rsid w:val="002B3DF3"/>
    <w:rsid w:val="002B3EEC"/>
    <w:rsid w:val="002B4160"/>
    <w:rsid w:val="002B50CA"/>
    <w:rsid w:val="002B56BA"/>
    <w:rsid w:val="002B5F18"/>
    <w:rsid w:val="002B65A8"/>
    <w:rsid w:val="002B712D"/>
    <w:rsid w:val="002B7A1A"/>
    <w:rsid w:val="002C0164"/>
    <w:rsid w:val="002C07BA"/>
    <w:rsid w:val="002C0B79"/>
    <w:rsid w:val="002C1A2C"/>
    <w:rsid w:val="002C1B97"/>
    <w:rsid w:val="002C1F26"/>
    <w:rsid w:val="002C2442"/>
    <w:rsid w:val="002C2670"/>
    <w:rsid w:val="002C33DA"/>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376"/>
    <w:rsid w:val="002D2830"/>
    <w:rsid w:val="002D2F83"/>
    <w:rsid w:val="002D3419"/>
    <w:rsid w:val="002D48F1"/>
    <w:rsid w:val="002D5803"/>
    <w:rsid w:val="002D5F68"/>
    <w:rsid w:val="002D5FF2"/>
    <w:rsid w:val="002D7D8B"/>
    <w:rsid w:val="002E07B2"/>
    <w:rsid w:val="002E1C16"/>
    <w:rsid w:val="002E2A42"/>
    <w:rsid w:val="002E2EEC"/>
    <w:rsid w:val="002E339B"/>
    <w:rsid w:val="002E3B21"/>
    <w:rsid w:val="002E3D08"/>
    <w:rsid w:val="002E3D6F"/>
    <w:rsid w:val="002E3DBB"/>
    <w:rsid w:val="002E3EF2"/>
    <w:rsid w:val="002E4834"/>
    <w:rsid w:val="002E51D7"/>
    <w:rsid w:val="002E52F4"/>
    <w:rsid w:val="002E5569"/>
    <w:rsid w:val="002E58F4"/>
    <w:rsid w:val="002E6927"/>
    <w:rsid w:val="002F0348"/>
    <w:rsid w:val="002F08CF"/>
    <w:rsid w:val="002F09C5"/>
    <w:rsid w:val="002F0D05"/>
    <w:rsid w:val="002F0D1E"/>
    <w:rsid w:val="002F139A"/>
    <w:rsid w:val="002F1AC7"/>
    <w:rsid w:val="002F23CA"/>
    <w:rsid w:val="002F29A9"/>
    <w:rsid w:val="002F2A93"/>
    <w:rsid w:val="002F2B93"/>
    <w:rsid w:val="002F3A4A"/>
    <w:rsid w:val="002F46A9"/>
    <w:rsid w:val="002F4B8E"/>
    <w:rsid w:val="002F50D5"/>
    <w:rsid w:val="002F5818"/>
    <w:rsid w:val="002F61BD"/>
    <w:rsid w:val="002F6453"/>
    <w:rsid w:val="002F69EE"/>
    <w:rsid w:val="002F6F7D"/>
    <w:rsid w:val="003000DD"/>
    <w:rsid w:val="0030047D"/>
    <w:rsid w:val="003005D7"/>
    <w:rsid w:val="00300DE4"/>
    <w:rsid w:val="003014E2"/>
    <w:rsid w:val="0030154F"/>
    <w:rsid w:val="00301BB1"/>
    <w:rsid w:val="00301C23"/>
    <w:rsid w:val="003024AA"/>
    <w:rsid w:val="00302757"/>
    <w:rsid w:val="00302CA3"/>
    <w:rsid w:val="00303BC5"/>
    <w:rsid w:val="00303F68"/>
    <w:rsid w:val="00304510"/>
    <w:rsid w:val="00304C27"/>
    <w:rsid w:val="00304F3E"/>
    <w:rsid w:val="003064B8"/>
    <w:rsid w:val="00306C66"/>
    <w:rsid w:val="00307D87"/>
    <w:rsid w:val="00307EB4"/>
    <w:rsid w:val="00310BC2"/>
    <w:rsid w:val="00310C96"/>
    <w:rsid w:val="00310DE6"/>
    <w:rsid w:val="0031212F"/>
    <w:rsid w:val="0031346B"/>
    <w:rsid w:val="00313D17"/>
    <w:rsid w:val="003144B3"/>
    <w:rsid w:val="0031537C"/>
    <w:rsid w:val="0031633C"/>
    <w:rsid w:val="003177A0"/>
    <w:rsid w:val="003178A7"/>
    <w:rsid w:val="00317D76"/>
    <w:rsid w:val="00317F7D"/>
    <w:rsid w:val="003201D4"/>
    <w:rsid w:val="00320527"/>
    <w:rsid w:val="0032055D"/>
    <w:rsid w:val="003205B9"/>
    <w:rsid w:val="00320A31"/>
    <w:rsid w:val="00320F9B"/>
    <w:rsid w:val="003210EB"/>
    <w:rsid w:val="00321987"/>
    <w:rsid w:val="003239D7"/>
    <w:rsid w:val="0032407D"/>
    <w:rsid w:val="003245F8"/>
    <w:rsid w:val="00324D96"/>
    <w:rsid w:val="00324FA2"/>
    <w:rsid w:val="00325BAC"/>
    <w:rsid w:val="0032614C"/>
    <w:rsid w:val="00326523"/>
    <w:rsid w:val="00326A59"/>
    <w:rsid w:val="003272CE"/>
    <w:rsid w:val="003272EC"/>
    <w:rsid w:val="003274E7"/>
    <w:rsid w:val="003278F9"/>
    <w:rsid w:val="0032790B"/>
    <w:rsid w:val="00330525"/>
    <w:rsid w:val="003305A1"/>
    <w:rsid w:val="00330ABA"/>
    <w:rsid w:val="003334FB"/>
    <w:rsid w:val="00333842"/>
    <w:rsid w:val="00333CF0"/>
    <w:rsid w:val="00333D68"/>
    <w:rsid w:val="00334086"/>
    <w:rsid w:val="00334346"/>
    <w:rsid w:val="003349AA"/>
    <w:rsid w:val="00334A14"/>
    <w:rsid w:val="0033513F"/>
    <w:rsid w:val="003357DD"/>
    <w:rsid w:val="00335831"/>
    <w:rsid w:val="003358A3"/>
    <w:rsid w:val="00335D78"/>
    <w:rsid w:val="003369C8"/>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6BD2"/>
    <w:rsid w:val="00347131"/>
    <w:rsid w:val="003472C4"/>
    <w:rsid w:val="003473C0"/>
    <w:rsid w:val="0034782E"/>
    <w:rsid w:val="00347D40"/>
    <w:rsid w:val="00350CFF"/>
    <w:rsid w:val="00350EFE"/>
    <w:rsid w:val="00350FC4"/>
    <w:rsid w:val="00351650"/>
    <w:rsid w:val="003517B6"/>
    <w:rsid w:val="00352615"/>
    <w:rsid w:val="003528C3"/>
    <w:rsid w:val="00352E8E"/>
    <w:rsid w:val="003530BB"/>
    <w:rsid w:val="003537D2"/>
    <w:rsid w:val="00354273"/>
    <w:rsid w:val="00354912"/>
    <w:rsid w:val="00354E5F"/>
    <w:rsid w:val="0035522B"/>
    <w:rsid w:val="003552F4"/>
    <w:rsid w:val="003555DC"/>
    <w:rsid w:val="0035600B"/>
    <w:rsid w:val="003565B9"/>
    <w:rsid w:val="003569BE"/>
    <w:rsid w:val="00356BA2"/>
    <w:rsid w:val="003573E3"/>
    <w:rsid w:val="0035762E"/>
    <w:rsid w:val="00357B45"/>
    <w:rsid w:val="00357F78"/>
    <w:rsid w:val="003608C0"/>
    <w:rsid w:val="00360A25"/>
    <w:rsid w:val="00361EAC"/>
    <w:rsid w:val="00362003"/>
    <w:rsid w:val="00362601"/>
    <w:rsid w:val="00362D71"/>
    <w:rsid w:val="00362F06"/>
    <w:rsid w:val="003647AB"/>
    <w:rsid w:val="00364C75"/>
    <w:rsid w:val="00364DE0"/>
    <w:rsid w:val="00365363"/>
    <w:rsid w:val="00365407"/>
    <w:rsid w:val="00365E2C"/>
    <w:rsid w:val="003661D6"/>
    <w:rsid w:val="00366A43"/>
    <w:rsid w:val="003673F0"/>
    <w:rsid w:val="0036796C"/>
    <w:rsid w:val="00370993"/>
    <w:rsid w:val="00371AE0"/>
    <w:rsid w:val="00371EFD"/>
    <w:rsid w:val="00371F02"/>
    <w:rsid w:val="003721D6"/>
    <w:rsid w:val="00372A5E"/>
    <w:rsid w:val="00372A8B"/>
    <w:rsid w:val="00372BDE"/>
    <w:rsid w:val="00373B8A"/>
    <w:rsid w:val="00373CCF"/>
    <w:rsid w:val="00374439"/>
    <w:rsid w:val="0037450E"/>
    <w:rsid w:val="00374CE1"/>
    <w:rsid w:val="00375830"/>
    <w:rsid w:val="00375E2B"/>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D87"/>
    <w:rsid w:val="00386626"/>
    <w:rsid w:val="00386C2E"/>
    <w:rsid w:val="00387017"/>
    <w:rsid w:val="00387243"/>
    <w:rsid w:val="00387C51"/>
    <w:rsid w:val="0039025E"/>
    <w:rsid w:val="00390437"/>
    <w:rsid w:val="00390D75"/>
    <w:rsid w:val="00391C34"/>
    <w:rsid w:val="00391DED"/>
    <w:rsid w:val="00391F48"/>
    <w:rsid w:val="00393319"/>
    <w:rsid w:val="00393E6C"/>
    <w:rsid w:val="00394162"/>
    <w:rsid w:val="003952D4"/>
    <w:rsid w:val="003953C4"/>
    <w:rsid w:val="00395461"/>
    <w:rsid w:val="00395F53"/>
    <w:rsid w:val="0039611D"/>
    <w:rsid w:val="00396DD6"/>
    <w:rsid w:val="0039720E"/>
    <w:rsid w:val="003974E6"/>
    <w:rsid w:val="00397A1F"/>
    <w:rsid w:val="00397BFA"/>
    <w:rsid w:val="003A0432"/>
    <w:rsid w:val="003A0B8F"/>
    <w:rsid w:val="003A1EA3"/>
    <w:rsid w:val="003A253D"/>
    <w:rsid w:val="003A3B50"/>
    <w:rsid w:val="003A43E9"/>
    <w:rsid w:val="003A44FE"/>
    <w:rsid w:val="003A45DF"/>
    <w:rsid w:val="003A48D7"/>
    <w:rsid w:val="003A5925"/>
    <w:rsid w:val="003A5CD8"/>
    <w:rsid w:val="003A5FA4"/>
    <w:rsid w:val="003A672E"/>
    <w:rsid w:val="003A68F6"/>
    <w:rsid w:val="003A782A"/>
    <w:rsid w:val="003A7A3D"/>
    <w:rsid w:val="003B05C3"/>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ED"/>
    <w:rsid w:val="003B63DB"/>
    <w:rsid w:val="003B7802"/>
    <w:rsid w:val="003B7B8A"/>
    <w:rsid w:val="003C10E0"/>
    <w:rsid w:val="003C19AB"/>
    <w:rsid w:val="003C2726"/>
    <w:rsid w:val="003C27A2"/>
    <w:rsid w:val="003C2B25"/>
    <w:rsid w:val="003C314B"/>
    <w:rsid w:val="003C35B4"/>
    <w:rsid w:val="003C371A"/>
    <w:rsid w:val="003C3CA0"/>
    <w:rsid w:val="003C4170"/>
    <w:rsid w:val="003C41C1"/>
    <w:rsid w:val="003C5525"/>
    <w:rsid w:val="003C66FE"/>
    <w:rsid w:val="003C6D00"/>
    <w:rsid w:val="003C6E1E"/>
    <w:rsid w:val="003C7111"/>
    <w:rsid w:val="003C7C59"/>
    <w:rsid w:val="003D0A1E"/>
    <w:rsid w:val="003D15CF"/>
    <w:rsid w:val="003D19D1"/>
    <w:rsid w:val="003D1F0E"/>
    <w:rsid w:val="003D29C1"/>
    <w:rsid w:val="003D2CE6"/>
    <w:rsid w:val="003D39C2"/>
    <w:rsid w:val="003D3A26"/>
    <w:rsid w:val="003D46ED"/>
    <w:rsid w:val="003D5952"/>
    <w:rsid w:val="003D5BE7"/>
    <w:rsid w:val="003D6151"/>
    <w:rsid w:val="003D66D0"/>
    <w:rsid w:val="003D7C5F"/>
    <w:rsid w:val="003E04E8"/>
    <w:rsid w:val="003E066E"/>
    <w:rsid w:val="003E0745"/>
    <w:rsid w:val="003E089E"/>
    <w:rsid w:val="003E0960"/>
    <w:rsid w:val="003E0B24"/>
    <w:rsid w:val="003E132F"/>
    <w:rsid w:val="003E1850"/>
    <w:rsid w:val="003E1AC8"/>
    <w:rsid w:val="003E226C"/>
    <w:rsid w:val="003E239D"/>
    <w:rsid w:val="003E2BB0"/>
    <w:rsid w:val="003E3515"/>
    <w:rsid w:val="003E3CA0"/>
    <w:rsid w:val="003E5504"/>
    <w:rsid w:val="003E5A06"/>
    <w:rsid w:val="003E63DE"/>
    <w:rsid w:val="003E6594"/>
    <w:rsid w:val="003E777F"/>
    <w:rsid w:val="003F0054"/>
    <w:rsid w:val="003F0108"/>
    <w:rsid w:val="003F08B5"/>
    <w:rsid w:val="003F145B"/>
    <w:rsid w:val="003F1BED"/>
    <w:rsid w:val="003F1F0C"/>
    <w:rsid w:val="003F1FD0"/>
    <w:rsid w:val="003F2AF1"/>
    <w:rsid w:val="003F2B5E"/>
    <w:rsid w:val="003F2CDF"/>
    <w:rsid w:val="003F3524"/>
    <w:rsid w:val="003F3CB9"/>
    <w:rsid w:val="003F40EC"/>
    <w:rsid w:val="003F41E3"/>
    <w:rsid w:val="003F4711"/>
    <w:rsid w:val="003F4CAB"/>
    <w:rsid w:val="003F530B"/>
    <w:rsid w:val="003F5E7E"/>
    <w:rsid w:val="003F6143"/>
    <w:rsid w:val="003F6557"/>
    <w:rsid w:val="003F6BA9"/>
    <w:rsid w:val="003F7829"/>
    <w:rsid w:val="00400845"/>
    <w:rsid w:val="00401BE6"/>
    <w:rsid w:val="00401C68"/>
    <w:rsid w:val="00402108"/>
    <w:rsid w:val="0040341A"/>
    <w:rsid w:val="004037BB"/>
    <w:rsid w:val="004038EB"/>
    <w:rsid w:val="004040E3"/>
    <w:rsid w:val="00404A07"/>
    <w:rsid w:val="00404D98"/>
    <w:rsid w:val="0040510A"/>
    <w:rsid w:val="00407101"/>
    <w:rsid w:val="004074B2"/>
    <w:rsid w:val="00407855"/>
    <w:rsid w:val="00410426"/>
    <w:rsid w:val="00410892"/>
    <w:rsid w:val="00410A71"/>
    <w:rsid w:val="004118BC"/>
    <w:rsid w:val="00411F5B"/>
    <w:rsid w:val="004122CC"/>
    <w:rsid w:val="004122D8"/>
    <w:rsid w:val="004127DF"/>
    <w:rsid w:val="0041337C"/>
    <w:rsid w:val="00413583"/>
    <w:rsid w:val="00413D6F"/>
    <w:rsid w:val="00413F6E"/>
    <w:rsid w:val="0041444D"/>
    <w:rsid w:val="0041468C"/>
    <w:rsid w:val="00414923"/>
    <w:rsid w:val="00414FBA"/>
    <w:rsid w:val="0041573D"/>
    <w:rsid w:val="00415B8B"/>
    <w:rsid w:val="00416082"/>
    <w:rsid w:val="00416235"/>
    <w:rsid w:val="004163FE"/>
    <w:rsid w:val="004164C7"/>
    <w:rsid w:val="004165B3"/>
    <w:rsid w:val="00416D5E"/>
    <w:rsid w:val="00416D8D"/>
    <w:rsid w:val="00416DD2"/>
    <w:rsid w:val="00417541"/>
    <w:rsid w:val="004177E7"/>
    <w:rsid w:val="00417813"/>
    <w:rsid w:val="0042085D"/>
    <w:rsid w:val="00420CD3"/>
    <w:rsid w:val="00420F9C"/>
    <w:rsid w:val="0042192F"/>
    <w:rsid w:val="00422490"/>
    <w:rsid w:val="00424242"/>
    <w:rsid w:val="0042455A"/>
    <w:rsid w:val="00424F3B"/>
    <w:rsid w:val="00425445"/>
    <w:rsid w:val="00425492"/>
    <w:rsid w:val="00425A5A"/>
    <w:rsid w:val="00425ACC"/>
    <w:rsid w:val="004262B6"/>
    <w:rsid w:val="00426698"/>
    <w:rsid w:val="00426CE0"/>
    <w:rsid w:val="00427135"/>
    <w:rsid w:val="00427799"/>
    <w:rsid w:val="00430779"/>
    <w:rsid w:val="00430E54"/>
    <w:rsid w:val="00431350"/>
    <w:rsid w:val="004318F7"/>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EFB"/>
    <w:rsid w:val="00442902"/>
    <w:rsid w:val="00443757"/>
    <w:rsid w:val="00443C8B"/>
    <w:rsid w:val="00444255"/>
    <w:rsid w:val="00444CB5"/>
    <w:rsid w:val="00445408"/>
    <w:rsid w:val="00445A0B"/>
    <w:rsid w:val="00447D97"/>
    <w:rsid w:val="00447EEB"/>
    <w:rsid w:val="00447FC3"/>
    <w:rsid w:val="00450480"/>
    <w:rsid w:val="00450889"/>
    <w:rsid w:val="00450C05"/>
    <w:rsid w:val="00451D53"/>
    <w:rsid w:val="004521CE"/>
    <w:rsid w:val="00452972"/>
    <w:rsid w:val="004533B9"/>
    <w:rsid w:val="0045363C"/>
    <w:rsid w:val="00453A13"/>
    <w:rsid w:val="00453A5A"/>
    <w:rsid w:val="00453E75"/>
    <w:rsid w:val="00454677"/>
    <w:rsid w:val="004547AF"/>
    <w:rsid w:val="00454B38"/>
    <w:rsid w:val="004558AC"/>
    <w:rsid w:val="00455B48"/>
    <w:rsid w:val="004560F8"/>
    <w:rsid w:val="004562E4"/>
    <w:rsid w:val="00456482"/>
    <w:rsid w:val="00456632"/>
    <w:rsid w:val="00457082"/>
    <w:rsid w:val="00457401"/>
    <w:rsid w:val="00460469"/>
    <w:rsid w:val="00460C77"/>
    <w:rsid w:val="0046185D"/>
    <w:rsid w:val="00461971"/>
    <w:rsid w:val="00461C76"/>
    <w:rsid w:val="004634AB"/>
    <w:rsid w:val="004635CE"/>
    <w:rsid w:val="00464393"/>
    <w:rsid w:val="00464397"/>
    <w:rsid w:val="00464598"/>
    <w:rsid w:val="004655B1"/>
    <w:rsid w:val="004655E5"/>
    <w:rsid w:val="004658AA"/>
    <w:rsid w:val="004659B6"/>
    <w:rsid w:val="004659F5"/>
    <w:rsid w:val="00465D8C"/>
    <w:rsid w:val="00465DFE"/>
    <w:rsid w:val="0046668C"/>
    <w:rsid w:val="00467342"/>
    <w:rsid w:val="00467490"/>
    <w:rsid w:val="00467C72"/>
    <w:rsid w:val="00467FE3"/>
    <w:rsid w:val="004705F7"/>
    <w:rsid w:val="004706EE"/>
    <w:rsid w:val="004708EF"/>
    <w:rsid w:val="00470D9D"/>
    <w:rsid w:val="004710F1"/>
    <w:rsid w:val="004726F1"/>
    <w:rsid w:val="004727C1"/>
    <w:rsid w:val="00472B61"/>
    <w:rsid w:val="004732DE"/>
    <w:rsid w:val="00473B2A"/>
    <w:rsid w:val="00473BCD"/>
    <w:rsid w:val="004741B2"/>
    <w:rsid w:val="00474BE5"/>
    <w:rsid w:val="00475432"/>
    <w:rsid w:val="004755A0"/>
    <w:rsid w:val="00475D8A"/>
    <w:rsid w:val="0047711F"/>
    <w:rsid w:val="00477188"/>
    <w:rsid w:val="0047743B"/>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B6F"/>
    <w:rsid w:val="00485C9E"/>
    <w:rsid w:val="00486950"/>
    <w:rsid w:val="0048709C"/>
    <w:rsid w:val="004873CD"/>
    <w:rsid w:val="00487BFF"/>
    <w:rsid w:val="0049044C"/>
    <w:rsid w:val="0049124E"/>
    <w:rsid w:val="0049162C"/>
    <w:rsid w:val="00492102"/>
    <w:rsid w:val="0049278A"/>
    <w:rsid w:val="00493D3E"/>
    <w:rsid w:val="00494E25"/>
    <w:rsid w:val="00495258"/>
    <w:rsid w:val="0049618D"/>
    <w:rsid w:val="004969B0"/>
    <w:rsid w:val="00496F0A"/>
    <w:rsid w:val="004A0AD5"/>
    <w:rsid w:val="004A14E0"/>
    <w:rsid w:val="004A17ED"/>
    <w:rsid w:val="004A1B78"/>
    <w:rsid w:val="004A2DA7"/>
    <w:rsid w:val="004A32D3"/>
    <w:rsid w:val="004A3389"/>
    <w:rsid w:val="004A3BF3"/>
    <w:rsid w:val="004A4323"/>
    <w:rsid w:val="004A4378"/>
    <w:rsid w:val="004A49F1"/>
    <w:rsid w:val="004A4EAE"/>
    <w:rsid w:val="004A509C"/>
    <w:rsid w:val="004A59D3"/>
    <w:rsid w:val="004A5DFB"/>
    <w:rsid w:val="004A7B2D"/>
    <w:rsid w:val="004B0443"/>
    <w:rsid w:val="004B081E"/>
    <w:rsid w:val="004B098D"/>
    <w:rsid w:val="004B157F"/>
    <w:rsid w:val="004B16B7"/>
    <w:rsid w:val="004B1758"/>
    <w:rsid w:val="004B1B1A"/>
    <w:rsid w:val="004B3DB8"/>
    <w:rsid w:val="004B4177"/>
    <w:rsid w:val="004B4AEB"/>
    <w:rsid w:val="004B4ED1"/>
    <w:rsid w:val="004B5D76"/>
    <w:rsid w:val="004B60EA"/>
    <w:rsid w:val="004B6306"/>
    <w:rsid w:val="004B658C"/>
    <w:rsid w:val="004B6B74"/>
    <w:rsid w:val="004B6EC4"/>
    <w:rsid w:val="004B7164"/>
    <w:rsid w:val="004B7C5B"/>
    <w:rsid w:val="004B7FC9"/>
    <w:rsid w:val="004C06CA"/>
    <w:rsid w:val="004C06E9"/>
    <w:rsid w:val="004C0D0C"/>
    <w:rsid w:val="004C10C6"/>
    <w:rsid w:val="004C2BD6"/>
    <w:rsid w:val="004C36CA"/>
    <w:rsid w:val="004C3F7D"/>
    <w:rsid w:val="004C41ED"/>
    <w:rsid w:val="004C46FE"/>
    <w:rsid w:val="004C48B1"/>
    <w:rsid w:val="004C4912"/>
    <w:rsid w:val="004C4EFE"/>
    <w:rsid w:val="004C4FE7"/>
    <w:rsid w:val="004C5A04"/>
    <w:rsid w:val="004C5A10"/>
    <w:rsid w:val="004C6328"/>
    <w:rsid w:val="004C636D"/>
    <w:rsid w:val="004C6835"/>
    <w:rsid w:val="004C6E8E"/>
    <w:rsid w:val="004C6EC1"/>
    <w:rsid w:val="004C74B5"/>
    <w:rsid w:val="004D02E3"/>
    <w:rsid w:val="004D1283"/>
    <w:rsid w:val="004D1735"/>
    <w:rsid w:val="004D3589"/>
    <w:rsid w:val="004D4026"/>
    <w:rsid w:val="004D43F6"/>
    <w:rsid w:val="004D45B7"/>
    <w:rsid w:val="004D47C5"/>
    <w:rsid w:val="004D49FC"/>
    <w:rsid w:val="004D540F"/>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0D"/>
    <w:rsid w:val="004E7459"/>
    <w:rsid w:val="004E7B12"/>
    <w:rsid w:val="004E7BEF"/>
    <w:rsid w:val="004F0835"/>
    <w:rsid w:val="004F0CFB"/>
    <w:rsid w:val="004F122E"/>
    <w:rsid w:val="004F1571"/>
    <w:rsid w:val="004F1704"/>
    <w:rsid w:val="004F2029"/>
    <w:rsid w:val="004F2C62"/>
    <w:rsid w:val="004F43A7"/>
    <w:rsid w:val="004F4B82"/>
    <w:rsid w:val="004F5051"/>
    <w:rsid w:val="004F592A"/>
    <w:rsid w:val="004F6026"/>
    <w:rsid w:val="004F63BE"/>
    <w:rsid w:val="004F6BD7"/>
    <w:rsid w:val="004F7F9C"/>
    <w:rsid w:val="0050039B"/>
    <w:rsid w:val="00500894"/>
    <w:rsid w:val="00500A44"/>
    <w:rsid w:val="00501543"/>
    <w:rsid w:val="0050166B"/>
    <w:rsid w:val="005018C4"/>
    <w:rsid w:val="00501C50"/>
    <w:rsid w:val="00501F47"/>
    <w:rsid w:val="0050218E"/>
    <w:rsid w:val="00502E3C"/>
    <w:rsid w:val="0050313B"/>
    <w:rsid w:val="00503DF7"/>
    <w:rsid w:val="00504181"/>
    <w:rsid w:val="005041F6"/>
    <w:rsid w:val="00504252"/>
    <w:rsid w:val="00504293"/>
    <w:rsid w:val="00504A62"/>
    <w:rsid w:val="00504E93"/>
    <w:rsid w:val="0050574A"/>
    <w:rsid w:val="00506A1E"/>
    <w:rsid w:val="00506E36"/>
    <w:rsid w:val="00506E64"/>
    <w:rsid w:val="00507C37"/>
    <w:rsid w:val="005109BD"/>
    <w:rsid w:val="00510B49"/>
    <w:rsid w:val="00510D99"/>
    <w:rsid w:val="00511249"/>
    <w:rsid w:val="00511E4F"/>
    <w:rsid w:val="00512150"/>
    <w:rsid w:val="00512BDF"/>
    <w:rsid w:val="005130FE"/>
    <w:rsid w:val="00513980"/>
    <w:rsid w:val="00514A68"/>
    <w:rsid w:val="00514CD1"/>
    <w:rsid w:val="00515754"/>
    <w:rsid w:val="00515806"/>
    <w:rsid w:val="00515AB9"/>
    <w:rsid w:val="00515C0F"/>
    <w:rsid w:val="00516EAB"/>
    <w:rsid w:val="005170DA"/>
    <w:rsid w:val="005174F4"/>
    <w:rsid w:val="00520258"/>
    <w:rsid w:val="00520408"/>
    <w:rsid w:val="0052069F"/>
    <w:rsid w:val="00520E69"/>
    <w:rsid w:val="0052108C"/>
    <w:rsid w:val="00521C06"/>
    <w:rsid w:val="00521FF8"/>
    <w:rsid w:val="005220F4"/>
    <w:rsid w:val="0052397D"/>
    <w:rsid w:val="00523D86"/>
    <w:rsid w:val="00524253"/>
    <w:rsid w:val="00524638"/>
    <w:rsid w:val="005246AD"/>
    <w:rsid w:val="00524AB8"/>
    <w:rsid w:val="00524E5A"/>
    <w:rsid w:val="00526515"/>
    <w:rsid w:val="005269E3"/>
    <w:rsid w:val="005270D7"/>
    <w:rsid w:val="00527832"/>
    <w:rsid w:val="005301A8"/>
    <w:rsid w:val="005301DC"/>
    <w:rsid w:val="005303F7"/>
    <w:rsid w:val="00530DF6"/>
    <w:rsid w:val="00531128"/>
    <w:rsid w:val="0053131D"/>
    <w:rsid w:val="00531E15"/>
    <w:rsid w:val="00533BDE"/>
    <w:rsid w:val="0053420D"/>
    <w:rsid w:val="0053423D"/>
    <w:rsid w:val="00534C2B"/>
    <w:rsid w:val="00534C4B"/>
    <w:rsid w:val="00536350"/>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47C"/>
    <w:rsid w:val="00545B54"/>
    <w:rsid w:val="0054648F"/>
    <w:rsid w:val="0054676B"/>
    <w:rsid w:val="00546DC3"/>
    <w:rsid w:val="00546E58"/>
    <w:rsid w:val="00546FA4"/>
    <w:rsid w:val="005500EB"/>
    <w:rsid w:val="0055012A"/>
    <w:rsid w:val="005508CE"/>
    <w:rsid w:val="00550A9D"/>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3E1C"/>
    <w:rsid w:val="00554259"/>
    <w:rsid w:val="00554382"/>
    <w:rsid w:val="00554D4A"/>
    <w:rsid w:val="0055549D"/>
    <w:rsid w:val="005558A9"/>
    <w:rsid w:val="005559F0"/>
    <w:rsid w:val="00556020"/>
    <w:rsid w:val="005566E5"/>
    <w:rsid w:val="005567B6"/>
    <w:rsid w:val="00556DD0"/>
    <w:rsid w:val="005602B7"/>
    <w:rsid w:val="00560B2B"/>
    <w:rsid w:val="0056114E"/>
    <w:rsid w:val="00562A11"/>
    <w:rsid w:val="00562F39"/>
    <w:rsid w:val="005636D6"/>
    <w:rsid w:val="005639C2"/>
    <w:rsid w:val="00564FF4"/>
    <w:rsid w:val="00565405"/>
    <w:rsid w:val="00565704"/>
    <w:rsid w:val="00565895"/>
    <w:rsid w:val="0056592B"/>
    <w:rsid w:val="00565BF9"/>
    <w:rsid w:val="00565E22"/>
    <w:rsid w:val="0056646D"/>
    <w:rsid w:val="00566C00"/>
    <w:rsid w:val="005671A7"/>
    <w:rsid w:val="00567387"/>
    <w:rsid w:val="005677BA"/>
    <w:rsid w:val="00567EB8"/>
    <w:rsid w:val="005710CC"/>
    <w:rsid w:val="00572CA6"/>
    <w:rsid w:val="00573516"/>
    <w:rsid w:val="005744BB"/>
    <w:rsid w:val="005753B6"/>
    <w:rsid w:val="0057617A"/>
    <w:rsid w:val="0057617B"/>
    <w:rsid w:val="00576482"/>
    <w:rsid w:val="00576C15"/>
    <w:rsid w:val="00576C38"/>
    <w:rsid w:val="0057721A"/>
    <w:rsid w:val="005777C3"/>
    <w:rsid w:val="00580423"/>
    <w:rsid w:val="0058044F"/>
    <w:rsid w:val="00580493"/>
    <w:rsid w:val="005812F2"/>
    <w:rsid w:val="00581D91"/>
    <w:rsid w:val="005820EA"/>
    <w:rsid w:val="00582B30"/>
    <w:rsid w:val="0058327E"/>
    <w:rsid w:val="00583299"/>
    <w:rsid w:val="00583633"/>
    <w:rsid w:val="00583813"/>
    <w:rsid w:val="00583966"/>
    <w:rsid w:val="00583CEB"/>
    <w:rsid w:val="005847F9"/>
    <w:rsid w:val="00584D1E"/>
    <w:rsid w:val="00585030"/>
    <w:rsid w:val="00585164"/>
    <w:rsid w:val="005851AE"/>
    <w:rsid w:val="00585624"/>
    <w:rsid w:val="00585D6B"/>
    <w:rsid w:val="00585E13"/>
    <w:rsid w:val="00586144"/>
    <w:rsid w:val="00586304"/>
    <w:rsid w:val="00586722"/>
    <w:rsid w:val="00587244"/>
    <w:rsid w:val="00587281"/>
    <w:rsid w:val="00587669"/>
    <w:rsid w:val="0058777F"/>
    <w:rsid w:val="00587883"/>
    <w:rsid w:val="005878A6"/>
    <w:rsid w:val="005879DD"/>
    <w:rsid w:val="00587D63"/>
    <w:rsid w:val="0059020F"/>
    <w:rsid w:val="005919B7"/>
    <w:rsid w:val="00591C0E"/>
    <w:rsid w:val="0059229E"/>
    <w:rsid w:val="005925AA"/>
    <w:rsid w:val="005926FE"/>
    <w:rsid w:val="00592A15"/>
    <w:rsid w:val="00592C0A"/>
    <w:rsid w:val="00592C7C"/>
    <w:rsid w:val="00592CE1"/>
    <w:rsid w:val="00592E91"/>
    <w:rsid w:val="00593830"/>
    <w:rsid w:val="00593EE9"/>
    <w:rsid w:val="0059447B"/>
    <w:rsid w:val="00594750"/>
    <w:rsid w:val="00594C2D"/>
    <w:rsid w:val="005955A3"/>
    <w:rsid w:val="00595F71"/>
    <w:rsid w:val="005963AA"/>
    <w:rsid w:val="00596476"/>
    <w:rsid w:val="00596591"/>
    <w:rsid w:val="005968A1"/>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501D"/>
    <w:rsid w:val="005A5473"/>
    <w:rsid w:val="005A5A7F"/>
    <w:rsid w:val="005A690C"/>
    <w:rsid w:val="005A6AC7"/>
    <w:rsid w:val="005A761B"/>
    <w:rsid w:val="005A764D"/>
    <w:rsid w:val="005A7784"/>
    <w:rsid w:val="005A7E5E"/>
    <w:rsid w:val="005B0188"/>
    <w:rsid w:val="005B03B1"/>
    <w:rsid w:val="005B0A3F"/>
    <w:rsid w:val="005B10FA"/>
    <w:rsid w:val="005B22A5"/>
    <w:rsid w:val="005B2361"/>
    <w:rsid w:val="005B2BC0"/>
    <w:rsid w:val="005B3509"/>
    <w:rsid w:val="005B3947"/>
    <w:rsid w:val="005B4AAB"/>
    <w:rsid w:val="005B5200"/>
    <w:rsid w:val="005B53F7"/>
    <w:rsid w:val="005B5697"/>
    <w:rsid w:val="005B5E6F"/>
    <w:rsid w:val="005B6323"/>
    <w:rsid w:val="005B6EB9"/>
    <w:rsid w:val="005B700C"/>
    <w:rsid w:val="005B7020"/>
    <w:rsid w:val="005B713A"/>
    <w:rsid w:val="005B78AD"/>
    <w:rsid w:val="005C0310"/>
    <w:rsid w:val="005C12C8"/>
    <w:rsid w:val="005C22FF"/>
    <w:rsid w:val="005C3245"/>
    <w:rsid w:val="005C329D"/>
    <w:rsid w:val="005C3D75"/>
    <w:rsid w:val="005C3FC4"/>
    <w:rsid w:val="005C4C9C"/>
    <w:rsid w:val="005C50E0"/>
    <w:rsid w:val="005C537E"/>
    <w:rsid w:val="005C53EB"/>
    <w:rsid w:val="005C6565"/>
    <w:rsid w:val="005C6E73"/>
    <w:rsid w:val="005C7A2B"/>
    <w:rsid w:val="005D05E0"/>
    <w:rsid w:val="005D1104"/>
    <w:rsid w:val="005D1E02"/>
    <w:rsid w:val="005D20B1"/>
    <w:rsid w:val="005D21B1"/>
    <w:rsid w:val="005D2DC3"/>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2473"/>
    <w:rsid w:val="005E3930"/>
    <w:rsid w:val="005E3E75"/>
    <w:rsid w:val="005E4ACA"/>
    <w:rsid w:val="005E534D"/>
    <w:rsid w:val="005E64F4"/>
    <w:rsid w:val="005E73E7"/>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575B"/>
    <w:rsid w:val="005F5907"/>
    <w:rsid w:val="005F5CB6"/>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2EBA"/>
    <w:rsid w:val="00603289"/>
    <w:rsid w:val="0060466F"/>
    <w:rsid w:val="00605A6E"/>
    <w:rsid w:val="00605BE4"/>
    <w:rsid w:val="006062C3"/>
    <w:rsid w:val="0060695D"/>
    <w:rsid w:val="00606C5E"/>
    <w:rsid w:val="00606D03"/>
    <w:rsid w:val="0060718D"/>
    <w:rsid w:val="0060743F"/>
    <w:rsid w:val="006077F1"/>
    <w:rsid w:val="00607908"/>
    <w:rsid w:val="00610824"/>
    <w:rsid w:val="00612066"/>
    <w:rsid w:val="006121C1"/>
    <w:rsid w:val="00612550"/>
    <w:rsid w:val="0061281D"/>
    <w:rsid w:val="00612978"/>
    <w:rsid w:val="00612C57"/>
    <w:rsid w:val="006132F0"/>
    <w:rsid w:val="006134B9"/>
    <w:rsid w:val="00613AA4"/>
    <w:rsid w:val="00613BE5"/>
    <w:rsid w:val="00614109"/>
    <w:rsid w:val="006154D9"/>
    <w:rsid w:val="00615DE6"/>
    <w:rsid w:val="006163BC"/>
    <w:rsid w:val="00616409"/>
    <w:rsid w:val="006167DE"/>
    <w:rsid w:val="0061701B"/>
    <w:rsid w:val="00617255"/>
    <w:rsid w:val="0062001B"/>
    <w:rsid w:val="00622847"/>
    <w:rsid w:val="00622B0D"/>
    <w:rsid w:val="00622EDC"/>
    <w:rsid w:val="0062304A"/>
    <w:rsid w:val="00623204"/>
    <w:rsid w:val="00623A5B"/>
    <w:rsid w:val="00624427"/>
    <w:rsid w:val="0062447A"/>
    <w:rsid w:val="00624874"/>
    <w:rsid w:val="00625513"/>
    <w:rsid w:val="006260FF"/>
    <w:rsid w:val="00626466"/>
    <w:rsid w:val="006267E0"/>
    <w:rsid w:val="00626861"/>
    <w:rsid w:val="00627C74"/>
    <w:rsid w:val="00630F4D"/>
    <w:rsid w:val="00631045"/>
    <w:rsid w:val="0063126B"/>
    <w:rsid w:val="006313A6"/>
    <w:rsid w:val="00631624"/>
    <w:rsid w:val="006317D6"/>
    <w:rsid w:val="00631CE1"/>
    <w:rsid w:val="0063281F"/>
    <w:rsid w:val="00633CCE"/>
    <w:rsid w:val="006348D2"/>
    <w:rsid w:val="00634A3F"/>
    <w:rsid w:val="006355E1"/>
    <w:rsid w:val="0063585E"/>
    <w:rsid w:val="00635897"/>
    <w:rsid w:val="006364DB"/>
    <w:rsid w:val="006366CD"/>
    <w:rsid w:val="00636A45"/>
    <w:rsid w:val="00640196"/>
    <w:rsid w:val="00640D6B"/>
    <w:rsid w:val="006413CD"/>
    <w:rsid w:val="00642724"/>
    <w:rsid w:val="00642A23"/>
    <w:rsid w:val="00643CF1"/>
    <w:rsid w:val="00643EAF"/>
    <w:rsid w:val="00643FF6"/>
    <w:rsid w:val="006446E6"/>
    <w:rsid w:val="00645186"/>
    <w:rsid w:val="006454CC"/>
    <w:rsid w:val="006458D6"/>
    <w:rsid w:val="006458F8"/>
    <w:rsid w:val="00645FD1"/>
    <w:rsid w:val="00646385"/>
    <w:rsid w:val="00646663"/>
    <w:rsid w:val="00646F4B"/>
    <w:rsid w:val="006470CD"/>
    <w:rsid w:val="006473DB"/>
    <w:rsid w:val="00647612"/>
    <w:rsid w:val="00647900"/>
    <w:rsid w:val="00653884"/>
    <w:rsid w:val="00653E10"/>
    <w:rsid w:val="00654626"/>
    <w:rsid w:val="00654A5D"/>
    <w:rsid w:val="006552FB"/>
    <w:rsid w:val="00655722"/>
    <w:rsid w:val="006562C1"/>
    <w:rsid w:val="0066061E"/>
    <w:rsid w:val="006619E2"/>
    <w:rsid w:val="00661A1A"/>
    <w:rsid w:val="00661E89"/>
    <w:rsid w:val="00661FF0"/>
    <w:rsid w:val="0066256A"/>
    <w:rsid w:val="00663630"/>
    <w:rsid w:val="006639F3"/>
    <w:rsid w:val="00663B19"/>
    <w:rsid w:val="00663B2A"/>
    <w:rsid w:val="00663B8A"/>
    <w:rsid w:val="00663CA0"/>
    <w:rsid w:val="0066401E"/>
    <w:rsid w:val="006641AF"/>
    <w:rsid w:val="00664254"/>
    <w:rsid w:val="006644FA"/>
    <w:rsid w:val="00664794"/>
    <w:rsid w:val="006647AE"/>
    <w:rsid w:val="00664B34"/>
    <w:rsid w:val="00664F22"/>
    <w:rsid w:val="00666112"/>
    <w:rsid w:val="006675E6"/>
    <w:rsid w:val="00667C1B"/>
    <w:rsid w:val="00667ED0"/>
    <w:rsid w:val="00667FB4"/>
    <w:rsid w:val="006703A3"/>
    <w:rsid w:val="00670E48"/>
    <w:rsid w:val="006710E4"/>
    <w:rsid w:val="006718B4"/>
    <w:rsid w:val="006719E3"/>
    <w:rsid w:val="00671D08"/>
    <w:rsid w:val="00671FDA"/>
    <w:rsid w:val="00672644"/>
    <w:rsid w:val="006732E9"/>
    <w:rsid w:val="00673327"/>
    <w:rsid w:val="006736C2"/>
    <w:rsid w:val="00674126"/>
    <w:rsid w:val="006757F5"/>
    <w:rsid w:val="00675B12"/>
    <w:rsid w:val="00676308"/>
    <w:rsid w:val="0067675A"/>
    <w:rsid w:val="006769C2"/>
    <w:rsid w:val="006778CB"/>
    <w:rsid w:val="0068057E"/>
    <w:rsid w:val="00680B25"/>
    <w:rsid w:val="00681B7F"/>
    <w:rsid w:val="006821DB"/>
    <w:rsid w:val="0068357D"/>
    <w:rsid w:val="00683C6A"/>
    <w:rsid w:val="00684F82"/>
    <w:rsid w:val="006852EB"/>
    <w:rsid w:val="00685BF6"/>
    <w:rsid w:val="006864FD"/>
    <w:rsid w:val="00686707"/>
    <w:rsid w:val="006867C9"/>
    <w:rsid w:val="00686FC4"/>
    <w:rsid w:val="00687478"/>
    <w:rsid w:val="00690152"/>
    <w:rsid w:val="006901CC"/>
    <w:rsid w:val="006903A0"/>
    <w:rsid w:val="0069079F"/>
    <w:rsid w:val="00690AD5"/>
    <w:rsid w:val="006915B5"/>
    <w:rsid w:val="00691BAE"/>
    <w:rsid w:val="00691D03"/>
    <w:rsid w:val="00692752"/>
    <w:rsid w:val="00692C93"/>
    <w:rsid w:val="00692D15"/>
    <w:rsid w:val="00692F69"/>
    <w:rsid w:val="00692FBC"/>
    <w:rsid w:val="00693273"/>
    <w:rsid w:val="006941E9"/>
    <w:rsid w:val="006941FF"/>
    <w:rsid w:val="00694DE3"/>
    <w:rsid w:val="00694F19"/>
    <w:rsid w:val="006950C9"/>
    <w:rsid w:val="00695340"/>
    <w:rsid w:val="0069574F"/>
    <w:rsid w:val="00695F95"/>
    <w:rsid w:val="00696597"/>
    <w:rsid w:val="00696B57"/>
    <w:rsid w:val="0069713B"/>
    <w:rsid w:val="006975BE"/>
    <w:rsid w:val="006A0524"/>
    <w:rsid w:val="006A0856"/>
    <w:rsid w:val="006A1687"/>
    <w:rsid w:val="006A1867"/>
    <w:rsid w:val="006A1BB2"/>
    <w:rsid w:val="006A2802"/>
    <w:rsid w:val="006A2C83"/>
    <w:rsid w:val="006A3642"/>
    <w:rsid w:val="006A53AB"/>
    <w:rsid w:val="006A5844"/>
    <w:rsid w:val="006A5C9A"/>
    <w:rsid w:val="006A5E97"/>
    <w:rsid w:val="006A62DC"/>
    <w:rsid w:val="006A66F4"/>
    <w:rsid w:val="006B10EF"/>
    <w:rsid w:val="006B19B3"/>
    <w:rsid w:val="006B2F09"/>
    <w:rsid w:val="006B3335"/>
    <w:rsid w:val="006B39BB"/>
    <w:rsid w:val="006B3DA4"/>
    <w:rsid w:val="006B3F81"/>
    <w:rsid w:val="006B41EF"/>
    <w:rsid w:val="006B4227"/>
    <w:rsid w:val="006B4610"/>
    <w:rsid w:val="006B560B"/>
    <w:rsid w:val="006B5691"/>
    <w:rsid w:val="006B651F"/>
    <w:rsid w:val="006B6594"/>
    <w:rsid w:val="006B6A58"/>
    <w:rsid w:val="006B6C07"/>
    <w:rsid w:val="006B6C36"/>
    <w:rsid w:val="006B6F62"/>
    <w:rsid w:val="006B711A"/>
    <w:rsid w:val="006B748F"/>
    <w:rsid w:val="006B753A"/>
    <w:rsid w:val="006B7745"/>
    <w:rsid w:val="006B78B3"/>
    <w:rsid w:val="006B7914"/>
    <w:rsid w:val="006B7CE6"/>
    <w:rsid w:val="006C0887"/>
    <w:rsid w:val="006C09B1"/>
    <w:rsid w:val="006C0C59"/>
    <w:rsid w:val="006C0D43"/>
    <w:rsid w:val="006C0E7E"/>
    <w:rsid w:val="006C15F3"/>
    <w:rsid w:val="006C17A6"/>
    <w:rsid w:val="006C1F5A"/>
    <w:rsid w:val="006C2931"/>
    <w:rsid w:val="006C371C"/>
    <w:rsid w:val="006C3A8B"/>
    <w:rsid w:val="006C3F1F"/>
    <w:rsid w:val="006C4754"/>
    <w:rsid w:val="006C49FB"/>
    <w:rsid w:val="006C5A1E"/>
    <w:rsid w:val="006C5B06"/>
    <w:rsid w:val="006C606F"/>
    <w:rsid w:val="006C6305"/>
    <w:rsid w:val="006C6D03"/>
    <w:rsid w:val="006C7087"/>
    <w:rsid w:val="006C7F9B"/>
    <w:rsid w:val="006D0231"/>
    <w:rsid w:val="006D117A"/>
    <w:rsid w:val="006D18C2"/>
    <w:rsid w:val="006D1E56"/>
    <w:rsid w:val="006D36B8"/>
    <w:rsid w:val="006D3CC1"/>
    <w:rsid w:val="006D470E"/>
    <w:rsid w:val="006D5261"/>
    <w:rsid w:val="006D54D5"/>
    <w:rsid w:val="006D5C58"/>
    <w:rsid w:val="006D5E46"/>
    <w:rsid w:val="006D614F"/>
    <w:rsid w:val="006D7DC6"/>
    <w:rsid w:val="006D7FAC"/>
    <w:rsid w:val="006E0DDF"/>
    <w:rsid w:val="006E198F"/>
    <w:rsid w:val="006E1C2D"/>
    <w:rsid w:val="006E20A5"/>
    <w:rsid w:val="006E2781"/>
    <w:rsid w:val="006E2911"/>
    <w:rsid w:val="006E2AC4"/>
    <w:rsid w:val="006E2B43"/>
    <w:rsid w:val="006E2B5A"/>
    <w:rsid w:val="006E324B"/>
    <w:rsid w:val="006E3988"/>
    <w:rsid w:val="006E3B86"/>
    <w:rsid w:val="006E3BD3"/>
    <w:rsid w:val="006E4442"/>
    <w:rsid w:val="006E4FBB"/>
    <w:rsid w:val="006E513D"/>
    <w:rsid w:val="006E5449"/>
    <w:rsid w:val="006E58FB"/>
    <w:rsid w:val="006E5BEA"/>
    <w:rsid w:val="006E6B09"/>
    <w:rsid w:val="006E7292"/>
    <w:rsid w:val="006F0FC9"/>
    <w:rsid w:val="006F10BF"/>
    <w:rsid w:val="006F1937"/>
    <w:rsid w:val="006F1FB0"/>
    <w:rsid w:val="006F2E09"/>
    <w:rsid w:val="006F2E90"/>
    <w:rsid w:val="006F2FB4"/>
    <w:rsid w:val="006F399D"/>
    <w:rsid w:val="006F3A34"/>
    <w:rsid w:val="006F40DF"/>
    <w:rsid w:val="006F4280"/>
    <w:rsid w:val="006F471F"/>
    <w:rsid w:val="006F496D"/>
    <w:rsid w:val="006F4F64"/>
    <w:rsid w:val="006F5B07"/>
    <w:rsid w:val="006F6212"/>
    <w:rsid w:val="006F625F"/>
    <w:rsid w:val="006F62EB"/>
    <w:rsid w:val="006F6A1E"/>
    <w:rsid w:val="006F6A78"/>
    <w:rsid w:val="006F75D9"/>
    <w:rsid w:val="007008FD"/>
    <w:rsid w:val="00700C19"/>
    <w:rsid w:val="00700EFE"/>
    <w:rsid w:val="00701AE6"/>
    <w:rsid w:val="00701D7A"/>
    <w:rsid w:val="007020D4"/>
    <w:rsid w:val="00702393"/>
    <w:rsid w:val="00702E3C"/>
    <w:rsid w:val="00703950"/>
    <w:rsid w:val="0070460D"/>
    <w:rsid w:val="00704FA1"/>
    <w:rsid w:val="00705241"/>
    <w:rsid w:val="00705364"/>
    <w:rsid w:val="00705E2A"/>
    <w:rsid w:val="007073A6"/>
    <w:rsid w:val="007073F3"/>
    <w:rsid w:val="00707657"/>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7E0"/>
    <w:rsid w:val="0071486A"/>
    <w:rsid w:val="00714EF0"/>
    <w:rsid w:val="00715505"/>
    <w:rsid w:val="0071711A"/>
    <w:rsid w:val="00717846"/>
    <w:rsid w:val="00717899"/>
    <w:rsid w:val="00721981"/>
    <w:rsid w:val="007222FD"/>
    <w:rsid w:val="00722334"/>
    <w:rsid w:val="00722B51"/>
    <w:rsid w:val="00722C07"/>
    <w:rsid w:val="00722D10"/>
    <w:rsid w:val="00722D9D"/>
    <w:rsid w:val="007232D6"/>
    <w:rsid w:val="00723514"/>
    <w:rsid w:val="00723CC6"/>
    <w:rsid w:val="00724863"/>
    <w:rsid w:val="007248F4"/>
    <w:rsid w:val="00724BBE"/>
    <w:rsid w:val="007250FB"/>
    <w:rsid w:val="00725612"/>
    <w:rsid w:val="0072608D"/>
    <w:rsid w:val="007266B6"/>
    <w:rsid w:val="00727DB1"/>
    <w:rsid w:val="0073031F"/>
    <w:rsid w:val="0073053D"/>
    <w:rsid w:val="007316B2"/>
    <w:rsid w:val="00732106"/>
    <w:rsid w:val="0073306F"/>
    <w:rsid w:val="0073307E"/>
    <w:rsid w:val="0073330A"/>
    <w:rsid w:val="00733CF1"/>
    <w:rsid w:val="007341AE"/>
    <w:rsid w:val="00734786"/>
    <w:rsid w:val="00734FE0"/>
    <w:rsid w:val="007351D0"/>
    <w:rsid w:val="007357B9"/>
    <w:rsid w:val="007359B9"/>
    <w:rsid w:val="007369C5"/>
    <w:rsid w:val="00736AC5"/>
    <w:rsid w:val="00736CBB"/>
    <w:rsid w:val="00737638"/>
    <w:rsid w:val="00740486"/>
    <w:rsid w:val="007407D0"/>
    <w:rsid w:val="00740EE3"/>
    <w:rsid w:val="00740FB8"/>
    <w:rsid w:val="007412B8"/>
    <w:rsid w:val="00741856"/>
    <w:rsid w:val="007418DC"/>
    <w:rsid w:val="007449DF"/>
    <w:rsid w:val="007458D0"/>
    <w:rsid w:val="00745CD8"/>
    <w:rsid w:val="0074781E"/>
    <w:rsid w:val="00747856"/>
    <w:rsid w:val="00747876"/>
    <w:rsid w:val="00747D19"/>
    <w:rsid w:val="00750B5D"/>
    <w:rsid w:val="00751932"/>
    <w:rsid w:val="00751F8E"/>
    <w:rsid w:val="007520DF"/>
    <w:rsid w:val="00752509"/>
    <w:rsid w:val="00752CEF"/>
    <w:rsid w:val="00753228"/>
    <w:rsid w:val="007533CF"/>
    <w:rsid w:val="00753704"/>
    <w:rsid w:val="00753DF8"/>
    <w:rsid w:val="007541A1"/>
    <w:rsid w:val="00754B03"/>
    <w:rsid w:val="007551B0"/>
    <w:rsid w:val="00755695"/>
    <w:rsid w:val="00755AAF"/>
    <w:rsid w:val="00755D9B"/>
    <w:rsid w:val="007560C6"/>
    <w:rsid w:val="007563AD"/>
    <w:rsid w:val="00756871"/>
    <w:rsid w:val="00756A0F"/>
    <w:rsid w:val="00757362"/>
    <w:rsid w:val="0075757F"/>
    <w:rsid w:val="00757FF9"/>
    <w:rsid w:val="007607E8"/>
    <w:rsid w:val="007609D6"/>
    <w:rsid w:val="00761E46"/>
    <w:rsid w:val="0076230A"/>
    <w:rsid w:val="00762383"/>
    <w:rsid w:val="00762B24"/>
    <w:rsid w:val="00763567"/>
    <w:rsid w:val="0076382A"/>
    <w:rsid w:val="00763EAC"/>
    <w:rsid w:val="0076415F"/>
    <w:rsid w:val="00764338"/>
    <w:rsid w:val="007655CC"/>
    <w:rsid w:val="00765727"/>
    <w:rsid w:val="0076591A"/>
    <w:rsid w:val="00765BEC"/>
    <w:rsid w:val="00766135"/>
    <w:rsid w:val="00766620"/>
    <w:rsid w:val="0076745B"/>
    <w:rsid w:val="00770C30"/>
    <w:rsid w:val="007713C8"/>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1A1E"/>
    <w:rsid w:val="00781ACC"/>
    <w:rsid w:val="00782091"/>
    <w:rsid w:val="007827F2"/>
    <w:rsid w:val="00783030"/>
    <w:rsid w:val="007831C5"/>
    <w:rsid w:val="0078339D"/>
    <w:rsid w:val="007834DB"/>
    <w:rsid w:val="0078359C"/>
    <w:rsid w:val="00783975"/>
    <w:rsid w:val="00784C54"/>
    <w:rsid w:val="007858A1"/>
    <w:rsid w:val="00785BBA"/>
    <w:rsid w:val="0078621A"/>
    <w:rsid w:val="00786B45"/>
    <w:rsid w:val="00786E58"/>
    <w:rsid w:val="00786F4F"/>
    <w:rsid w:val="007875D8"/>
    <w:rsid w:val="00787679"/>
    <w:rsid w:val="00787951"/>
    <w:rsid w:val="00787E84"/>
    <w:rsid w:val="007908B7"/>
    <w:rsid w:val="0079090C"/>
    <w:rsid w:val="00791213"/>
    <w:rsid w:val="007912EA"/>
    <w:rsid w:val="00791701"/>
    <w:rsid w:val="00791B77"/>
    <w:rsid w:val="00791D28"/>
    <w:rsid w:val="00791DBD"/>
    <w:rsid w:val="0079235D"/>
    <w:rsid w:val="00792A86"/>
    <w:rsid w:val="00792CF4"/>
    <w:rsid w:val="00793804"/>
    <w:rsid w:val="00794BDE"/>
    <w:rsid w:val="00794E64"/>
    <w:rsid w:val="00795231"/>
    <w:rsid w:val="00795AEC"/>
    <w:rsid w:val="00795C3C"/>
    <w:rsid w:val="00796697"/>
    <w:rsid w:val="00796A78"/>
    <w:rsid w:val="00796E47"/>
    <w:rsid w:val="007971A1"/>
    <w:rsid w:val="007971A7"/>
    <w:rsid w:val="0079728B"/>
    <w:rsid w:val="007976B4"/>
    <w:rsid w:val="007977FC"/>
    <w:rsid w:val="00797CEE"/>
    <w:rsid w:val="007A0516"/>
    <w:rsid w:val="007A0544"/>
    <w:rsid w:val="007A09DB"/>
    <w:rsid w:val="007A0DD5"/>
    <w:rsid w:val="007A18F1"/>
    <w:rsid w:val="007A1F49"/>
    <w:rsid w:val="007A24BB"/>
    <w:rsid w:val="007A28A4"/>
    <w:rsid w:val="007A2B45"/>
    <w:rsid w:val="007A2B61"/>
    <w:rsid w:val="007A2D07"/>
    <w:rsid w:val="007A2D5B"/>
    <w:rsid w:val="007A2D8A"/>
    <w:rsid w:val="007A32E3"/>
    <w:rsid w:val="007A35EF"/>
    <w:rsid w:val="007A367E"/>
    <w:rsid w:val="007A3977"/>
    <w:rsid w:val="007A3A0F"/>
    <w:rsid w:val="007A3E57"/>
    <w:rsid w:val="007A3FC8"/>
    <w:rsid w:val="007A58E5"/>
    <w:rsid w:val="007A5C16"/>
    <w:rsid w:val="007A6C81"/>
    <w:rsid w:val="007A6D60"/>
    <w:rsid w:val="007A72CA"/>
    <w:rsid w:val="007B0267"/>
    <w:rsid w:val="007B1048"/>
    <w:rsid w:val="007B17E3"/>
    <w:rsid w:val="007B1801"/>
    <w:rsid w:val="007B1865"/>
    <w:rsid w:val="007B1B16"/>
    <w:rsid w:val="007B1F08"/>
    <w:rsid w:val="007B2FAA"/>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3BFE"/>
    <w:rsid w:val="007C3D7A"/>
    <w:rsid w:val="007C3F03"/>
    <w:rsid w:val="007C454E"/>
    <w:rsid w:val="007C4C50"/>
    <w:rsid w:val="007C4EF9"/>
    <w:rsid w:val="007C51F7"/>
    <w:rsid w:val="007C58E6"/>
    <w:rsid w:val="007C5AAE"/>
    <w:rsid w:val="007C5F77"/>
    <w:rsid w:val="007C699D"/>
    <w:rsid w:val="007C6FEA"/>
    <w:rsid w:val="007C77D4"/>
    <w:rsid w:val="007C7CF4"/>
    <w:rsid w:val="007D0952"/>
    <w:rsid w:val="007D1A0E"/>
    <w:rsid w:val="007D1F6B"/>
    <w:rsid w:val="007D21CA"/>
    <w:rsid w:val="007D292D"/>
    <w:rsid w:val="007D2AEC"/>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1D8D"/>
    <w:rsid w:val="007E2952"/>
    <w:rsid w:val="007E2959"/>
    <w:rsid w:val="007E2C29"/>
    <w:rsid w:val="007E2EB3"/>
    <w:rsid w:val="007E34A1"/>
    <w:rsid w:val="007E3B7C"/>
    <w:rsid w:val="007E474A"/>
    <w:rsid w:val="007E47F4"/>
    <w:rsid w:val="007E524A"/>
    <w:rsid w:val="007E56D2"/>
    <w:rsid w:val="007E57F1"/>
    <w:rsid w:val="007E5EA1"/>
    <w:rsid w:val="007E6452"/>
    <w:rsid w:val="007E7936"/>
    <w:rsid w:val="007F0393"/>
    <w:rsid w:val="007F0F23"/>
    <w:rsid w:val="007F100A"/>
    <w:rsid w:val="007F1F8B"/>
    <w:rsid w:val="007F2850"/>
    <w:rsid w:val="007F2F8B"/>
    <w:rsid w:val="007F30DA"/>
    <w:rsid w:val="007F3520"/>
    <w:rsid w:val="007F41EE"/>
    <w:rsid w:val="007F45AA"/>
    <w:rsid w:val="007F4BED"/>
    <w:rsid w:val="007F4D99"/>
    <w:rsid w:val="007F4EEF"/>
    <w:rsid w:val="007F524E"/>
    <w:rsid w:val="007F58F6"/>
    <w:rsid w:val="007F5DB2"/>
    <w:rsid w:val="007F63AA"/>
    <w:rsid w:val="007F649C"/>
    <w:rsid w:val="007F6C6D"/>
    <w:rsid w:val="007F7ABD"/>
    <w:rsid w:val="00802651"/>
    <w:rsid w:val="00802976"/>
    <w:rsid w:val="00803E0D"/>
    <w:rsid w:val="008040B8"/>
    <w:rsid w:val="0080473D"/>
    <w:rsid w:val="00804742"/>
    <w:rsid w:val="008048CF"/>
    <w:rsid w:val="008049EA"/>
    <w:rsid w:val="00804BD8"/>
    <w:rsid w:val="00804CE4"/>
    <w:rsid w:val="00804FED"/>
    <w:rsid w:val="00805081"/>
    <w:rsid w:val="0080529A"/>
    <w:rsid w:val="008053C6"/>
    <w:rsid w:val="00806361"/>
    <w:rsid w:val="00806FBC"/>
    <w:rsid w:val="00807726"/>
    <w:rsid w:val="00807DCB"/>
    <w:rsid w:val="00807F3A"/>
    <w:rsid w:val="00810032"/>
    <w:rsid w:val="0081019A"/>
    <w:rsid w:val="00810467"/>
    <w:rsid w:val="00810BB4"/>
    <w:rsid w:val="00810DD6"/>
    <w:rsid w:val="00811884"/>
    <w:rsid w:val="00811B9B"/>
    <w:rsid w:val="00812250"/>
    <w:rsid w:val="008127FC"/>
    <w:rsid w:val="00812FA4"/>
    <w:rsid w:val="00813110"/>
    <w:rsid w:val="00814178"/>
    <w:rsid w:val="0081427B"/>
    <w:rsid w:val="008142C6"/>
    <w:rsid w:val="00814A73"/>
    <w:rsid w:val="008150AF"/>
    <w:rsid w:val="008153BD"/>
    <w:rsid w:val="008157DB"/>
    <w:rsid w:val="00815D92"/>
    <w:rsid w:val="00816231"/>
    <w:rsid w:val="0081672E"/>
    <w:rsid w:val="008176A5"/>
    <w:rsid w:val="00820188"/>
    <w:rsid w:val="008209A5"/>
    <w:rsid w:val="0082109B"/>
    <w:rsid w:val="00821810"/>
    <w:rsid w:val="0082233D"/>
    <w:rsid w:val="0082280E"/>
    <w:rsid w:val="008235F7"/>
    <w:rsid w:val="00823800"/>
    <w:rsid w:val="00823EA9"/>
    <w:rsid w:val="0082413A"/>
    <w:rsid w:val="00824808"/>
    <w:rsid w:val="00824C26"/>
    <w:rsid w:val="00825B81"/>
    <w:rsid w:val="00825CC2"/>
    <w:rsid w:val="008267A6"/>
    <w:rsid w:val="008271DE"/>
    <w:rsid w:val="008274D8"/>
    <w:rsid w:val="00827678"/>
    <w:rsid w:val="008276C6"/>
    <w:rsid w:val="00827CC1"/>
    <w:rsid w:val="00827FF7"/>
    <w:rsid w:val="00830290"/>
    <w:rsid w:val="008308A1"/>
    <w:rsid w:val="00830C32"/>
    <w:rsid w:val="00830ECE"/>
    <w:rsid w:val="00831382"/>
    <w:rsid w:val="0083139B"/>
    <w:rsid w:val="0083221D"/>
    <w:rsid w:val="0083271F"/>
    <w:rsid w:val="00833357"/>
    <w:rsid w:val="00834B62"/>
    <w:rsid w:val="00835649"/>
    <w:rsid w:val="008374B8"/>
    <w:rsid w:val="00837722"/>
    <w:rsid w:val="008379BF"/>
    <w:rsid w:val="00837C4B"/>
    <w:rsid w:val="0084092F"/>
    <w:rsid w:val="0084245B"/>
    <w:rsid w:val="00842EF0"/>
    <w:rsid w:val="0084401C"/>
    <w:rsid w:val="00844612"/>
    <w:rsid w:val="008447C3"/>
    <w:rsid w:val="00845BFF"/>
    <w:rsid w:val="008464A0"/>
    <w:rsid w:val="0084692A"/>
    <w:rsid w:val="00846CDB"/>
    <w:rsid w:val="00846D9E"/>
    <w:rsid w:val="00847736"/>
    <w:rsid w:val="00847EBD"/>
    <w:rsid w:val="00850795"/>
    <w:rsid w:val="00850BCA"/>
    <w:rsid w:val="00851019"/>
    <w:rsid w:val="00851503"/>
    <w:rsid w:val="0085174B"/>
    <w:rsid w:val="008518C6"/>
    <w:rsid w:val="00851D8D"/>
    <w:rsid w:val="00852803"/>
    <w:rsid w:val="0085335A"/>
    <w:rsid w:val="008533C7"/>
    <w:rsid w:val="00853426"/>
    <w:rsid w:val="00853BEB"/>
    <w:rsid w:val="008544D4"/>
    <w:rsid w:val="00854B1A"/>
    <w:rsid w:val="00854B60"/>
    <w:rsid w:val="0085521E"/>
    <w:rsid w:val="00855A8D"/>
    <w:rsid w:val="00855CE6"/>
    <w:rsid w:val="00855F6F"/>
    <w:rsid w:val="00855FD0"/>
    <w:rsid w:val="00856BF3"/>
    <w:rsid w:val="0085729C"/>
    <w:rsid w:val="00857CEB"/>
    <w:rsid w:val="00861970"/>
    <w:rsid w:val="008619A0"/>
    <w:rsid w:val="00861F06"/>
    <w:rsid w:val="00863812"/>
    <w:rsid w:val="00863946"/>
    <w:rsid w:val="008642F1"/>
    <w:rsid w:val="00864B1A"/>
    <w:rsid w:val="008655C3"/>
    <w:rsid w:val="00865633"/>
    <w:rsid w:val="0086569C"/>
    <w:rsid w:val="00865B96"/>
    <w:rsid w:val="00865F61"/>
    <w:rsid w:val="008670B5"/>
    <w:rsid w:val="008674B6"/>
    <w:rsid w:val="00867524"/>
    <w:rsid w:val="008678BE"/>
    <w:rsid w:val="00867B3D"/>
    <w:rsid w:val="00867C1F"/>
    <w:rsid w:val="00867D9F"/>
    <w:rsid w:val="00867E84"/>
    <w:rsid w:val="008700FE"/>
    <w:rsid w:val="008701E5"/>
    <w:rsid w:val="0087028D"/>
    <w:rsid w:val="0087047A"/>
    <w:rsid w:val="00870A3E"/>
    <w:rsid w:val="00870D18"/>
    <w:rsid w:val="00870DD7"/>
    <w:rsid w:val="008710BC"/>
    <w:rsid w:val="008718B0"/>
    <w:rsid w:val="00872C8E"/>
    <w:rsid w:val="00872F32"/>
    <w:rsid w:val="00874CA0"/>
    <w:rsid w:val="008754FC"/>
    <w:rsid w:val="00875642"/>
    <w:rsid w:val="00875D70"/>
    <w:rsid w:val="00876A96"/>
    <w:rsid w:val="0087727A"/>
    <w:rsid w:val="00877895"/>
    <w:rsid w:val="00877D08"/>
    <w:rsid w:val="00877F65"/>
    <w:rsid w:val="008800F8"/>
    <w:rsid w:val="008805E8"/>
    <w:rsid w:val="00881651"/>
    <w:rsid w:val="00881FA4"/>
    <w:rsid w:val="00882048"/>
    <w:rsid w:val="008822A0"/>
    <w:rsid w:val="00883478"/>
    <w:rsid w:val="00883C5D"/>
    <w:rsid w:val="00885B5B"/>
    <w:rsid w:val="00885BAE"/>
    <w:rsid w:val="00885D77"/>
    <w:rsid w:val="00885ED1"/>
    <w:rsid w:val="008861DA"/>
    <w:rsid w:val="0088653E"/>
    <w:rsid w:val="00886A5F"/>
    <w:rsid w:val="00887212"/>
    <w:rsid w:val="008872D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1F7"/>
    <w:rsid w:val="008959DD"/>
    <w:rsid w:val="00895AA4"/>
    <w:rsid w:val="00895B50"/>
    <w:rsid w:val="00896906"/>
    <w:rsid w:val="00896AD0"/>
    <w:rsid w:val="00896BE9"/>
    <w:rsid w:val="00896FB8"/>
    <w:rsid w:val="0089761B"/>
    <w:rsid w:val="008978A4"/>
    <w:rsid w:val="008A0D12"/>
    <w:rsid w:val="008A14DE"/>
    <w:rsid w:val="008A1794"/>
    <w:rsid w:val="008A1EA8"/>
    <w:rsid w:val="008A20CE"/>
    <w:rsid w:val="008A219E"/>
    <w:rsid w:val="008A2409"/>
    <w:rsid w:val="008A245E"/>
    <w:rsid w:val="008A2930"/>
    <w:rsid w:val="008A391E"/>
    <w:rsid w:val="008A3A7A"/>
    <w:rsid w:val="008A3EC9"/>
    <w:rsid w:val="008A4335"/>
    <w:rsid w:val="008A47C9"/>
    <w:rsid w:val="008A4C7D"/>
    <w:rsid w:val="008A5268"/>
    <w:rsid w:val="008A5776"/>
    <w:rsid w:val="008A5786"/>
    <w:rsid w:val="008A659A"/>
    <w:rsid w:val="008A6C5D"/>
    <w:rsid w:val="008A6F45"/>
    <w:rsid w:val="008A7025"/>
    <w:rsid w:val="008A7678"/>
    <w:rsid w:val="008A77A2"/>
    <w:rsid w:val="008B00E7"/>
    <w:rsid w:val="008B019E"/>
    <w:rsid w:val="008B0A9A"/>
    <w:rsid w:val="008B1265"/>
    <w:rsid w:val="008B192E"/>
    <w:rsid w:val="008B2577"/>
    <w:rsid w:val="008B25D7"/>
    <w:rsid w:val="008B2881"/>
    <w:rsid w:val="008B2C4E"/>
    <w:rsid w:val="008B319E"/>
    <w:rsid w:val="008B5033"/>
    <w:rsid w:val="008B54B0"/>
    <w:rsid w:val="008B5788"/>
    <w:rsid w:val="008B628F"/>
    <w:rsid w:val="008B64DD"/>
    <w:rsid w:val="008B6DC8"/>
    <w:rsid w:val="008B74C8"/>
    <w:rsid w:val="008B791E"/>
    <w:rsid w:val="008B7FD4"/>
    <w:rsid w:val="008C0069"/>
    <w:rsid w:val="008C1988"/>
    <w:rsid w:val="008C1996"/>
    <w:rsid w:val="008C1B0A"/>
    <w:rsid w:val="008C225C"/>
    <w:rsid w:val="008C26D9"/>
    <w:rsid w:val="008C2A57"/>
    <w:rsid w:val="008C2B6B"/>
    <w:rsid w:val="008C3153"/>
    <w:rsid w:val="008C387E"/>
    <w:rsid w:val="008C43C0"/>
    <w:rsid w:val="008C4B37"/>
    <w:rsid w:val="008C4F66"/>
    <w:rsid w:val="008C5D46"/>
    <w:rsid w:val="008C5F62"/>
    <w:rsid w:val="008C6BF3"/>
    <w:rsid w:val="008C7601"/>
    <w:rsid w:val="008C7FB7"/>
    <w:rsid w:val="008D03A0"/>
    <w:rsid w:val="008D0CAA"/>
    <w:rsid w:val="008D139E"/>
    <w:rsid w:val="008D156B"/>
    <w:rsid w:val="008D41CB"/>
    <w:rsid w:val="008D42ED"/>
    <w:rsid w:val="008D47C1"/>
    <w:rsid w:val="008D5175"/>
    <w:rsid w:val="008D52A6"/>
    <w:rsid w:val="008D56DC"/>
    <w:rsid w:val="008D6050"/>
    <w:rsid w:val="008D6314"/>
    <w:rsid w:val="008D65D2"/>
    <w:rsid w:val="008D6A22"/>
    <w:rsid w:val="008D6A77"/>
    <w:rsid w:val="008D76AC"/>
    <w:rsid w:val="008D796C"/>
    <w:rsid w:val="008E05B8"/>
    <w:rsid w:val="008E0BAF"/>
    <w:rsid w:val="008E0EB2"/>
    <w:rsid w:val="008E0F89"/>
    <w:rsid w:val="008E1359"/>
    <w:rsid w:val="008E14A1"/>
    <w:rsid w:val="008E1F07"/>
    <w:rsid w:val="008E25F4"/>
    <w:rsid w:val="008E2FB5"/>
    <w:rsid w:val="008E3172"/>
    <w:rsid w:val="008E321E"/>
    <w:rsid w:val="008E35F8"/>
    <w:rsid w:val="008E36E3"/>
    <w:rsid w:val="008E43CB"/>
    <w:rsid w:val="008E57BF"/>
    <w:rsid w:val="008E58B2"/>
    <w:rsid w:val="008E5D6A"/>
    <w:rsid w:val="008E62DD"/>
    <w:rsid w:val="008E6641"/>
    <w:rsid w:val="008E67DD"/>
    <w:rsid w:val="008E7059"/>
    <w:rsid w:val="008E70E6"/>
    <w:rsid w:val="008E76D2"/>
    <w:rsid w:val="008E7794"/>
    <w:rsid w:val="008E7D2F"/>
    <w:rsid w:val="008E7D61"/>
    <w:rsid w:val="008F02F3"/>
    <w:rsid w:val="008F0BA0"/>
    <w:rsid w:val="008F0C18"/>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6807"/>
    <w:rsid w:val="008F69F8"/>
    <w:rsid w:val="008F6C48"/>
    <w:rsid w:val="008F6DAD"/>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205"/>
    <w:rsid w:val="00903ACB"/>
    <w:rsid w:val="00903BE8"/>
    <w:rsid w:val="00904137"/>
    <w:rsid w:val="00904BC8"/>
    <w:rsid w:val="00904BF7"/>
    <w:rsid w:val="00904DCF"/>
    <w:rsid w:val="009050F2"/>
    <w:rsid w:val="009056A1"/>
    <w:rsid w:val="00906248"/>
    <w:rsid w:val="009064F7"/>
    <w:rsid w:val="00906919"/>
    <w:rsid w:val="009069B8"/>
    <w:rsid w:val="00907792"/>
    <w:rsid w:val="00907E8A"/>
    <w:rsid w:val="009101AC"/>
    <w:rsid w:val="00910711"/>
    <w:rsid w:val="00910B18"/>
    <w:rsid w:val="00910E3E"/>
    <w:rsid w:val="00911449"/>
    <w:rsid w:val="009120A5"/>
    <w:rsid w:val="00912146"/>
    <w:rsid w:val="009123E3"/>
    <w:rsid w:val="00912699"/>
    <w:rsid w:val="00912A3F"/>
    <w:rsid w:val="00912D66"/>
    <w:rsid w:val="0091412D"/>
    <w:rsid w:val="00914606"/>
    <w:rsid w:val="00914726"/>
    <w:rsid w:val="0091491A"/>
    <w:rsid w:val="00914E37"/>
    <w:rsid w:val="009150F8"/>
    <w:rsid w:val="009156D4"/>
    <w:rsid w:val="00915E03"/>
    <w:rsid w:val="00915E30"/>
    <w:rsid w:val="00915F7B"/>
    <w:rsid w:val="00915FF5"/>
    <w:rsid w:val="00916A29"/>
    <w:rsid w:val="00916B52"/>
    <w:rsid w:val="009172F7"/>
    <w:rsid w:val="00917661"/>
    <w:rsid w:val="00917A5F"/>
    <w:rsid w:val="00920889"/>
    <w:rsid w:val="009208F1"/>
    <w:rsid w:val="0092091A"/>
    <w:rsid w:val="0092251D"/>
    <w:rsid w:val="00923139"/>
    <w:rsid w:val="00923264"/>
    <w:rsid w:val="00923D92"/>
    <w:rsid w:val="009245D7"/>
    <w:rsid w:val="0092482B"/>
    <w:rsid w:val="009259A2"/>
    <w:rsid w:val="0092603F"/>
    <w:rsid w:val="00926644"/>
    <w:rsid w:val="00926C28"/>
    <w:rsid w:val="0092755F"/>
    <w:rsid w:val="0093016C"/>
    <w:rsid w:val="00930215"/>
    <w:rsid w:val="00931483"/>
    <w:rsid w:val="00931643"/>
    <w:rsid w:val="009318D3"/>
    <w:rsid w:val="00931ED7"/>
    <w:rsid w:val="00932368"/>
    <w:rsid w:val="00932B59"/>
    <w:rsid w:val="0093313F"/>
    <w:rsid w:val="00933759"/>
    <w:rsid w:val="00933B92"/>
    <w:rsid w:val="00933CD0"/>
    <w:rsid w:val="00934CD5"/>
    <w:rsid w:val="00934D02"/>
    <w:rsid w:val="00934F5B"/>
    <w:rsid w:val="009350E5"/>
    <w:rsid w:val="009356A4"/>
    <w:rsid w:val="009357A6"/>
    <w:rsid w:val="0093614A"/>
    <w:rsid w:val="00936BBC"/>
    <w:rsid w:val="009375DB"/>
    <w:rsid w:val="00937C3F"/>
    <w:rsid w:val="00937CF2"/>
    <w:rsid w:val="00940091"/>
    <w:rsid w:val="00940323"/>
    <w:rsid w:val="0094033B"/>
    <w:rsid w:val="00940803"/>
    <w:rsid w:val="009412B1"/>
    <w:rsid w:val="00941660"/>
    <w:rsid w:val="00941879"/>
    <w:rsid w:val="00941CC9"/>
    <w:rsid w:val="009421E4"/>
    <w:rsid w:val="009423E1"/>
    <w:rsid w:val="009425B1"/>
    <w:rsid w:val="0094276B"/>
    <w:rsid w:val="00942CD8"/>
    <w:rsid w:val="0094483B"/>
    <w:rsid w:val="00945183"/>
    <w:rsid w:val="00945280"/>
    <w:rsid w:val="00945292"/>
    <w:rsid w:val="00945A3E"/>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543"/>
    <w:rsid w:val="00951BAF"/>
    <w:rsid w:val="00951DAB"/>
    <w:rsid w:val="00952527"/>
    <w:rsid w:val="0095282E"/>
    <w:rsid w:val="009535A0"/>
    <w:rsid w:val="009538A8"/>
    <w:rsid w:val="009542E5"/>
    <w:rsid w:val="00954C50"/>
    <w:rsid w:val="00954D04"/>
    <w:rsid w:val="00954EDB"/>
    <w:rsid w:val="0095563B"/>
    <w:rsid w:val="00955D0C"/>
    <w:rsid w:val="00955D2E"/>
    <w:rsid w:val="00955F33"/>
    <w:rsid w:val="00956654"/>
    <w:rsid w:val="009567ED"/>
    <w:rsid w:val="00956C0F"/>
    <w:rsid w:val="00956F25"/>
    <w:rsid w:val="00957148"/>
    <w:rsid w:val="0095728D"/>
    <w:rsid w:val="009572BE"/>
    <w:rsid w:val="00957A8B"/>
    <w:rsid w:val="009603BB"/>
    <w:rsid w:val="009609DC"/>
    <w:rsid w:val="00960B2D"/>
    <w:rsid w:val="00960E82"/>
    <w:rsid w:val="00960E8C"/>
    <w:rsid w:val="00961D16"/>
    <w:rsid w:val="00962224"/>
    <w:rsid w:val="00962349"/>
    <w:rsid w:val="0096249A"/>
    <w:rsid w:val="00962842"/>
    <w:rsid w:val="00962BBE"/>
    <w:rsid w:val="00962D99"/>
    <w:rsid w:val="00963205"/>
    <w:rsid w:val="00963488"/>
    <w:rsid w:val="00963D73"/>
    <w:rsid w:val="0096476F"/>
    <w:rsid w:val="0096509A"/>
    <w:rsid w:val="00965B71"/>
    <w:rsid w:val="00965CA5"/>
    <w:rsid w:val="00965E69"/>
    <w:rsid w:val="009672DD"/>
    <w:rsid w:val="009672EB"/>
    <w:rsid w:val="00967E99"/>
    <w:rsid w:val="00970410"/>
    <w:rsid w:val="00970F0E"/>
    <w:rsid w:val="00971AEF"/>
    <w:rsid w:val="00971C74"/>
    <w:rsid w:val="00973FB2"/>
    <w:rsid w:val="00975079"/>
    <w:rsid w:val="009754D6"/>
    <w:rsid w:val="009757D8"/>
    <w:rsid w:val="00975A37"/>
    <w:rsid w:val="00976A4C"/>
    <w:rsid w:val="00976B9E"/>
    <w:rsid w:val="00976D52"/>
    <w:rsid w:val="009771D2"/>
    <w:rsid w:val="00977B2A"/>
    <w:rsid w:val="00977EAD"/>
    <w:rsid w:val="0098044C"/>
    <w:rsid w:val="009804AF"/>
    <w:rsid w:val="0098160B"/>
    <w:rsid w:val="00981E71"/>
    <w:rsid w:val="00981F32"/>
    <w:rsid w:val="009825C5"/>
    <w:rsid w:val="00982B20"/>
    <w:rsid w:val="00983554"/>
    <w:rsid w:val="0098357F"/>
    <w:rsid w:val="00985027"/>
    <w:rsid w:val="009865F3"/>
    <w:rsid w:val="00986861"/>
    <w:rsid w:val="00987017"/>
    <w:rsid w:val="00987F98"/>
    <w:rsid w:val="00990277"/>
    <w:rsid w:val="009908A7"/>
    <w:rsid w:val="0099126D"/>
    <w:rsid w:val="009912F3"/>
    <w:rsid w:val="009915D1"/>
    <w:rsid w:val="009927C3"/>
    <w:rsid w:val="009930C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7C0D"/>
    <w:rsid w:val="009A01AD"/>
    <w:rsid w:val="009A0279"/>
    <w:rsid w:val="009A0705"/>
    <w:rsid w:val="009A0D46"/>
    <w:rsid w:val="009A131B"/>
    <w:rsid w:val="009A1D3C"/>
    <w:rsid w:val="009A2008"/>
    <w:rsid w:val="009A2350"/>
    <w:rsid w:val="009A272A"/>
    <w:rsid w:val="009A27D5"/>
    <w:rsid w:val="009A2BD0"/>
    <w:rsid w:val="009A2C80"/>
    <w:rsid w:val="009A314D"/>
    <w:rsid w:val="009A3EDC"/>
    <w:rsid w:val="009A42E0"/>
    <w:rsid w:val="009A4319"/>
    <w:rsid w:val="009A4842"/>
    <w:rsid w:val="009A4BEA"/>
    <w:rsid w:val="009A4E2B"/>
    <w:rsid w:val="009A5041"/>
    <w:rsid w:val="009A62F2"/>
    <w:rsid w:val="009A6FA4"/>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F2D"/>
    <w:rsid w:val="009B6F41"/>
    <w:rsid w:val="009B7F6F"/>
    <w:rsid w:val="009C00CD"/>
    <w:rsid w:val="009C0D00"/>
    <w:rsid w:val="009C0E9D"/>
    <w:rsid w:val="009C1816"/>
    <w:rsid w:val="009C1B60"/>
    <w:rsid w:val="009C1B8B"/>
    <w:rsid w:val="009C254C"/>
    <w:rsid w:val="009C2688"/>
    <w:rsid w:val="009C2778"/>
    <w:rsid w:val="009C2845"/>
    <w:rsid w:val="009C2FDC"/>
    <w:rsid w:val="009C3247"/>
    <w:rsid w:val="009C36E9"/>
    <w:rsid w:val="009C3779"/>
    <w:rsid w:val="009C3C9B"/>
    <w:rsid w:val="009C3D5F"/>
    <w:rsid w:val="009C413B"/>
    <w:rsid w:val="009C4730"/>
    <w:rsid w:val="009C49B6"/>
    <w:rsid w:val="009C4DA4"/>
    <w:rsid w:val="009C4E3D"/>
    <w:rsid w:val="009C54FA"/>
    <w:rsid w:val="009C5589"/>
    <w:rsid w:val="009C5881"/>
    <w:rsid w:val="009C6263"/>
    <w:rsid w:val="009C67AE"/>
    <w:rsid w:val="009C6AE5"/>
    <w:rsid w:val="009C6CB3"/>
    <w:rsid w:val="009C7474"/>
    <w:rsid w:val="009C7986"/>
    <w:rsid w:val="009C7998"/>
    <w:rsid w:val="009C7FBA"/>
    <w:rsid w:val="009D0347"/>
    <w:rsid w:val="009D17CE"/>
    <w:rsid w:val="009D1C18"/>
    <w:rsid w:val="009D1D65"/>
    <w:rsid w:val="009D1D6E"/>
    <w:rsid w:val="009D2824"/>
    <w:rsid w:val="009D2833"/>
    <w:rsid w:val="009D2CE5"/>
    <w:rsid w:val="009D2E1B"/>
    <w:rsid w:val="009D46BC"/>
    <w:rsid w:val="009D53D2"/>
    <w:rsid w:val="009D540D"/>
    <w:rsid w:val="009D54BA"/>
    <w:rsid w:val="009D5EF1"/>
    <w:rsid w:val="009D67FB"/>
    <w:rsid w:val="009D686B"/>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4B31"/>
    <w:rsid w:val="009E51B5"/>
    <w:rsid w:val="009E5F89"/>
    <w:rsid w:val="009E5FDE"/>
    <w:rsid w:val="009E6372"/>
    <w:rsid w:val="009E6857"/>
    <w:rsid w:val="009E7151"/>
    <w:rsid w:val="009E7DF7"/>
    <w:rsid w:val="009E7F51"/>
    <w:rsid w:val="009F0089"/>
    <w:rsid w:val="009F0221"/>
    <w:rsid w:val="009F06AE"/>
    <w:rsid w:val="009F2113"/>
    <w:rsid w:val="009F2D05"/>
    <w:rsid w:val="009F60F0"/>
    <w:rsid w:val="009F66C3"/>
    <w:rsid w:val="009F70E5"/>
    <w:rsid w:val="009F7518"/>
    <w:rsid w:val="009F7996"/>
    <w:rsid w:val="009F7C28"/>
    <w:rsid w:val="00A00051"/>
    <w:rsid w:val="00A0010E"/>
    <w:rsid w:val="00A008F6"/>
    <w:rsid w:val="00A018F0"/>
    <w:rsid w:val="00A01B14"/>
    <w:rsid w:val="00A03733"/>
    <w:rsid w:val="00A04B92"/>
    <w:rsid w:val="00A04DD5"/>
    <w:rsid w:val="00A04FD6"/>
    <w:rsid w:val="00A053B4"/>
    <w:rsid w:val="00A05DF8"/>
    <w:rsid w:val="00A06A9F"/>
    <w:rsid w:val="00A070A1"/>
    <w:rsid w:val="00A073E2"/>
    <w:rsid w:val="00A07423"/>
    <w:rsid w:val="00A07EC2"/>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7F7"/>
    <w:rsid w:val="00A16A70"/>
    <w:rsid w:val="00A16FCE"/>
    <w:rsid w:val="00A174A6"/>
    <w:rsid w:val="00A176B2"/>
    <w:rsid w:val="00A21889"/>
    <w:rsid w:val="00A21941"/>
    <w:rsid w:val="00A219C0"/>
    <w:rsid w:val="00A21B8B"/>
    <w:rsid w:val="00A21C45"/>
    <w:rsid w:val="00A2216B"/>
    <w:rsid w:val="00A226B1"/>
    <w:rsid w:val="00A22CFA"/>
    <w:rsid w:val="00A23446"/>
    <w:rsid w:val="00A23D3B"/>
    <w:rsid w:val="00A23D9A"/>
    <w:rsid w:val="00A2412E"/>
    <w:rsid w:val="00A26345"/>
    <w:rsid w:val="00A2743D"/>
    <w:rsid w:val="00A2786F"/>
    <w:rsid w:val="00A27DE4"/>
    <w:rsid w:val="00A27F8D"/>
    <w:rsid w:val="00A3043B"/>
    <w:rsid w:val="00A304A0"/>
    <w:rsid w:val="00A311D6"/>
    <w:rsid w:val="00A3140C"/>
    <w:rsid w:val="00A315F7"/>
    <w:rsid w:val="00A31BB9"/>
    <w:rsid w:val="00A32367"/>
    <w:rsid w:val="00A32860"/>
    <w:rsid w:val="00A32C17"/>
    <w:rsid w:val="00A34FE1"/>
    <w:rsid w:val="00A35BAC"/>
    <w:rsid w:val="00A362A6"/>
    <w:rsid w:val="00A365D7"/>
    <w:rsid w:val="00A366D4"/>
    <w:rsid w:val="00A36C64"/>
    <w:rsid w:val="00A3754D"/>
    <w:rsid w:val="00A3784F"/>
    <w:rsid w:val="00A40042"/>
    <w:rsid w:val="00A40043"/>
    <w:rsid w:val="00A40383"/>
    <w:rsid w:val="00A4044B"/>
    <w:rsid w:val="00A4071E"/>
    <w:rsid w:val="00A4162E"/>
    <w:rsid w:val="00A41C70"/>
    <w:rsid w:val="00A42886"/>
    <w:rsid w:val="00A43E57"/>
    <w:rsid w:val="00A4424E"/>
    <w:rsid w:val="00A4452C"/>
    <w:rsid w:val="00A44D8B"/>
    <w:rsid w:val="00A44FA5"/>
    <w:rsid w:val="00A458BC"/>
    <w:rsid w:val="00A45C52"/>
    <w:rsid w:val="00A46E90"/>
    <w:rsid w:val="00A47041"/>
    <w:rsid w:val="00A47345"/>
    <w:rsid w:val="00A47853"/>
    <w:rsid w:val="00A47880"/>
    <w:rsid w:val="00A50667"/>
    <w:rsid w:val="00A5080B"/>
    <w:rsid w:val="00A50E4C"/>
    <w:rsid w:val="00A51135"/>
    <w:rsid w:val="00A528C2"/>
    <w:rsid w:val="00A529DD"/>
    <w:rsid w:val="00A52A27"/>
    <w:rsid w:val="00A52DA4"/>
    <w:rsid w:val="00A52EAA"/>
    <w:rsid w:val="00A53446"/>
    <w:rsid w:val="00A5406E"/>
    <w:rsid w:val="00A5551F"/>
    <w:rsid w:val="00A55BE7"/>
    <w:rsid w:val="00A55DC9"/>
    <w:rsid w:val="00A56243"/>
    <w:rsid w:val="00A56419"/>
    <w:rsid w:val="00A5663D"/>
    <w:rsid w:val="00A60372"/>
    <w:rsid w:val="00A604D7"/>
    <w:rsid w:val="00A6065C"/>
    <w:rsid w:val="00A610E0"/>
    <w:rsid w:val="00A62043"/>
    <w:rsid w:val="00A62818"/>
    <w:rsid w:val="00A62C27"/>
    <w:rsid w:val="00A62E56"/>
    <w:rsid w:val="00A63478"/>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96C"/>
    <w:rsid w:val="00A66AC0"/>
    <w:rsid w:val="00A66FFD"/>
    <w:rsid w:val="00A67408"/>
    <w:rsid w:val="00A675A1"/>
    <w:rsid w:val="00A677A1"/>
    <w:rsid w:val="00A6789A"/>
    <w:rsid w:val="00A7024C"/>
    <w:rsid w:val="00A704D1"/>
    <w:rsid w:val="00A705BA"/>
    <w:rsid w:val="00A707A7"/>
    <w:rsid w:val="00A707AF"/>
    <w:rsid w:val="00A71111"/>
    <w:rsid w:val="00A71210"/>
    <w:rsid w:val="00A71945"/>
    <w:rsid w:val="00A71B6B"/>
    <w:rsid w:val="00A721F9"/>
    <w:rsid w:val="00A724B3"/>
    <w:rsid w:val="00A72F64"/>
    <w:rsid w:val="00A73167"/>
    <w:rsid w:val="00A73718"/>
    <w:rsid w:val="00A7384C"/>
    <w:rsid w:val="00A74021"/>
    <w:rsid w:val="00A74A6A"/>
    <w:rsid w:val="00A74AFE"/>
    <w:rsid w:val="00A75DD0"/>
    <w:rsid w:val="00A76623"/>
    <w:rsid w:val="00A76C6C"/>
    <w:rsid w:val="00A76DCF"/>
    <w:rsid w:val="00A771D0"/>
    <w:rsid w:val="00A77823"/>
    <w:rsid w:val="00A80072"/>
    <w:rsid w:val="00A80138"/>
    <w:rsid w:val="00A8088B"/>
    <w:rsid w:val="00A80F51"/>
    <w:rsid w:val="00A80FAE"/>
    <w:rsid w:val="00A81C7E"/>
    <w:rsid w:val="00A81D0F"/>
    <w:rsid w:val="00A81F4D"/>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FA7"/>
    <w:rsid w:val="00A9159C"/>
    <w:rsid w:val="00A91927"/>
    <w:rsid w:val="00A920C4"/>
    <w:rsid w:val="00A92155"/>
    <w:rsid w:val="00A92333"/>
    <w:rsid w:val="00A923AC"/>
    <w:rsid w:val="00A927A0"/>
    <w:rsid w:val="00A92BCB"/>
    <w:rsid w:val="00A9384F"/>
    <w:rsid w:val="00A93CC2"/>
    <w:rsid w:val="00A94032"/>
    <w:rsid w:val="00A94382"/>
    <w:rsid w:val="00A94F9A"/>
    <w:rsid w:val="00A9568A"/>
    <w:rsid w:val="00A95967"/>
    <w:rsid w:val="00A95ACA"/>
    <w:rsid w:val="00A95E0D"/>
    <w:rsid w:val="00A9684A"/>
    <w:rsid w:val="00A9685A"/>
    <w:rsid w:val="00A96B79"/>
    <w:rsid w:val="00A974F3"/>
    <w:rsid w:val="00A9799E"/>
    <w:rsid w:val="00AA0BB2"/>
    <w:rsid w:val="00AA18C3"/>
    <w:rsid w:val="00AA3093"/>
    <w:rsid w:val="00AA33DF"/>
    <w:rsid w:val="00AA38C8"/>
    <w:rsid w:val="00AA415B"/>
    <w:rsid w:val="00AA5048"/>
    <w:rsid w:val="00AA5472"/>
    <w:rsid w:val="00AA5477"/>
    <w:rsid w:val="00AA5E23"/>
    <w:rsid w:val="00AA6CAA"/>
    <w:rsid w:val="00AA6CD3"/>
    <w:rsid w:val="00AA6FA4"/>
    <w:rsid w:val="00AA7799"/>
    <w:rsid w:val="00AA79C5"/>
    <w:rsid w:val="00AA7F9B"/>
    <w:rsid w:val="00AB0D55"/>
    <w:rsid w:val="00AB206A"/>
    <w:rsid w:val="00AB24AC"/>
    <w:rsid w:val="00AB250E"/>
    <w:rsid w:val="00AB2F09"/>
    <w:rsid w:val="00AB3E32"/>
    <w:rsid w:val="00AB4C8D"/>
    <w:rsid w:val="00AB4EDE"/>
    <w:rsid w:val="00AB58F4"/>
    <w:rsid w:val="00AB5A71"/>
    <w:rsid w:val="00AB622B"/>
    <w:rsid w:val="00AB6429"/>
    <w:rsid w:val="00AB770A"/>
    <w:rsid w:val="00AB777E"/>
    <w:rsid w:val="00AB7851"/>
    <w:rsid w:val="00AB7DA5"/>
    <w:rsid w:val="00AB7DC3"/>
    <w:rsid w:val="00AC0218"/>
    <w:rsid w:val="00AC021E"/>
    <w:rsid w:val="00AC052B"/>
    <w:rsid w:val="00AC0A97"/>
    <w:rsid w:val="00AC15BE"/>
    <w:rsid w:val="00AC1BA1"/>
    <w:rsid w:val="00AC1C9E"/>
    <w:rsid w:val="00AC2549"/>
    <w:rsid w:val="00AC25B7"/>
    <w:rsid w:val="00AC38DD"/>
    <w:rsid w:val="00AC3B84"/>
    <w:rsid w:val="00AC4326"/>
    <w:rsid w:val="00AC4C80"/>
    <w:rsid w:val="00AC582E"/>
    <w:rsid w:val="00AC5B4C"/>
    <w:rsid w:val="00AC5CC2"/>
    <w:rsid w:val="00AC611C"/>
    <w:rsid w:val="00AC6132"/>
    <w:rsid w:val="00AC6269"/>
    <w:rsid w:val="00AC6F4C"/>
    <w:rsid w:val="00AC7031"/>
    <w:rsid w:val="00AC79AD"/>
    <w:rsid w:val="00AC7B9D"/>
    <w:rsid w:val="00AC7E60"/>
    <w:rsid w:val="00AC7EFF"/>
    <w:rsid w:val="00AD011C"/>
    <w:rsid w:val="00AD0223"/>
    <w:rsid w:val="00AD0311"/>
    <w:rsid w:val="00AD0FBE"/>
    <w:rsid w:val="00AD1202"/>
    <w:rsid w:val="00AD13B9"/>
    <w:rsid w:val="00AD1ACF"/>
    <w:rsid w:val="00AD1DE0"/>
    <w:rsid w:val="00AD2074"/>
    <w:rsid w:val="00AD213A"/>
    <w:rsid w:val="00AD34A3"/>
    <w:rsid w:val="00AD36C0"/>
    <w:rsid w:val="00AD4097"/>
    <w:rsid w:val="00AD40B7"/>
    <w:rsid w:val="00AD4564"/>
    <w:rsid w:val="00AD4F89"/>
    <w:rsid w:val="00AD5169"/>
    <w:rsid w:val="00AD5831"/>
    <w:rsid w:val="00AD650B"/>
    <w:rsid w:val="00AD6AB3"/>
    <w:rsid w:val="00AD6F0F"/>
    <w:rsid w:val="00AE0A30"/>
    <w:rsid w:val="00AE1970"/>
    <w:rsid w:val="00AE1E3F"/>
    <w:rsid w:val="00AE2211"/>
    <w:rsid w:val="00AE28F6"/>
    <w:rsid w:val="00AE2C78"/>
    <w:rsid w:val="00AE328B"/>
    <w:rsid w:val="00AE391E"/>
    <w:rsid w:val="00AE41DA"/>
    <w:rsid w:val="00AE4481"/>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393"/>
    <w:rsid w:val="00AF0868"/>
    <w:rsid w:val="00AF08E2"/>
    <w:rsid w:val="00AF0ED6"/>
    <w:rsid w:val="00AF1BCA"/>
    <w:rsid w:val="00AF1CE7"/>
    <w:rsid w:val="00AF2151"/>
    <w:rsid w:val="00AF22F6"/>
    <w:rsid w:val="00AF2B1A"/>
    <w:rsid w:val="00AF3FF1"/>
    <w:rsid w:val="00AF4A16"/>
    <w:rsid w:val="00AF4DB1"/>
    <w:rsid w:val="00AF53F6"/>
    <w:rsid w:val="00AF5C39"/>
    <w:rsid w:val="00AF5F84"/>
    <w:rsid w:val="00AF61EC"/>
    <w:rsid w:val="00AF6401"/>
    <w:rsid w:val="00AF6599"/>
    <w:rsid w:val="00AF6ECE"/>
    <w:rsid w:val="00AF78DA"/>
    <w:rsid w:val="00AF7A1F"/>
    <w:rsid w:val="00AF7CDF"/>
    <w:rsid w:val="00AF7F0A"/>
    <w:rsid w:val="00B017BC"/>
    <w:rsid w:val="00B01872"/>
    <w:rsid w:val="00B02252"/>
    <w:rsid w:val="00B02507"/>
    <w:rsid w:val="00B02B66"/>
    <w:rsid w:val="00B031AC"/>
    <w:rsid w:val="00B03544"/>
    <w:rsid w:val="00B03CA5"/>
    <w:rsid w:val="00B04117"/>
    <w:rsid w:val="00B04404"/>
    <w:rsid w:val="00B0444E"/>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101C8"/>
    <w:rsid w:val="00B1021A"/>
    <w:rsid w:val="00B1075B"/>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B92"/>
    <w:rsid w:val="00B21EC7"/>
    <w:rsid w:val="00B22218"/>
    <w:rsid w:val="00B22D68"/>
    <w:rsid w:val="00B22E4A"/>
    <w:rsid w:val="00B22FCF"/>
    <w:rsid w:val="00B238AF"/>
    <w:rsid w:val="00B23998"/>
    <w:rsid w:val="00B23ACC"/>
    <w:rsid w:val="00B23C62"/>
    <w:rsid w:val="00B23DAD"/>
    <w:rsid w:val="00B24FEB"/>
    <w:rsid w:val="00B257B0"/>
    <w:rsid w:val="00B2697C"/>
    <w:rsid w:val="00B269D8"/>
    <w:rsid w:val="00B26A06"/>
    <w:rsid w:val="00B278E8"/>
    <w:rsid w:val="00B27B3D"/>
    <w:rsid w:val="00B306B0"/>
    <w:rsid w:val="00B30F8D"/>
    <w:rsid w:val="00B316A6"/>
    <w:rsid w:val="00B31772"/>
    <w:rsid w:val="00B31889"/>
    <w:rsid w:val="00B32007"/>
    <w:rsid w:val="00B3215B"/>
    <w:rsid w:val="00B32ABF"/>
    <w:rsid w:val="00B33007"/>
    <w:rsid w:val="00B344F6"/>
    <w:rsid w:val="00B34AD4"/>
    <w:rsid w:val="00B358CE"/>
    <w:rsid w:val="00B36D36"/>
    <w:rsid w:val="00B37A02"/>
    <w:rsid w:val="00B37B09"/>
    <w:rsid w:val="00B40ED3"/>
    <w:rsid w:val="00B41365"/>
    <w:rsid w:val="00B420BC"/>
    <w:rsid w:val="00B421B9"/>
    <w:rsid w:val="00B42226"/>
    <w:rsid w:val="00B42650"/>
    <w:rsid w:val="00B42E72"/>
    <w:rsid w:val="00B43228"/>
    <w:rsid w:val="00B4372B"/>
    <w:rsid w:val="00B4424A"/>
    <w:rsid w:val="00B442BC"/>
    <w:rsid w:val="00B44A2B"/>
    <w:rsid w:val="00B44AFE"/>
    <w:rsid w:val="00B44E03"/>
    <w:rsid w:val="00B44F11"/>
    <w:rsid w:val="00B467A6"/>
    <w:rsid w:val="00B468BF"/>
    <w:rsid w:val="00B470A8"/>
    <w:rsid w:val="00B473FB"/>
    <w:rsid w:val="00B4758F"/>
    <w:rsid w:val="00B47783"/>
    <w:rsid w:val="00B477C5"/>
    <w:rsid w:val="00B50E12"/>
    <w:rsid w:val="00B50F8E"/>
    <w:rsid w:val="00B51FE5"/>
    <w:rsid w:val="00B5300B"/>
    <w:rsid w:val="00B530E6"/>
    <w:rsid w:val="00B55480"/>
    <w:rsid w:val="00B56123"/>
    <w:rsid w:val="00B56306"/>
    <w:rsid w:val="00B56C4F"/>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6A2E"/>
    <w:rsid w:val="00B67FBB"/>
    <w:rsid w:val="00B70203"/>
    <w:rsid w:val="00B70609"/>
    <w:rsid w:val="00B709B2"/>
    <w:rsid w:val="00B71313"/>
    <w:rsid w:val="00B7134C"/>
    <w:rsid w:val="00B71AA2"/>
    <w:rsid w:val="00B71E13"/>
    <w:rsid w:val="00B72277"/>
    <w:rsid w:val="00B72C6E"/>
    <w:rsid w:val="00B72FDF"/>
    <w:rsid w:val="00B74296"/>
    <w:rsid w:val="00B74397"/>
    <w:rsid w:val="00B758B4"/>
    <w:rsid w:val="00B75A78"/>
    <w:rsid w:val="00B75E18"/>
    <w:rsid w:val="00B75FA0"/>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AD2"/>
    <w:rsid w:val="00B852D7"/>
    <w:rsid w:val="00B852EC"/>
    <w:rsid w:val="00B8540B"/>
    <w:rsid w:val="00B8556E"/>
    <w:rsid w:val="00B8616F"/>
    <w:rsid w:val="00B872B8"/>
    <w:rsid w:val="00B87BA1"/>
    <w:rsid w:val="00B87C4B"/>
    <w:rsid w:val="00B87D22"/>
    <w:rsid w:val="00B903C1"/>
    <w:rsid w:val="00B906C9"/>
    <w:rsid w:val="00B9135F"/>
    <w:rsid w:val="00B9204C"/>
    <w:rsid w:val="00B926EB"/>
    <w:rsid w:val="00B92EA4"/>
    <w:rsid w:val="00B9378E"/>
    <w:rsid w:val="00B9431F"/>
    <w:rsid w:val="00B94696"/>
    <w:rsid w:val="00B95219"/>
    <w:rsid w:val="00B95F23"/>
    <w:rsid w:val="00B9634D"/>
    <w:rsid w:val="00B96966"/>
    <w:rsid w:val="00B970CA"/>
    <w:rsid w:val="00B971F0"/>
    <w:rsid w:val="00BA005F"/>
    <w:rsid w:val="00BA00BA"/>
    <w:rsid w:val="00BA0805"/>
    <w:rsid w:val="00BA0870"/>
    <w:rsid w:val="00BA08A4"/>
    <w:rsid w:val="00BA0CDE"/>
    <w:rsid w:val="00BA1381"/>
    <w:rsid w:val="00BA15AB"/>
    <w:rsid w:val="00BA206C"/>
    <w:rsid w:val="00BA2894"/>
    <w:rsid w:val="00BA2C46"/>
    <w:rsid w:val="00BA2F3E"/>
    <w:rsid w:val="00BA318C"/>
    <w:rsid w:val="00BA3191"/>
    <w:rsid w:val="00BA383E"/>
    <w:rsid w:val="00BA3CE6"/>
    <w:rsid w:val="00BA40C6"/>
    <w:rsid w:val="00BA4493"/>
    <w:rsid w:val="00BA4BC6"/>
    <w:rsid w:val="00BA5AF5"/>
    <w:rsid w:val="00BA5CCA"/>
    <w:rsid w:val="00BA61DE"/>
    <w:rsid w:val="00BA6733"/>
    <w:rsid w:val="00BA730F"/>
    <w:rsid w:val="00BA766D"/>
    <w:rsid w:val="00BB0226"/>
    <w:rsid w:val="00BB0543"/>
    <w:rsid w:val="00BB10AE"/>
    <w:rsid w:val="00BB1782"/>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7BE4"/>
    <w:rsid w:val="00BB7E00"/>
    <w:rsid w:val="00BC000D"/>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32A2"/>
    <w:rsid w:val="00BD362D"/>
    <w:rsid w:val="00BD38AB"/>
    <w:rsid w:val="00BD4243"/>
    <w:rsid w:val="00BD4930"/>
    <w:rsid w:val="00BD4DD3"/>
    <w:rsid w:val="00BD5006"/>
    <w:rsid w:val="00BD5A76"/>
    <w:rsid w:val="00BD5B0E"/>
    <w:rsid w:val="00BD78DA"/>
    <w:rsid w:val="00BD7CD8"/>
    <w:rsid w:val="00BE0563"/>
    <w:rsid w:val="00BE06BB"/>
    <w:rsid w:val="00BE0857"/>
    <w:rsid w:val="00BE4A91"/>
    <w:rsid w:val="00BE4C12"/>
    <w:rsid w:val="00BE4FAA"/>
    <w:rsid w:val="00BE5F24"/>
    <w:rsid w:val="00BE6574"/>
    <w:rsid w:val="00BE6D06"/>
    <w:rsid w:val="00BE7401"/>
    <w:rsid w:val="00BF0E88"/>
    <w:rsid w:val="00BF14E3"/>
    <w:rsid w:val="00BF1A77"/>
    <w:rsid w:val="00BF1FD5"/>
    <w:rsid w:val="00BF2401"/>
    <w:rsid w:val="00BF2916"/>
    <w:rsid w:val="00BF36B8"/>
    <w:rsid w:val="00BF3DAC"/>
    <w:rsid w:val="00BF4191"/>
    <w:rsid w:val="00BF41EF"/>
    <w:rsid w:val="00BF452D"/>
    <w:rsid w:val="00BF56F6"/>
    <w:rsid w:val="00BF5A19"/>
    <w:rsid w:val="00BF5C63"/>
    <w:rsid w:val="00BF5E30"/>
    <w:rsid w:val="00BF680A"/>
    <w:rsid w:val="00BF6986"/>
    <w:rsid w:val="00BF6DF6"/>
    <w:rsid w:val="00BF707E"/>
    <w:rsid w:val="00BF707F"/>
    <w:rsid w:val="00BF72C0"/>
    <w:rsid w:val="00BF7483"/>
    <w:rsid w:val="00BF789B"/>
    <w:rsid w:val="00BF7F62"/>
    <w:rsid w:val="00C0064B"/>
    <w:rsid w:val="00C00CE3"/>
    <w:rsid w:val="00C00E97"/>
    <w:rsid w:val="00C00F2C"/>
    <w:rsid w:val="00C01318"/>
    <w:rsid w:val="00C014DF"/>
    <w:rsid w:val="00C01756"/>
    <w:rsid w:val="00C01E24"/>
    <w:rsid w:val="00C01E4A"/>
    <w:rsid w:val="00C020FC"/>
    <w:rsid w:val="00C03162"/>
    <w:rsid w:val="00C03F5E"/>
    <w:rsid w:val="00C04F4C"/>
    <w:rsid w:val="00C05585"/>
    <w:rsid w:val="00C05E81"/>
    <w:rsid w:val="00C064B0"/>
    <w:rsid w:val="00C066CB"/>
    <w:rsid w:val="00C06BC3"/>
    <w:rsid w:val="00C0710C"/>
    <w:rsid w:val="00C075E1"/>
    <w:rsid w:val="00C07804"/>
    <w:rsid w:val="00C07826"/>
    <w:rsid w:val="00C113CF"/>
    <w:rsid w:val="00C11A0E"/>
    <w:rsid w:val="00C125AA"/>
    <w:rsid w:val="00C128E9"/>
    <w:rsid w:val="00C12FB9"/>
    <w:rsid w:val="00C1328A"/>
    <w:rsid w:val="00C13C6C"/>
    <w:rsid w:val="00C13CF0"/>
    <w:rsid w:val="00C14F5E"/>
    <w:rsid w:val="00C1530D"/>
    <w:rsid w:val="00C15A85"/>
    <w:rsid w:val="00C15C92"/>
    <w:rsid w:val="00C1610C"/>
    <w:rsid w:val="00C16971"/>
    <w:rsid w:val="00C172DD"/>
    <w:rsid w:val="00C1731A"/>
    <w:rsid w:val="00C175AE"/>
    <w:rsid w:val="00C175F3"/>
    <w:rsid w:val="00C17640"/>
    <w:rsid w:val="00C177E1"/>
    <w:rsid w:val="00C1797A"/>
    <w:rsid w:val="00C17A56"/>
    <w:rsid w:val="00C17EFF"/>
    <w:rsid w:val="00C2024C"/>
    <w:rsid w:val="00C20356"/>
    <w:rsid w:val="00C203CC"/>
    <w:rsid w:val="00C20C50"/>
    <w:rsid w:val="00C20C8B"/>
    <w:rsid w:val="00C20DC7"/>
    <w:rsid w:val="00C226D4"/>
    <w:rsid w:val="00C227C2"/>
    <w:rsid w:val="00C22BBB"/>
    <w:rsid w:val="00C23673"/>
    <w:rsid w:val="00C240C1"/>
    <w:rsid w:val="00C251EF"/>
    <w:rsid w:val="00C25271"/>
    <w:rsid w:val="00C25AC2"/>
    <w:rsid w:val="00C25AC5"/>
    <w:rsid w:val="00C25BE5"/>
    <w:rsid w:val="00C269C8"/>
    <w:rsid w:val="00C2751E"/>
    <w:rsid w:val="00C301B7"/>
    <w:rsid w:val="00C30482"/>
    <w:rsid w:val="00C31329"/>
    <w:rsid w:val="00C318BB"/>
    <w:rsid w:val="00C321D0"/>
    <w:rsid w:val="00C32201"/>
    <w:rsid w:val="00C32526"/>
    <w:rsid w:val="00C332A6"/>
    <w:rsid w:val="00C33508"/>
    <w:rsid w:val="00C335BB"/>
    <w:rsid w:val="00C34B22"/>
    <w:rsid w:val="00C3563C"/>
    <w:rsid w:val="00C3571D"/>
    <w:rsid w:val="00C36139"/>
    <w:rsid w:val="00C36A11"/>
    <w:rsid w:val="00C36CD1"/>
    <w:rsid w:val="00C37370"/>
    <w:rsid w:val="00C4021A"/>
    <w:rsid w:val="00C40971"/>
    <w:rsid w:val="00C410A2"/>
    <w:rsid w:val="00C411ED"/>
    <w:rsid w:val="00C421CF"/>
    <w:rsid w:val="00C430A2"/>
    <w:rsid w:val="00C4493C"/>
    <w:rsid w:val="00C44CEB"/>
    <w:rsid w:val="00C44EFB"/>
    <w:rsid w:val="00C45273"/>
    <w:rsid w:val="00C45707"/>
    <w:rsid w:val="00C45B17"/>
    <w:rsid w:val="00C468A2"/>
    <w:rsid w:val="00C47674"/>
    <w:rsid w:val="00C47AB2"/>
    <w:rsid w:val="00C5033B"/>
    <w:rsid w:val="00C5054C"/>
    <w:rsid w:val="00C51426"/>
    <w:rsid w:val="00C5150E"/>
    <w:rsid w:val="00C51513"/>
    <w:rsid w:val="00C51C1C"/>
    <w:rsid w:val="00C51EE2"/>
    <w:rsid w:val="00C52182"/>
    <w:rsid w:val="00C521D7"/>
    <w:rsid w:val="00C526FE"/>
    <w:rsid w:val="00C5285A"/>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578"/>
    <w:rsid w:val="00C57666"/>
    <w:rsid w:val="00C60AC8"/>
    <w:rsid w:val="00C61923"/>
    <w:rsid w:val="00C61967"/>
    <w:rsid w:val="00C61B72"/>
    <w:rsid w:val="00C6220F"/>
    <w:rsid w:val="00C623A4"/>
    <w:rsid w:val="00C62F88"/>
    <w:rsid w:val="00C62F95"/>
    <w:rsid w:val="00C64A56"/>
    <w:rsid w:val="00C64CAA"/>
    <w:rsid w:val="00C66402"/>
    <w:rsid w:val="00C66442"/>
    <w:rsid w:val="00C66522"/>
    <w:rsid w:val="00C6671B"/>
    <w:rsid w:val="00C66E2A"/>
    <w:rsid w:val="00C677B9"/>
    <w:rsid w:val="00C67941"/>
    <w:rsid w:val="00C70076"/>
    <w:rsid w:val="00C70216"/>
    <w:rsid w:val="00C708C7"/>
    <w:rsid w:val="00C70DB2"/>
    <w:rsid w:val="00C719B5"/>
    <w:rsid w:val="00C71A7A"/>
    <w:rsid w:val="00C71C2C"/>
    <w:rsid w:val="00C72DD0"/>
    <w:rsid w:val="00C7350D"/>
    <w:rsid w:val="00C73B18"/>
    <w:rsid w:val="00C73DA8"/>
    <w:rsid w:val="00C7450D"/>
    <w:rsid w:val="00C75BC7"/>
    <w:rsid w:val="00C77141"/>
    <w:rsid w:val="00C77B12"/>
    <w:rsid w:val="00C80A73"/>
    <w:rsid w:val="00C81FB6"/>
    <w:rsid w:val="00C824C9"/>
    <w:rsid w:val="00C82B19"/>
    <w:rsid w:val="00C82DD5"/>
    <w:rsid w:val="00C839F3"/>
    <w:rsid w:val="00C84039"/>
    <w:rsid w:val="00C8430D"/>
    <w:rsid w:val="00C84A6F"/>
    <w:rsid w:val="00C851C9"/>
    <w:rsid w:val="00C8643A"/>
    <w:rsid w:val="00C867CF"/>
    <w:rsid w:val="00C868E4"/>
    <w:rsid w:val="00C87056"/>
    <w:rsid w:val="00C873DA"/>
    <w:rsid w:val="00C874BC"/>
    <w:rsid w:val="00C87C58"/>
    <w:rsid w:val="00C901E9"/>
    <w:rsid w:val="00C908A1"/>
    <w:rsid w:val="00C91B77"/>
    <w:rsid w:val="00C92C19"/>
    <w:rsid w:val="00C9322D"/>
    <w:rsid w:val="00C93440"/>
    <w:rsid w:val="00C93486"/>
    <w:rsid w:val="00C93873"/>
    <w:rsid w:val="00C94491"/>
    <w:rsid w:val="00C94714"/>
    <w:rsid w:val="00C9475A"/>
    <w:rsid w:val="00C95E72"/>
    <w:rsid w:val="00C95E8A"/>
    <w:rsid w:val="00C95EF9"/>
    <w:rsid w:val="00C96340"/>
    <w:rsid w:val="00C963CE"/>
    <w:rsid w:val="00C96498"/>
    <w:rsid w:val="00C96A2A"/>
    <w:rsid w:val="00C96E76"/>
    <w:rsid w:val="00C96ED6"/>
    <w:rsid w:val="00C97184"/>
    <w:rsid w:val="00CA0394"/>
    <w:rsid w:val="00CA05FD"/>
    <w:rsid w:val="00CA0ACA"/>
    <w:rsid w:val="00CA0E57"/>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C7A"/>
    <w:rsid w:val="00CC5890"/>
    <w:rsid w:val="00CC5897"/>
    <w:rsid w:val="00CC5ED4"/>
    <w:rsid w:val="00CC5F7E"/>
    <w:rsid w:val="00CC6B5E"/>
    <w:rsid w:val="00CC72C7"/>
    <w:rsid w:val="00CD01EC"/>
    <w:rsid w:val="00CD05A8"/>
    <w:rsid w:val="00CD08C9"/>
    <w:rsid w:val="00CD0F69"/>
    <w:rsid w:val="00CD1420"/>
    <w:rsid w:val="00CD1679"/>
    <w:rsid w:val="00CD1B43"/>
    <w:rsid w:val="00CD2113"/>
    <w:rsid w:val="00CD2A76"/>
    <w:rsid w:val="00CD4401"/>
    <w:rsid w:val="00CD4508"/>
    <w:rsid w:val="00CD48C6"/>
    <w:rsid w:val="00CD4A3E"/>
    <w:rsid w:val="00CD538A"/>
    <w:rsid w:val="00CD5489"/>
    <w:rsid w:val="00CD5A30"/>
    <w:rsid w:val="00CD5B2C"/>
    <w:rsid w:val="00CD5E60"/>
    <w:rsid w:val="00CD5FA2"/>
    <w:rsid w:val="00CD64C0"/>
    <w:rsid w:val="00CD7051"/>
    <w:rsid w:val="00CD7522"/>
    <w:rsid w:val="00CE02D8"/>
    <w:rsid w:val="00CE0724"/>
    <w:rsid w:val="00CE110B"/>
    <w:rsid w:val="00CE16F1"/>
    <w:rsid w:val="00CE1C13"/>
    <w:rsid w:val="00CE23DB"/>
    <w:rsid w:val="00CE334B"/>
    <w:rsid w:val="00CE45BF"/>
    <w:rsid w:val="00CE477D"/>
    <w:rsid w:val="00CE4AAB"/>
    <w:rsid w:val="00CE5303"/>
    <w:rsid w:val="00CE57D4"/>
    <w:rsid w:val="00CE608F"/>
    <w:rsid w:val="00CE615F"/>
    <w:rsid w:val="00CE6D79"/>
    <w:rsid w:val="00CE6E40"/>
    <w:rsid w:val="00CE724A"/>
    <w:rsid w:val="00CE75BB"/>
    <w:rsid w:val="00CE78E6"/>
    <w:rsid w:val="00CE79C8"/>
    <w:rsid w:val="00CF0293"/>
    <w:rsid w:val="00CF0993"/>
    <w:rsid w:val="00CF09CC"/>
    <w:rsid w:val="00CF0A16"/>
    <w:rsid w:val="00CF0A5F"/>
    <w:rsid w:val="00CF247B"/>
    <w:rsid w:val="00CF2A66"/>
    <w:rsid w:val="00CF2F2C"/>
    <w:rsid w:val="00CF306D"/>
    <w:rsid w:val="00CF308D"/>
    <w:rsid w:val="00CF3296"/>
    <w:rsid w:val="00CF3431"/>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C2B"/>
    <w:rsid w:val="00D00854"/>
    <w:rsid w:val="00D00941"/>
    <w:rsid w:val="00D00A91"/>
    <w:rsid w:val="00D00D58"/>
    <w:rsid w:val="00D01348"/>
    <w:rsid w:val="00D0148E"/>
    <w:rsid w:val="00D01978"/>
    <w:rsid w:val="00D0259D"/>
    <w:rsid w:val="00D02875"/>
    <w:rsid w:val="00D02C25"/>
    <w:rsid w:val="00D0354B"/>
    <w:rsid w:val="00D03C1A"/>
    <w:rsid w:val="00D03DC5"/>
    <w:rsid w:val="00D03E4B"/>
    <w:rsid w:val="00D043E1"/>
    <w:rsid w:val="00D0519F"/>
    <w:rsid w:val="00D05E43"/>
    <w:rsid w:val="00D078A7"/>
    <w:rsid w:val="00D07C26"/>
    <w:rsid w:val="00D10455"/>
    <w:rsid w:val="00D10C72"/>
    <w:rsid w:val="00D11188"/>
    <w:rsid w:val="00D1199D"/>
    <w:rsid w:val="00D12DBB"/>
    <w:rsid w:val="00D130C3"/>
    <w:rsid w:val="00D13287"/>
    <w:rsid w:val="00D13E8D"/>
    <w:rsid w:val="00D15DC3"/>
    <w:rsid w:val="00D16034"/>
    <w:rsid w:val="00D160EA"/>
    <w:rsid w:val="00D16D08"/>
    <w:rsid w:val="00D16D24"/>
    <w:rsid w:val="00D1712C"/>
    <w:rsid w:val="00D17A36"/>
    <w:rsid w:val="00D2039E"/>
    <w:rsid w:val="00D2085B"/>
    <w:rsid w:val="00D20DDF"/>
    <w:rsid w:val="00D20E7F"/>
    <w:rsid w:val="00D213DF"/>
    <w:rsid w:val="00D21497"/>
    <w:rsid w:val="00D2179B"/>
    <w:rsid w:val="00D21ACE"/>
    <w:rsid w:val="00D22129"/>
    <w:rsid w:val="00D224AC"/>
    <w:rsid w:val="00D22505"/>
    <w:rsid w:val="00D2430F"/>
    <w:rsid w:val="00D246BE"/>
    <w:rsid w:val="00D25566"/>
    <w:rsid w:val="00D25B0D"/>
    <w:rsid w:val="00D26064"/>
    <w:rsid w:val="00D26490"/>
    <w:rsid w:val="00D266FF"/>
    <w:rsid w:val="00D26BBE"/>
    <w:rsid w:val="00D279B4"/>
    <w:rsid w:val="00D27B82"/>
    <w:rsid w:val="00D3031E"/>
    <w:rsid w:val="00D30466"/>
    <w:rsid w:val="00D3113F"/>
    <w:rsid w:val="00D31387"/>
    <w:rsid w:val="00D31516"/>
    <w:rsid w:val="00D3162F"/>
    <w:rsid w:val="00D31983"/>
    <w:rsid w:val="00D32AE6"/>
    <w:rsid w:val="00D32E9E"/>
    <w:rsid w:val="00D332EF"/>
    <w:rsid w:val="00D339DD"/>
    <w:rsid w:val="00D33EF3"/>
    <w:rsid w:val="00D34185"/>
    <w:rsid w:val="00D34592"/>
    <w:rsid w:val="00D3475D"/>
    <w:rsid w:val="00D350AD"/>
    <w:rsid w:val="00D353A2"/>
    <w:rsid w:val="00D3570B"/>
    <w:rsid w:val="00D35C89"/>
    <w:rsid w:val="00D35DD2"/>
    <w:rsid w:val="00D35F88"/>
    <w:rsid w:val="00D36148"/>
    <w:rsid w:val="00D3628E"/>
    <w:rsid w:val="00D368D3"/>
    <w:rsid w:val="00D371DB"/>
    <w:rsid w:val="00D376A3"/>
    <w:rsid w:val="00D37CB3"/>
    <w:rsid w:val="00D40708"/>
    <w:rsid w:val="00D40EA1"/>
    <w:rsid w:val="00D41BC1"/>
    <w:rsid w:val="00D41F90"/>
    <w:rsid w:val="00D42BC1"/>
    <w:rsid w:val="00D42D60"/>
    <w:rsid w:val="00D42FC7"/>
    <w:rsid w:val="00D430DA"/>
    <w:rsid w:val="00D43476"/>
    <w:rsid w:val="00D4349B"/>
    <w:rsid w:val="00D445D2"/>
    <w:rsid w:val="00D445EA"/>
    <w:rsid w:val="00D4525E"/>
    <w:rsid w:val="00D45636"/>
    <w:rsid w:val="00D45FED"/>
    <w:rsid w:val="00D46025"/>
    <w:rsid w:val="00D46520"/>
    <w:rsid w:val="00D477E8"/>
    <w:rsid w:val="00D47B6E"/>
    <w:rsid w:val="00D500B1"/>
    <w:rsid w:val="00D5041C"/>
    <w:rsid w:val="00D5053F"/>
    <w:rsid w:val="00D50F90"/>
    <w:rsid w:val="00D5114E"/>
    <w:rsid w:val="00D51B00"/>
    <w:rsid w:val="00D51B08"/>
    <w:rsid w:val="00D51FA3"/>
    <w:rsid w:val="00D52600"/>
    <w:rsid w:val="00D52A76"/>
    <w:rsid w:val="00D52C2B"/>
    <w:rsid w:val="00D53AED"/>
    <w:rsid w:val="00D53FB0"/>
    <w:rsid w:val="00D544B3"/>
    <w:rsid w:val="00D5541A"/>
    <w:rsid w:val="00D5581A"/>
    <w:rsid w:val="00D55936"/>
    <w:rsid w:val="00D56BB6"/>
    <w:rsid w:val="00D56C4B"/>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F99"/>
    <w:rsid w:val="00D65956"/>
    <w:rsid w:val="00D65B2C"/>
    <w:rsid w:val="00D65B34"/>
    <w:rsid w:val="00D6678E"/>
    <w:rsid w:val="00D668C1"/>
    <w:rsid w:val="00D66C67"/>
    <w:rsid w:val="00D67FC2"/>
    <w:rsid w:val="00D70092"/>
    <w:rsid w:val="00D70291"/>
    <w:rsid w:val="00D703F1"/>
    <w:rsid w:val="00D70401"/>
    <w:rsid w:val="00D7150C"/>
    <w:rsid w:val="00D71C72"/>
    <w:rsid w:val="00D7221C"/>
    <w:rsid w:val="00D729DE"/>
    <w:rsid w:val="00D72DA2"/>
    <w:rsid w:val="00D72F8C"/>
    <w:rsid w:val="00D73A9D"/>
    <w:rsid w:val="00D74243"/>
    <w:rsid w:val="00D7473A"/>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0D41"/>
    <w:rsid w:val="00D8121C"/>
    <w:rsid w:val="00D8164A"/>
    <w:rsid w:val="00D81B6E"/>
    <w:rsid w:val="00D81E35"/>
    <w:rsid w:val="00D822EC"/>
    <w:rsid w:val="00D822F5"/>
    <w:rsid w:val="00D8252C"/>
    <w:rsid w:val="00D84C76"/>
    <w:rsid w:val="00D85489"/>
    <w:rsid w:val="00D85B15"/>
    <w:rsid w:val="00D9089D"/>
    <w:rsid w:val="00D913A2"/>
    <w:rsid w:val="00D916D4"/>
    <w:rsid w:val="00D92836"/>
    <w:rsid w:val="00D93BAC"/>
    <w:rsid w:val="00D95240"/>
    <w:rsid w:val="00D957E4"/>
    <w:rsid w:val="00D96A83"/>
    <w:rsid w:val="00D96F9B"/>
    <w:rsid w:val="00D9763A"/>
    <w:rsid w:val="00D9789F"/>
    <w:rsid w:val="00D979E2"/>
    <w:rsid w:val="00D97C15"/>
    <w:rsid w:val="00D97EBB"/>
    <w:rsid w:val="00DA05B4"/>
    <w:rsid w:val="00DA0AC9"/>
    <w:rsid w:val="00DA0D97"/>
    <w:rsid w:val="00DA1855"/>
    <w:rsid w:val="00DA187D"/>
    <w:rsid w:val="00DA26C5"/>
    <w:rsid w:val="00DA34F1"/>
    <w:rsid w:val="00DA4058"/>
    <w:rsid w:val="00DA4684"/>
    <w:rsid w:val="00DA4B0B"/>
    <w:rsid w:val="00DA4B9A"/>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A26"/>
    <w:rsid w:val="00DB7762"/>
    <w:rsid w:val="00DB7DE9"/>
    <w:rsid w:val="00DB7E69"/>
    <w:rsid w:val="00DC06F6"/>
    <w:rsid w:val="00DC0828"/>
    <w:rsid w:val="00DC0B16"/>
    <w:rsid w:val="00DC0B86"/>
    <w:rsid w:val="00DC0D45"/>
    <w:rsid w:val="00DC1118"/>
    <w:rsid w:val="00DC2556"/>
    <w:rsid w:val="00DC2909"/>
    <w:rsid w:val="00DC2D0C"/>
    <w:rsid w:val="00DC355C"/>
    <w:rsid w:val="00DC3E28"/>
    <w:rsid w:val="00DC431F"/>
    <w:rsid w:val="00DC4943"/>
    <w:rsid w:val="00DC555A"/>
    <w:rsid w:val="00DC5D03"/>
    <w:rsid w:val="00DC77E9"/>
    <w:rsid w:val="00DC7B63"/>
    <w:rsid w:val="00DC7C20"/>
    <w:rsid w:val="00DC7EA1"/>
    <w:rsid w:val="00DD0779"/>
    <w:rsid w:val="00DD0A0D"/>
    <w:rsid w:val="00DD2BE6"/>
    <w:rsid w:val="00DD3EB8"/>
    <w:rsid w:val="00DD428B"/>
    <w:rsid w:val="00DD447C"/>
    <w:rsid w:val="00DD57BA"/>
    <w:rsid w:val="00DD5878"/>
    <w:rsid w:val="00DD5F69"/>
    <w:rsid w:val="00DD65A1"/>
    <w:rsid w:val="00DD6EC1"/>
    <w:rsid w:val="00DD6EDD"/>
    <w:rsid w:val="00DD7251"/>
    <w:rsid w:val="00DD7669"/>
    <w:rsid w:val="00DD7F3D"/>
    <w:rsid w:val="00DE0291"/>
    <w:rsid w:val="00DE0443"/>
    <w:rsid w:val="00DE0570"/>
    <w:rsid w:val="00DE067D"/>
    <w:rsid w:val="00DE11F3"/>
    <w:rsid w:val="00DE149C"/>
    <w:rsid w:val="00DE1DBB"/>
    <w:rsid w:val="00DE25F7"/>
    <w:rsid w:val="00DE2C73"/>
    <w:rsid w:val="00DE30AB"/>
    <w:rsid w:val="00DE39F8"/>
    <w:rsid w:val="00DE4BC1"/>
    <w:rsid w:val="00DE4FC0"/>
    <w:rsid w:val="00DE56E7"/>
    <w:rsid w:val="00DE5D31"/>
    <w:rsid w:val="00DE66C0"/>
    <w:rsid w:val="00DE6870"/>
    <w:rsid w:val="00DF0063"/>
    <w:rsid w:val="00DF03B4"/>
    <w:rsid w:val="00DF0422"/>
    <w:rsid w:val="00DF066E"/>
    <w:rsid w:val="00DF0EEC"/>
    <w:rsid w:val="00DF14D6"/>
    <w:rsid w:val="00DF1B36"/>
    <w:rsid w:val="00DF2AC9"/>
    <w:rsid w:val="00DF2CE6"/>
    <w:rsid w:val="00DF2F18"/>
    <w:rsid w:val="00DF5629"/>
    <w:rsid w:val="00DF59FA"/>
    <w:rsid w:val="00DF5B80"/>
    <w:rsid w:val="00DF5C28"/>
    <w:rsid w:val="00DF6350"/>
    <w:rsid w:val="00DF66AB"/>
    <w:rsid w:val="00DF6D5E"/>
    <w:rsid w:val="00DF7161"/>
    <w:rsid w:val="00E005FD"/>
    <w:rsid w:val="00E00DDA"/>
    <w:rsid w:val="00E01192"/>
    <w:rsid w:val="00E0122B"/>
    <w:rsid w:val="00E0171A"/>
    <w:rsid w:val="00E01C89"/>
    <w:rsid w:val="00E01E88"/>
    <w:rsid w:val="00E0229A"/>
    <w:rsid w:val="00E03677"/>
    <w:rsid w:val="00E03873"/>
    <w:rsid w:val="00E04E61"/>
    <w:rsid w:val="00E050A5"/>
    <w:rsid w:val="00E05376"/>
    <w:rsid w:val="00E0539B"/>
    <w:rsid w:val="00E056EA"/>
    <w:rsid w:val="00E06C73"/>
    <w:rsid w:val="00E06F7E"/>
    <w:rsid w:val="00E07AE4"/>
    <w:rsid w:val="00E07F85"/>
    <w:rsid w:val="00E10EF6"/>
    <w:rsid w:val="00E1130B"/>
    <w:rsid w:val="00E11589"/>
    <w:rsid w:val="00E11FA8"/>
    <w:rsid w:val="00E12373"/>
    <w:rsid w:val="00E12583"/>
    <w:rsid w:val="00E12DF5"/>
    <w:rsid w:val="00E130D5"/>
    <w:rsid w:val="00E1384A"/>
    <w:rsid w:val="00E1406E"/>
    <w:rsid w:val="00E140A9"/>
    <w:rsid w:val="00E140C6"/>
    <w:rsid w:val="00E152A2"/>
    <w:rsid w:val="00E155FC"/>
    <w:rsid w:val="00E15991"/>
    <w:rsid w:val="00E15FD6"/>
    <w:rsid w:val="00E17809"/>
    <w:rsid w:val="00E20827"/>
    <w:rsid w:val="00E20EC3"/>
    <w:rsid w:val="00E22EFF"/>
    <w:rsid w:val="00E232C6"/>
    <w:rsid w:val="00E23727"/>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57"/>
    <w:rsid w:val="00E30A7C"/>
    <w:rsid w:val="00E31871"/>
    <w:rsid w:val="00E32991"/>
    <w:rsid w:val="00E32E41"/>
    <w:rsid w:val="00E340BA"/>
    <w:rsid w:val="00E34780"/>
    <w:rsid w:val="00E34E0E"/>
    <w:rsid w:val="00E35567"/>
    <w:rsid w:val="00E35D7B"/>
    <w:rsid w:val="00E36083"/>
    <w:rsid w:val="00E360BA"/>
    <w:rsid w:val="00E36A49"/>
    <w:rsid w:val="00E36CE3"/>
    <w:rsid w:val="00E377E5"/>
    <w:rsid w:val="00E37B92"/>
    <w:rsid w:val="00E4102A"/>
    <w:rsid w:val="00E4179E"/>
    <w:rsid w:val="00E41F6B"/>
    <w:rsid w:val="00E421C5"/>
    <w:rsid w:val="00E42649"/>
    <w:rsid w:val="00E4279C"/>
    <w:rsid w:val="00E427BC"/>
    <w:rsid w:val="00E427DD"/>
    <w:rsid w:val="00E43140"/>
    <w:rsid w:val="00E436B7"/>
    <w:rsid w:val="00E43779"/>
    <w:rsid w:val="00E43A40"/>
    <w:rsid w:val="00E44650"/>
    <w:rsid w:val="00E44D89"/>
    <w:rsid w:val="00E459C5"/>
    <w:rsid w:val="00E45A22"/>
    <w:rsid w:val="00E45E1C"/>
    <w:rsid w:val="00E45F5B"/>
    <w:rsid w:val="00E46977"/>
    <w:rsid w:val="00E46E98"/>
    <w:rsid w:val="00E50403"/>
    <w:rsid w:val="00E507BF"/>
    <w:rsid w:val="00E509EF"/>
    <w:rsid w:val="00E5121E"/>
    <w:rsid w:val="00E5180D"/>
    <w:rsid w:val="00E5338E"/>
    <w:rsid w:val="00E53477"/>
    <w:rsid w:val="00E54DD7"/>
    <w:rsid w:val="00E54EED"/>
    <w:rsid w:val="00E55075"/>
    <w:rsid w:val="00E557D4"/>
    <w:rsid w:val="00E571CF"/>
    <w:rsid w:val="00E57EBD"/>
    <w:rsid w:val="00E60B50"/>
    <w:rsid w:val="00E61014"/>
    <w:rsid w:val="00E61D94"/>
    <w:rsid w:val="00E6231D"/>
    <w:rsid w:val="00E62325"/>
    <w:rsid w:val="00E631D0"/>
    <w:rsid w:val="00E644FE"/>
    <w:rsid w:val="00E646DF"/>
    <w:rsid w:val="00E64D24"/>
    <w:rsid w:val="00E64E58"/>
    <w:rsid w:val="00E64EB4"/>
    <w:rsid w:val="00E6506D"/>
    <w:rsid w:val="00E65ABB"/>
    <w:rsid w:val="00E66E80"/>
    <w:rsid w:val="00E66ED5"/>
    <w:rsid w:val="00E676A3"/>
    <w:rsid w:val="00E6773B"/>
    <w:rsid w:val="00E7000E"/>
    <w:rsid w:val="00E70179"/>
    <w:rsid w:val="00E7085F"/>
    <w:rsid w:val="00E70C7A"/>
    <w:rsid w:val="00E72676"/>
    <w:rsid w:val="00E72966"/>
    <w:rsid w:val="00E7338F"/>
    <w:rsid w:val="00E73F11"/>
    <w:rsid w:val="00E74F4C"/>
    <w:rsid w:val="00E7539E"/>
    <w:rsid w:val="00E75489"/>
    <w:rsid w:val="00E75CD0"/>
    <w:rsid w:val="00E767E6"/>
    <w:rsid w:val="00E76EFE"/>
    <w:rsid w:val="00E7750D"/>
    <w:rsid w:val="00E7761C"/>
    <w:rsid w:val="00E77A3E"/>
    <w:rsid w:val="00E77CFB"/>
    <w:rsid w:val="00E8039F"/>
    <w:rsid w:val="00E804A5"/>
    <w:rsid w:val="00E80A00"/>
    <w:rsid w:val="00E8180A"/>
    <w:rsid w:val="00E82C10"/>
    <w:rsid w:val="00E82E62"/>
    <w:rsid w:val="00E8333B"/>
    <w:rsid w:val="00E83AF6"/>
    <w:rsid w:val="00E84040"/>
    <w:rsid w:val="00E846BC"/>
    <w:rsid w:val="00E84738"/>
    <w:rsid w:val="00E85229"/>
    <w:rsid w:val="00E853CC"/>
    <w:rsid w:val="00E85DDA"/>
    <w:rsid w:val="00E86615"/>
    <w:rsid w:val="00E86E18"/>
    <w:rsid w:val="00E87A02"/>
    <w:rsid w:val="00E901F1"/>
    <w:rsid w:val="00E9083A"/>
    <w:rsid w:val="00E90B31"/>
    <w:rsid w:val="00E90C01"/>
    <w:rsid w:val="00E91843"/>
    <w:rsid w:val="00E91AB3"/>
    <w:rsid w:val="00E91C7E"/>
    <w:rsid w:val="00E91CD4"/>
    <w:rsid w:val="00E922B6"/>
    <w:rsid w:val="00E923F5"/>
    <w:rsid w:val="00E92AB2"/>
    <w:rsid w:val="00E9338A"/>
    <w:rsid w:val="00E937D9"/>
    <w:rsid w:val="00E93985"/>
    <w:rsid w:val="00E93C77"/>
    <w:rsid w:val="00E93C91"/>
    <w:rsid w:val="00E93E7A"/>
    <w:rsid w:val="00E947B2"/>
    <w:rsid w:val="00E948DE"/>
    <w:rsid w:val="00E950FA"/>
    <w:rsid w:val="00E9566A"/>
    <w:rsid w:val="00E95C32"/>
    <w:rsid w:val="00E96607"/>
    <w:rsid w:val="00E968FC"/>
    <w:rsid w:val="00E96A02"/>
    <w:rsid w:val="00E977A2"/>
    <w:rsid w:val="00E97B99"/>
    <w:rsid w:val="00E97F80"/>
    <w:rsid w:val="00EA0696"/>
    <w:rsid w:val="00EA0A33"/>
    <w:rsid w:val="00EA0E29"/>
    <w:rsid w:val="00EA0E9E"/>
    <w:rsid w:val="00EA1234"/>
    <w:rsid w:val="00EA1417"/>
    <w:rsid w:val="00EA1A10"/>
    <w:rsid w:val="00EA1CAC"/>
    <w:rsid w:val="00EA21B2"/>
    <w:rsid w:val="00EA2D21"/>
    <w:rsid w:val="00EA33D6"/>
    <w:rsid w:val="00EA388E"/>
    <w:rsid w:val="00EA3A17"/>
    <w:rsid w:val="00EA539B"/>
    <w:rsid w:val="00EA54BC"/>
    <w:rsid w:val="00EA56EC"/>
    <w:rsid w:val="00EA610B"/>
    <w:rsid w:val="00EA647E"/>
    <w:rsid w:val="00EA652F"/>
    <w:rsid w:val="00EA7498"/>
    <w:rsid w:val="00EA74B4"/>
    <w:rsid w:val="00EA7782"/>
    <w:rsid w:val="00EB00EB"/>
    <w:rsid w:val="00EB025C"/>
    <w:rsid w:val="00EB07FB"/>
    <w:rsid w:val="00EB1400"/>
    <w:rsid w:val="00EB14E7"/>
    <w:rsid w:val="00EB24DD"/>
    <w:rsid w:val="00EB29E5"/>
    <w:rsid w:val="00EB30DA"/>
    <w:rsid w:val="00EB3966"/>
    <w:rsid w:val="00EB400F"/>
    <w:rsid w:val="00EB44F3"/>
    <w:rsid w:val="00EB4CC4"/>
    <w:rsid w:val="00EB4F84"/>
    <w:rsid w:val="00EB5566"/>
    <w:rsid w:val="00EB5954"/>
    <w:rsid w:val="00EB65BE"/>
    <w:rsid w:val="00EB7560"/>
    <w:rsid w:val="00EB777D"/>
    <w:rsid w:val="00EB7798"/>
    <w:rsid w:val="00EB78F3"/>
    <w:rsid w:val="00EB7CDC"/>
    <w:rsid w:val="00EC039D"/>
    <w:rsid w:val="00EC0644"/>
    <w:rsid w:val="00EC0CFB"/>
    <w:rsid w:val="00EC16F6"/>
    <w:rsid w:val="00EC2221"/>
    <w:rsid w:val="00EC2B34"/>
    <w:rsid w:val="00EC2CD5"/>
    <w:rsid w:val="00EC2D76"/>
    <w:rsid w:val="00EC325F"/>
    <w:rsid w:val="00EC33FD"/>
    <w:rsid w:val="00EC3D85"/>
    <w:rsid w:val="00EC3E92"/>
    <w:rsid w:val="00EC411E"/>
    <w:rsid w:val="00EC46E8"/>
    <w:rsid w:val="00EC49C8"/>
    <w:rsid w:val="00EC49D1"/>
    <w:rsid w:val="00EC5054"/>
    <w:rsid w:val="00EC54DC"/>
    <w:rsid w:val="00EC6398"/>
    <w:rsid w:val="00EC6433"/>
    <w:rsid w:val="00EC72A5"/>
    <w:rsid w:val="00EC773D"/>
    <w:rsid w:val="00EC7E44"/>
    <w:rsid w:val="00EC7F40"/>
    <w:rsid w:val="00ED058A"/>
    <w:rsid w:val="00ED0DA3"/>
    <w:rsid w:val="00ED18BA"/>
    <w:rsid w:val="00ED1EA3"/>
    <w:rsid w:val="00ED2158"/>
    <w:rsid w:val="00ED263D"/>
    <w:rsid w:val="00ED2938"/>
    <w:rsid w:val="00ED297B"/>
    <w:rsid w:val="00ED29A2"/>
    <w:rsid w:val="00ED2EE3"/>
    <w:rsid w:val="00ED3513"/>
    <w:rsid w:val="00ED36D4"/>
    <w:rsid w:val="00ED3854"/>
    <w:rsid w:val="00ED4889"/>
    <w:rsid w:val="00ED5008"/>
    <w:rsid w:val="00ED5368"/>
    <w:rsid w:val="00ED53FD"/>
    <w:rsid w:val="00ED55B2"/>
    <w:rsid w:val="00ED5718"/>
    <w:rsid w:val="00ED72BC"/>
    <w:rsid w:val="00ED7B70"/>
    <w:rsid w:val="00EE0DCF"/>
    <w:rsid w:val="00EE0FD0"/>
    <w:rsid w:val="00EE125D"/>
    <w:rsid w:val="00EE1469"/>
    <w:rsid w:val="00EE2180"/>
    <w:rsid w:val="00EE2A31"/>
    <w:rsid w:val="00EE334F"/>
    <w:rsid w:val="00EE33D1"/>
    <w:rsid w:val="00EE365F"/>
    <w:rsid w:val="00EE4095"/>
    <w:rsid w:val="00EE4E11"/>
    <w:rsid w:val="00EE4FDA"/>
    <w:rsid w:val="00EE4FF8"/>
    <w:rsid w:val="00EE5183"/>
    <w:rsid w:val="00EE62B3"/>
    <w:rsid w:val="00EE63B1"/>
    <w:rsid w:val="00EE6419"/>
    <w:rsid w:val="00EE6D94"/>
    <w:rsid w:val="00EE7123"/>
    <w:rsid w:val="00EE788B"/>
    <w:rsid w:val="00EF0031"/>
    <w:rsid w:val="00EF03E3"/>
    <w:rsid w:val="00EF1F73"/>
    <w:rsid w:val="00EF228A"/>
    <w:rsid w:val="00EF248B"/>
    <w:rsid w:val="00EF290A"/>
    <w:rsid w:val="00EF3282"/>
    <w:rsid w:val="00EF38E7"/>
    <w:rsid w:val="00EF3968"/>
    <w:rsid w:val="00EF52F1"/>
    <w:rsid w:val="00EF534A"/>
    <w:rsid w:val="00EF53CB"/>
    <w:rsid w:val="00EF5EB0"/>
    <w:rsid w:val="00EF6692"/>
    <w:rsid w:val="00EF6C04"/>
    <w:rsid w:val="00EF7ADF"/>
    <w:rsid w:val="00EF7FA2"/>
    <w:rsid w:val="00F00627"/>
    <w:rsid w:val="00F00ED2"/>
    <w:rsid w:val="00F0110F"/>
    <w:rsid w:val="00F0131E"/>
    <w:rsid w:val="00F0244C"/>
    <w:rsid w:val="00F024D3"/>
    <w:rsid w:val="00F03E08"/>
    <w:rsid w:val="00F049D5"/>
    <w:rsid w:val="00F051BA"/>
    <w:rsid w:val="00F05309"/>
    <w:rsid w:val="00F0534F"/>
    <w:rsid w:val="00F067F3"/>
    <w:rsid w:val="00F06ABA"/>
    <w:rsid w:val="00F06BDE"/>
    <w:rsid w:val="00F07628"/>
    <w:rsid w:val="00F109E7"/>
    <w:rsid w:val="00F10A0F"/>
    <w:rsid w:val="00F112A1"/>
    <w:rsid w:val="00F1249E"/>
    <w:rsid w:val="00F125C7"/>
    <w:rsid w:val="00F12DD5"/>
    <w:rsid w:val="00F12F4A"/>
    <w:rsid w:val="00F1306C"/>
    <w:rsid w:val="00F143E7"/>
    <w:rsid w:val="00F14985"/>
    <w:rsid w:val="00F14992"/>
    <w:rsid w:val="00F14A2D"/>
    <w:rsid w:val="00F15345"/>
    <w:rsid w:val="00F16772"/>
    <w:rsid w:val="00F16FA8"/>
    <w:rsid w:val="00F177FD"/>
    <w:rsid w:val="00F17E08"/>
    <w:rsid w:val="00F20B9C"/>
    <w:rsid w:val="00F20F94"/>
    <w:rsid w:val="00F21950"/>
    <w:rsid w:val="00F21ABA"/>
    <w:rsid w:val="00F21F45"/>
    <w:rsid w:val="00F21FB3"/>
    <w:rsid w:val="00F227AF"/>
    <w:rsid w:val="00F23528"/>
    <w:rsid w:val="00F23AC5"/>
    <w:rsid w:val="00F24279"/>
    <w:rsid w:val="00F24363"/>
    <w:rsid w:val="00F2561F"/>
    <w:rsid w:val="00F2576A"/>
    <w:rsid w:val="00F275FB"/>
    <w:rsid w:val="00F27A0A"/>
    <w:rsid w:val="00F27F57"/>
    <w:rsid w:val="00F30131"/>
    <w:rsid w:val="00F30B1F"/>
    <w:rsid w:val="00F311BE"/>
    <w:rsid w:val="00F31200"/>
    <w:rsid w:val="00F314B9"/>
    <w:rsid w:val="00F31B72"/>
    <w:rsid w:val="00F334A3"/>
    <w:rsid w:val="00F34002"/>
    <w:rsid w:val="00F34EBD"/>
    <w:rsid w:val="00F35604"/>
    <w:rsid w:val="00F35BA4"/>
    <w:rsid w:val="00F3607C"/>
    <w:rsid w:val="00F36173"/>
    <w:rsid w:val="00F363A5"/>
    <w:rsid w:val="00F36706"/>
    <w:rsid w:val="00F368D3"/>
    <w:rsid w:val="00F376A8"/>
    <w:rsid w:val="00F3778D"/>
    <w:rsid w:val="00F4014C"/>
    <w:rsid w:val="00F401FF"/>
    <w:rsid w:val="00F40579"/>
    <w:rsid w:val="00F40A22"/>
    <w:rsid w:val="00F40EAE"/>
    <w:rsid w:val="00F414DA"/>
    <w:rsid w:val="00F41965"/>
    <w:rsid w:val="00F41F14"/>
    <w:rsid w:val="00F4265F"/>
    <w:rsid w:val="00F428D2"/>
    <w:rsid w:val="00F42EAC"/>
    <w:rsid w:val="00F4318B"/>
    <w:rsid w:val="00F435FD"/>
    <w:rsid w:val="00F448ED"/>
    <w:rsid w:val="00F44C08"/>
    <w:rsid w:val="00F455A8"/>
    <w:rsid w:val="00F45F70"/>
    <w:rsid w:val="00F45FF7"/>
    <w:rsid w:val="00F462FE"/>
    <w:rsid w:val="00F46E38"/>
    <w:rsid w:val="00F47171"/>
    <w:rsid w:val="00F47B0C"/>
    <w:rsid w:val="00F50587"/>
    <w:rsid w:val="00F507DA"/>
    <w:rsid w:val="00F514B6"/>
    <w:rsid w:val="00F51798"/>
    <w:rsid w:val="00F5197D"/>
    <w:rsid w:val="00F521A9"/>
    <w:rsid w:val="00F526BB"/>
    <w:rsid w:val="00F529C3"/>
    <w:rsid w:val="00F5325F"/>
    <w:rsid w:val="00F5366A"/>
    <w:rsid w:val="00F536EA"/>
    <w:rsid w:val="00F53A85"/>
    <w:rsid w:val="00F54067"/>
    <w:rsid w:val="00F54769"/>
    <w:rsid w:val="00F54D71"/>
    <w:rsid w:val="00F5512F"/>
    <w:rsid w:val="00F56A22"/>
    <w:rsid w:val="00F56C34"/>
    <w:rsid w:val="00F56D0B"/>
    <w:rsid w:val="00F57A60"/>
    <w:rsid w:val="00F57B39"/>
    <w:rsid w:val="00F60245"/>
    <w:rsid w:val="00F605BE"/>
    <w:rsid w:val="00F610E7"/>
    <w:rsid w:val="00F6296D"/>
    <w:rsid w:val="00F62A0E"/>
    <w:rsid w:val="00F632EB"/>
    <w:rsid w:val="00F63488"/>
    <w:rsid w:val="00F63496"/>
    <w:rsid w:val="00F63594"/>
    <w:rsid w:val="00F635A5"/>
    <w:rsid w:val="00F63DE0"/>
    <w:rsid w:val="00F645C0"/>
    <w:rsid w:val="00F64ABC"/>
    <w:rsid w:val="00F64CC0"/>
    <w:rsid w:val="00F64E9A"/>
    <w:rsid w:val="00F65D33"/>
    <w:rsid w:val="00F66117"/>
    <w:rsid w:val="00F66449"/>
    <w:rsid w:val="00F66E5F"/>
    <w:rsid w:val="00F679B6"/>
    <w:rsid w:val="00F7003B"/>
    <w:rsid w:val="00F7043A"/>
    <w:rsid w:val="00F70660"/>
    <w:rsid w:val="00F7145E"/>
    <w:rsid w:val="00F7230E"/>
    <w:rsid w:val="00F726C8"/>
    <w:rsid w:val="00F72C5A"/>
    <w:rsid w:val="00F73438"/>
    <w:rsid w:val="00F7442F"/>
    <w:rsid w:val="00F74659"/>
    <w:rsid w:val="00F74872"/>
    <w:rsid w:val="00F748F2"/>
    <w:rsid w:val="00F74A6A"/>
    <w:rsid w:val="00F7533A"/>
    <w:rsid w:val="00F75BDF"/>
    <w:rsid w:val="00F76E1B"/>
    <w:rsid w:val="00F76FE0"/>
    <w:rsid w:val="00F77194"/>
    <w:rsid w:val="00F77ECA"/>
    <w:rsid w:val="00F80CF6"/>
    <w:rsid w:val="00F81267"/>
    <w:rsid w:val="00F81550"/>
    <w:rsid w:val="00F81E7F"/>
    <w:rsid w:val="00F8203F"/>
    <w:rsid w:val="00F82955"/>
    <w:rsid w:val="00F83B6A"/>
    <w:rsid w:val="00F83F89"/>
    <w:rsid w:val="00F8578E"/>
    <w:rsid w:val="00F857DD"/>
    <w:rsid w:val="00F85D2C"/>
    <w:rsid w:val="00F86051"/>
    <w:rsid w:val="00F8689B"/>
    <w:rsid w:val="00F86AC2"/>
    <w:rsid w:val="00F87A03"/>
    <w:rsid w:val="00F905A5"/>
    <w:rsid w:val="00F90A5E"/>
    <w:rsid w:val="00F90F1B"/>
    <w:rsid w:val="00F91586"/>
    <w:rsid w:val="00F91BAB"/>
    <w:rsid w:val="00F92289"/>
    <w:rsid w:val="00F93146"/>
    <w:rsid w:val="00F931F4"/>
    <w:rsid w:val="00F93303"/>
    <w:rsid w:val="00F939A7"/>
    <w:rsid w:val="00F94659"/>
    <w:rsid w:val="00F9585A"/>
    <w:rsid w:val="00F95B83"/>
    <w:rsid w:val="00F973FA"/>
    <w:rsid w:val="00F97C3F"/>
    <w:rsid w:val="00F97E2B"/>
    <w:rsid w:val="00FA180B"/>
    <w:rsid w:val="00FA2462"/>
    <w:rsid w:val="00FA2526"/>
    <w:rsid w:val="00FA253A"/>
    <w:rsid w:val="00FA2E2E"/>
    <w:rsid w:val="00FA2FA0"/>
    <w:rsid w:val="00FA369D"/>
    <w:rsid w:val="00FA39E5"/>
    <w:rsid w:val="00FA3B3E"/>
    <w:rsid w:val="00FA3E57"/>
    <w:rsid w:val="00FA476C"/>
    <w:rsid w:val="00FA4A04"/>
    <w:rsid w:val="00FA4AE1"/>
    <w:rsid w:val="00FA50D5"/>
    <w:rsid w:val="00FA5891"/>
    <w:rsid w:val="00FA61A3"/>
    <w:rsid w:val="00FA6A01"/>
    <w:rsid w:val="00FA6F2C"/>
    <w:rsid w:val="00FA6FF8"/>
    <w:rsid w:val="00FA73D0"/>
    <w:rsid w:val="00FA73EA"/>
    <w:rsid w:val="00FA7AAF"/>
    <w:rsid w:val="00FA7EA1"/>
    <w:rsid w:val="00FB0230"/>
    <w:rsid w:val="00FB0530"/>
    <w:rsid w:val="00FB0DCC"/>
    <w:rsid w:val="00FB15FE"/>
    <w:rsid w:val="00FB1717"/>
    <w:rsid w:val="00FB1927"/>
    <w:rsid w:val="00FB30E7"/>
    <w:rsid w:val="00FB32AA"/>
    <w:rsid w:val="00FB3AA8"/>
    <w:rsid w:val="00FB3C8E"/>
    <w:rsid w:val="00FB403C"/>
    <w:rsid w:val="00FB4AC9"/>
    <w:rsid w:val="00FB5A43"/>
    <w:rsid w:val="00FB5CC4"/>
    <w:rsid w:val="00FB5D7F"/>
    <w:rsid w:val="00FB6465"/>
    <w:rsid w:val="00FB6AEC"/>
    <w:rsid w:val="00FB73CB"/>
    <w:rsid w:val="00FC11E6"/>
    <w:rsid w:val="00FC1436"/>
    <w:rsid w:val="00FC17E3"/>
    <w:rsid w:val="00FC18B0"/>
    <w:rsid w:val="00FC1B73"/>
    <w:rsid w:val="00FC2250"/>
    <w:rsid w:val="00FC2A98"/>
    <w:rsid w:val="00FC349C"/>
    <w:rsid w:val="00FC43FA"/>
    <w:rsid w:val="00FC479C"/>
    <w:rsid w:val="00FC4D2A"/>
    <w:rsid w:val="00FC4D40"/>
    <w:rsid w:val="00FC552B"/>
    <w:rsid w:val="00FC653E"/>
    <w:rsid w:val="00FC69F2"/>
    <w:rsid w:val="00FC6EC3"/>
    <w:rsid w:val="00FC762B"/>
    <w:rsid w:val="00FC7902"/>
    <w:rsid w:val="00FC7915"/>
    <w:rsid w:val="00FC7919"/>
    <w:rsid w:val="00FC7A32"/>
    <w:rsid w:val="00FD0AF8"/>
    <w:rsid w:val="00FD0F75"/>
    <w:rsid w:val="00FD1111"/>
    <w:rsid w:val="00FD119A"/>
    <w:rsid w:val="00FD17A4"/>
    <w:rsid w:val="00FD1AF9"/>
    <w:rsid w:val="00FD2283"/>
    <w:rsid w:val="00FD278C"/>
    <w:rsid w:val="00FD2B9C"/>
    <w:rsid w:val="00FD322B"/>
    <w:rsid w:val="00FD3AA7"/>
    <w:rsid w:val="00FD3E39"/>
    <w:rsid w:val="00FD4257"/>
    <w:rsid w:val="00FD4D04"/>
    <w:rsid w:val="00FD592D"/>
    <w:rsid w:val="00FD593C"/>
    <w:rsid w:val="00FD60EF"/>
    <w:rsid w:val="00FD6B24"/>
    <w:rsid w:val="00FD75EC"/>
    <w:rsid w:val="00FD7B56"/>
    <w:rsid w:val="00FE007F"/>
    <w:rsid w:val="00FE037A"/>
    <w:rsid w:val="00FE0EB3"/>
    <w:rsid w:val="00FE0EC9"/>
    <w:rsid w:val="00FE0F05"/>
    <w:rsid w:val="00FE0F98"/>
    <w:rsid w:val="00FE1095"/>
    <w:rsid w:val="00FE1242"/>
    <w:rsid w:val="00FE131D"/>
    <w:rsid w:val="00FE1549"/>
    <w:rsid w:val="00FE1BD3"/>
    <w:rsid w:val="00FE1EE2"/>
    <w:rsid w:val="00FE23F7"/>
    <w:rsid w:val="00FE25A8"/>
    <w:rsid w:val="00FE2740"/>
    <w:rsid w:val="00FE292F"/>
    <w:rsid w:val="00FE2B74"/>
    <w:rsid w:val="00FE32F4"/>
    <w:rsid w:val="00FE3548"/>
    <w:rsid w:val="00FE372B"/>
    <w:rsid w:val="00FE397E"/>
    <w:rsid w:val="00FE4541"/>
    <w:rsid w:val="00FE4C81"/>
    <w:rsid w:val="00FE4D69"/>
    <w:rsid w:val="00FE56A1"/>
    <w:rsid w:val="00FE58D8"/>
    <w:rsid w:val="00FE7410"/>
    <w:rsid w:val="00FE7B4C"/>
    <w:rsid w:val="00FE7E54"/>
    <w:rsid w:val="00FF0041"/>
    <w:rsid w:val="00FF0B30"/>
    <w:rsid w:val="00FF0E23"/>
    <w:rsid w:val="00FF12E8"/>
    <w:rsid w:val="00FF2266"/>
    <w:rsid w:val="00FF2D43"/>
    <w:rsid w:val="00FF31C3"/>
    <w:rsid w:val="00FF36BB"/>
    <w:rsid w:val="00FF3789"/>
    <w:rsid w:val="00FF3A99"/>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4188"/>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pPr>
      <w:spacing w:after="0" w:line="240" w:lineRule="auto"/>
      <w:jc w:val="left"/>
    </w:pPr>
    <w:rPr>
      <w:rFonts w:eastAsia="Times New Roman" w:cs="Times New Roman"/>
      <w:sz w:val="20"/>
      <w:szCs w:val="20"/>
      <w:lang w:eastAsia="bg-BG"/>
    </w:rPr>
  </w:style>
  <w:style w:type="character" w:customStyle="1" w:styleId="FootnoteTextChar">
    <w:name w:val="Footnote Text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4188"/>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pPr>
      <w:spacing w:after="0" w:line="240" w:lineRule="auto"/>
      <w:jc w:val="left"/>
    </w:pPr>
    <w:rPr>
      <w:rFonts w:eastAsia="Times New Roman" w:cs="Times New Roman"/>
      <w:sz w:val="20"/>
      <w:szCs w:val="20"/>
      <w:lang w:eastAsia="bg-BG"/>
    </w:rPr>
  </w:style>
  <w:style w:type="character" w:customStyle="1" w:styleId="FootnoteTextChar">
    <w:name w:val="Footnote Text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nicreditbulbank.bg/bg/index.htm" TargetMode="External"/><Relationship Id="rId18" Type="http://schemas.openxmlformats.org/officeDocument/2006/relationships/hyperlink" Target="http://www.esfri.eu/esfri-news/esfri-roadmap-2018-guide-proposers-available-online" TargetMode="External"/><Relationship Id="rId26" Type="http://schemas.openxmlformats.org/officeDocument/2006/relationships/hyperlink" Target="https://www.fni.bg/sites/default/files/obqvi/9_2016/Forumi_Otgovori-18092016.pdf" TargetMode="External"/><Relationship Id="rId39" Type="http://schemas.openxmlformats.org/officeDocument/2006/relationships/hyperlink" Target="http://humangenetics.conferenceseries.com/" TargetMode="External"/><Relationship Id="rId21" Type="http://schemas.openxmlformats.org/officeDocument/2006/relationships/hyperlink" Target="http://www.esfri.eu/sites/default/files/docs/ESFRI%20RD2018_National%20contacts.pdf" TargetMode="External"/><Relationship Id="rId34" Type="http://schemas.openxmlformats.org/officeDocument/2006/relationships/hyperlink" Target="http://dynacomp-project.eu/workshop-on-composite-materials/" TargetMode="External"/><Relationship Id="rId42" Type="http://schemas.openxmlformats.org/officeDocument/2006/relationships/hyperlink" Target="https://www.ares-conference.eu/conference/workshops/secpid-2017/" TargetMode="External"/><Relationship Id="rId47" Type="http://schemas.openxmlformats.org/officeDocument/2006/relationships/hyperlink" Target="http://scientificfederation.com/materials-science-2017/" TargetMode="External"/><Relationship Id="rId50" Type="http://schemas.openxmlformats.org/officeDocument/2006/relationships/hyperlink" Target="http://www.eua.be/activities-services/events/event/2017/09/28/default-calendar/european-learning-teaching-forum" TargetMode="External"/><Relationship Id="rId55" Type="http://schemas.openxmlformats.org/officeDocument/2006/relationships/hyperlink" Target="https://bookshop.europa.eu/en/research-eu-results-magazine-pbZZAC17004/?CatalogCategoryID=Gj0KABst5F4AAAEjsZAY4e5L" TargetMode="External"/><Relationship Id="rId63" Type="http://schemas.openxmlformats.org/officeDocument/2006/relationships/hyperlink" Target="https://bookshop.europa.eu/en/europe-s-future-pbKI0217113/" TargetMode="External"/><Relationship Id="rId68" Type="http://schemas.openxmlformats.org/officeDocument/2006/relationships/hyperlink" Target="http://www.palgrave.com/us/book/9783319520568" TargetMode="External"/><Relationship Id="rId7" Type="http://schemas.openxmlformats.org/officeDocument/2006/relationships/webSettings" Target="webSettings.xml"/><Relationship Id="rId71"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nurembergacademy.org/about-us/job-offers/detail/3-months-internship-14/" TargetMode="External"/><Relationship Id="rId29" Type="http://schemas.openxmlformats.org/officeDocument/2006/relationships/hyperlink" Target="http://ec.europa.eu/research/participants/portal/desktop/en/opportunities/h2020/" TargetMode="External"/><Relationship Id="rId11" Type="http://schemas.openxmlformats.org/officeDocument/2006/relationships/footer" Target="footer1.xml"/><Relationship Id="rId24" Type="http://schemas.openxmlformats.org/officeDocument/2006/relationships/hyperlink" Target="https://www.fni.bg/sites/default/files/obqvi/9_2016/Prozedura_2016_conferences2016-9.pdf" TargetMode="External"/><Relationship Id="rId32" Type="http://schemas.openxmlformats.org/officeDocument/2006/relationships/hyperlink" Target="http://ec.europa.eu/research/conferences/2017/shaping-our-future/index.cfm" TargetMode="External"/><Relationship Id="rId37" Type="http://schemas.openxmlformats.org/officeDocument/2006/relationships/hyperlink" Target="https://go.evvnt.com/115310-0" TargetMode="External"/><Relationship Id="rId40" Type="http://schemas.openxmlformats.org/officeDocument/2006/relationships/hyperlink" Target="https://www.neurochemistry.org/biennial-meeting/isn-2017-biennial-meeting.html" TargetMode="External"/><Relationship Id="rId45" Type="http://schemas.openxmlformats.org/officeDocument/2006/relationships/hyperlink" Target="http://esid2017.kenes.com/" TargetMode="External"/><Relationship Id="rId53" Type="http://schemas.openxmlformats.org/officeDocument/2006/relationships/hyperlink" Target="https://ec.europa.eu/programmes/horizon2020/en/news/horizon-2020-societal-challenge-2-infoweek-including-high-level-policy-events" TargetMode="External"/><Relationship Id="rId58" Type="http://schemas.openxmlformats.org/officeDocument/2006/relationships/image" Target="media/image3.jpeg"/><Relationship Id="rId66" Type="http://schemas.openxmlformats.org/officeDocument/2006/relationships/hyperlink" Target="http://www.cost.eu/service/glossary/COST-Action" TargetMode="External"/><Relationship Id="rId5" Type="http://schemas.microsoft.com/office/2007/relationships/stylesWithEffects" Target="stylesWithEffects.xml"/><Relationship Id="rId15" Type="http://schemas.openxmlformats.org/officeDocument/2006/relationships/hyperlink" Target="http://www.fao.org/employment/opportunities-for-young-talents/internship-programme/en/" TargetMode="External"/><Relationship Id="rId23" Type="http://schemas.openxmlformats.org/officeDocument/2006/relationships/hyperlink" Target="mailto:y.zherkova@mon.bg" TargetMode="External"/><Relationship Id="rId28" Type="http://schemas.openxmlformats.org/officeDocument/2006/relationships/hyperlink" Target="mailto:fni-konkursi@mon.bg" TargetMode="External"/><Relationship Id="rId36" Type="http://schemas.openxmlformats.org/officeDocument/2006/relationships/hyperlink" Target="http://graphene.conferenceseries.com/" TargetMode="External"/><Relationship Id="rId49" Type="http://schemas.openxmlformats.org/officeDocument/2006/relationships/hyperlink" Target="http://ec.europa.eu/programmes/horizon2020/en/news/international-conference-integrated-quantum-photonics" TargetMode="External"/><Relationship Id="rId57" Type="http://schemas.openxmlformats.org/officeDocument/2006/relationships/hyperlink" Target="https://bookshop.europa.eu/en/research-eu-results-magazine-pbZZAC17004/downloads/ZZ-AC-17-004-EN-N/ZZAC17004ENN_002.pdf?FileName=ZZAC17004ENN_002.pdf&amp;SKU=ZZAC17004ENN_PDF&amp;CatalogueNumber=ZZ-AC-17-004-EN-N" TargetMode="External"/><Relationship Id="rId61" Type="http://schemas.openxmlformats.org/officeDocument/2006/relationships/image" Target="media/image4.jpeg"/><Relationship Id="rId10" Type="http://schemas.openxmlformats.org/officeDocument/2006/relationships/image" Target="media/image1.gif"/><Relationship Id="rId19" Type="http://schemas.openxmlformats.org/officeDocument/2006/relationships/hyperlink" Target="http://www.esfri.eu/sites/default/files/docs/ESFRI_Roadmap_2018_Public_Guide_f.pdf" TargetMode="External"/><Relationship Id="rId31" Type="http://schemas.openxmlformats.org/officeDocument/2006/relationships/hyperlink" Target="https://scic.ec.europa.eu/fmi/ezreg/RTD-H2020-FO2017/start" TargetMode="External"/><Relationship Id="rId44" Type="http://schemas.openxmlformats.org/officeDocument/2006/relationships/hyperlink" Target="http://plant-science-biology-conferences.magnusgroup.org/" TargetMode="External"/><Relationship Id="rId52" Type="http://schemas.openxmlformats.org/officeDocument/2006/relationships/hyperlink" Target="https://ec.europa.eu/programmes/horizon2020/en/news/horizon-2020-societal-challenge-2-infoweek-including-high-level-policy-events" TargetMode="External"/><Relationship Id="rId60" Type="http://schemas.openxmlformats.org/officeDocument/2006/relationships/hyperlink" Target="https://bookshop.europa.eu/en/assessing-the-potential-for-crowdfunding-and-other-forms-of-alternative-finance-to-support-research-and-innovation-pbKI0116636/" TargetMode="External"/><Relationship Id="rId65" Type="http://schemas.openxmlformats.org/officeDocument/2006/relationships/image" Target="media/image6.jpeg"/><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internship@unicreditgroup.bg" TargetMode="External"/><Relationship Id="rId22" Type="http://schemas.openxmlformats.org/officeDocument/2006/relationships/hyperlink" Target="mailto:anap@phys.uni-sofia.bg" TargetMode="External"/><Relationship Id="rId27" Type="http://schemas.openxmlformats.org/officeDocument/2006/relationships/hyperlink" Target="https://www.fni.bg/sites/default/files/competition/10_2016/Procedura_COST_nac_finansirane%E2%80%9329012016.pdf" TargetMode="External"/><Relationship Id="rId30" Type="http://schemas.openxmlformats.org/officeDocument/2006/relationships/footer" Target="footer3.xml"/><Relationship Id="rId35" Type="http://schemas.openxmlformats.org/officeDocument/2006/relationships/hyperlink" Target="http://cancerscience.conferenceseries.com/" TargetMode="External"/><Relationship Id="rId43" Type="http://schemas.openxmlformats.org/officeDocument/2006/relationships/hyperlink" Target="http://datamining.conferenceseries.com/" TargetMode="External"/><Relationship Id="rId48" Type="http://schemas.openxmlformats.org/officeDocument/2006/relationships/hyperlink" Target="http://ec.europa.eu/programmes/horizon2020/en/news/international-conference-integrated-quantum-photonics" TargetMode="External"/><Relationship Id="rId56" Type="http://schemas.openxmlformats.org/officeDocument/2006/relationships/image" Target="media/image2.jpeg"/><Relationship Id="rId64" Type="http://schemas.openxmlformats.org/officeDocument/2006/relationships/image" Target="media/image5.jpeg"/><Relationship Id="rId69" Type="http://schemas.openxmlformats.org/officeDocument/2006/relationships/image" Target="media/image7.png"/><Relationship Id="rId8" Type="http://schemas.openxmlformats.org/officeDocument/2006/relationships/footnotes" Target="footnotes.xml"/><Relationship Id="rId51" Type="http://schemas.openxmlformats.org/officeDocument/2006/relationships/hyperlink" Target="http://pharmaceuticalchemistry.conferenceseries.com/" TargetMode="External"/><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erecruitment.wto.org/public/hrd-cl-vac-view.asp?jobinfo_uid_c=3475&amp;vaclng=en" TargetMode="External"/><Relationship Id="rId17" Type="http://schemas.openxmlformats.org/officeDocument/2006/relationships/footer" Target="footer2.xml"/><Relationship Id="rId25" Type="http://schemas.openxmlformats.org/officeDocument/2006/relationships/hyperlink" Target="mailto:fni-konkursi@mon.bg" TargetMode="External"/><Relationship Id="rId33" Type="http://schemas.openxmlformats.org/officeDocument/2006/relationships/hyperlink" Target="http://events.demokritos.gr/" TargetMode="External"/><Relationship Id="rId38" Type="http://schemas.openxmlformats.org/officeDocument/2006/relationships/hyperlink" Target="http://pharmacology.pharmaceuticalconferences.com/" TargetMode="External"/><Relationship Id="rId46" Type="http://schemas.openxmlformats.org/officeDocument/2006/relationships/hyperlink" Target="http://sdiwc.net/conferences/4th-conference-artificial-intelligence-pattern-recognition/" TargetMode="External"/><Relationship Id="rId59" Type="http://schemas.openxmlformats.org/officeDocument/2006/relationships/hyperlink" Target="http://cerncourier.com/cws/Pages/digital-edition.do" TargetMode="External"/><Relationship Id="rId67" Type="http://schemas.openxmlformats.org/officeDocument/2006/relationships/hyperlink" Target="http://www.palgrave.com/us/book/9783319520568" TargetMode="External"/><Relationship Id="rId20" Type="http://schemas.openxmlformats.org/officeDocument/2006/relationships/hyperlink" Target="http://www.esfri.eu/sites/default/files/docs/ESFRI%20Roadmap%202018_Proposal_Submission_Questionnaire_Public.pdf" TargetMode="External"/><Relationship Id="rId41" Type="http://schemas.openxmlformats.org/officeDocument/2006/relationships/hyperlink" Target="http://nanocongress.conferenceseries.com/" TargetMode="External"/><Relationship Id="rId54" Type="http://schemas.openxmlformats.org/officeDocument/2006/relationships/footer" Target="footer4.xml"/><Relationship Id="rId62" Type="http://schemas.openxmlformats.org/officeDocument/2006/relationships/hyperlink" Target="https://bookshop.europa.eu/en/assessing-the-potential-for-crowdfunding-and-other-forms-of-alternative-finance-to-support-research-and-innovation-pbKI0116637/" TargetMode="External"/><Relationship Id="rId70" Type="http://schemas.openxmlformats.org/officeDocument/2006/relationships/hyperlink" Target="http://www.iau-aiu.net/sites/all/files/IAU_Horizons_Vol_22_1_LIGHT.pdf"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ЮНИ,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23DF1D-0F70-475D-B7CC-025C4AAB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28</Pages>
  <Words>8323</Words>
  <Characters>47443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Compaq</cp:lastModifiedBy>
  <cp:revision>67</cp:revision>
  <cp:lastPrinted>2014-05-12T09:53:00Z</cp:lastPrinted>
  <dcterms:created xsi:type="dcterms:W3CDTF">2017-06-08T10:10:00Z</dcterms:created>
  <dcterms:modified xsi:type="dcterms:W3CDTF">2017-06-12T11:33:00Z</dcterms:modified>
</cp:coreProperties>
</file>