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2A3E52" w:rsidP="00423D89">
          <w:pPr>
            <w:jc w:val="left"/>
            <w:rPr>
              <w:b/>
              <w:color w:val="FF0000"/>
              <w:lang w:val="en-US"/>
            </w:rPr>
          </w:pPr>
          <w:r w:rsidRPr="00252CF7">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BA4F39A" wp14:editId="6222415F">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F5C7D" w:rsidRPr="00015B3F" w:rsidRDefault="003F5C7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3F5C7D" w:rsidRPr="00015B3F" w:rsidRDefault="003F5C7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F5C7D" w:rsidRPr="00015B3F" w:rsidRDefault="003F5C7D">
                                  <w:pPr>
                                    <w:pStyle w:val="NoSpacing"/>
                                    <w:spacing w:line="360" w:lineRule="auto"/>
                                    <w:rPr>
                                      <w:color w:val="FFFFFF" w:themeColor="background1"/>
                                      <w:sz w:val="28"/>
                                      <w:szCs w:val="28"/>
                                    </w:rPr>
                                  </w:pPr>
                                </w:p>
                                <w:p w:rsidR="003F5C7D" w:rsidRPr="00015B3F" w:rsidRDefault="003F5C7D">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3F5C7D" w:rsidRPr="00D00941" w:rsidRDefault="003F5C7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A4F39A"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F5C7D" w:rsidRPr="00015B3F" w:rsidRDefault="003F5C7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3F5C7D" w:rsidRPr="00015B3F" w:rsidRDefault="003F5C7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F5C7D" w:rsidRPr="00015B3F" w:rsidRDefault="003F5C7D">
                            <w:pPr>
                              <w:pStyle w:val="NoSpacing"/>
                              <w:spacing w:line="360" w:lineRule="auto"/>
                              <w:rPr>
                                <w:color w:val="FFFFFF" w:themeColor="background1"/>
                                <w:sz w:val="28"/>
                                <w:szCs w:val="28"/>
                              </w:rPr>
                            </w:pPr>
                          </w:p>
                          <w:p w:rsidR="003F5C7D" w:rsidRPr="00015B3F" w:rsidRDefault="003F5C7D">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3F5C7D" w:rsidRPr="00D00941" w:rsidRDefault="003F5C7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6C436C"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7F3C94"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16047933" w:history="1">
            <w:r w:rsidR="007F3C94" w:rsidRPr="00D3716F">
              <w:rPr>
                <w:rStyle w:val="Hyperlink"/>
                <w:rFonts w:cs="Times New Roman"/>
                <w:noProof/>
              </w:rPr>
              <w:t>МАГИСТРАТУРИ, СТИПЕНДИИ, СТАЖОВЕ</w:t>
            </w:r>
            <w:r w:rsidR="007F3C94">
              <w:rPr>
                <w:noProof/>
                <w:webHidden/>
              </w:rPr>
              <w:tab/>
            </w:r>
            <w:r w:rsidR="007F3C94">
              <w:rPr>
                <w:noProof/>
                <w:webHidden/>
              </w:rPr>
              <w:fldChar w:fldCharType="begin"/>
            </w:r>
            <w:r w:rsidR="007F3C94">
              <w:rPr>
                <w:noProof/>
                <w:webHidden/>
              </w:rPr>
              <w:instrText xml:space="preserve"> PAGEREF _Toc516047933 \h </w:instrText>
            </w:r>
            <w:r w:rsidR="007F3C94">
              <w:rPr>
                <w:noProof/>
                <w:webHidden/>
              </w:rPr>
            </w:r>
            <w:r w:rsidR="007F3C94">
              <w:rPr>
                <w:noProof/>
                <w:webHidden/>
              </w:rPr>
              <w:fldChar w:fldCharType="separate"/>
            </w:r>
            <w:r w:rsidR="007F3C94">
              <w:rPr>
                <w:noProof/>
                <w:webHidden/>
              </w:rPr>
              <w:t>3</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34"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rPr>
              <w:t>Конкурс за стипендия „The Global Study Awards 2018“</w:t>
            </w:r>
            <w:r w:rsidR="007F3C94">
              <w:rPr>
                <w:noProof/>
                <w:webHidden/>
              </w:rPr>
              <w:tab/>
            </w:r>
            <w:r w:rsidR="007F3C94">
              <w:rPr>
                <w:noProof/>
                <w:webHidden/>
              </w:rPr>
              <w:fldChar w:fldCharType="begin"/>
            </w:r>
            <w:r w:rsidR="007F3C94">
              <w:rPr>
                <w:noProof/>
                <w:webHidden/>
              </w:rPr>
              <w:instrText xml:space="preserve"> PAGEREF _Toc516047934 \h </w:instrText>
            </w:r>
            <w:r w:rsidR="007F3C94">
              <w:rPr>
                <w:noProof/>
                <w:webHidden/>
              </w:rPr>
            </w:r>
            <w:r w:rsidR="007F3C94">
              <w:rPr>
                <w:noProof/>
                <w:webHidden/>
              </w:rPr>
              <w:fldChar w:fldCharType="separate"/>
            </w:r>
            <w:r w:rsidR="007F3C94">
              <w:rPr>
                <w:noProof/>
                <w:webHidden/>
              </w:rPr>
              <w:t>3</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35" w:history="1">
            <w:r w:rsidR="007F3C94" w:rsidRPr="00D3716F">
              <w:rPr>
                <w:rStyle w:val="Hyperlink"/>
                <w:rFonts w:ascii="Wingdings" w:hAnsi="Wingdings"/>
                <w:noProof/>
                <w:lang w:val="ru-RU"/>
              </w:rPr>
              <w:t></w:t>
            </w:r>
            <w:r w:rsidR="007F3C94">
              <w:rPr>
                <w:rFonts w:asciiTheme="minorHAnsi" w:eastAsiaTheme="minorEastAsia" w:hAnsiTheme="minorHAnsi"/>
                <w:noProof/>
                <w:lang w:eastAsia="bg-BG"/>
              </w:rPr>
              <w:tab/>
            </w:r>
            <w:r w:rsidR="007F3C94" w:rsidRPr="00D3716F">
              <w:rPr>
                <w:rStyle w:val="Hyperlink"/>
                <w:noProof/>
              </w:rPr>
              <w:t>Платен стаж в Световната търговска организация</w:t>
            </w:r>
            <w:r w:rsidR="007F3C94">
              <w:rPr>
                <w:noProof/>
                <w:webHidden/>
              </w:rPr>
              <w:tab/>
            </w:r>
            <w:r w:rsidR="007F3C94">
              <w:rPr>
                <w:noProof/>
                <w:webHidden/>
              </w:rPr>
              <w:fldChar w:fldCharType="begin"/>
            </w:r>
            <w:r w:rsidR="007F3C94">
              <w:rPr>
                <w:noProof/>
                <w:webHidden/>
              </w:rPr>
              <w:instrText xml:space="preserve"> PAGEREF _Toc516047935 \h </w:instrText>
            </w:r>
            <w:r w:rsidR="007F3C94">
              <w:rPr>
                <w:noProof/>
                <w:webHidden/>
              </w:rPr>
            </w:r>
            <w:r w:rsidR="007F3C94">
              <w:rPr>
                <w:noProof/>
                <w:webHidden/>
              </w:rPr>
              <w:fldChar w:fldCharType="separate"/>
            </w:r>
            <w:r w:rsidR="007F3C94">
              <w:rPr>
                <w:noProof/>
                <w:webHidden/>
              </w:rPr>
              <w:t>3</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36"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rPr>
              <w:t>Стажантска програма на УниКредит Булбанк</w:t>
            </w:r>
            <w:r w:rsidR="007F3C94">
              <w:rPr>
                <w:noProof/>
                <w:webHidden/>
              </w:rPr>
              <w:tab/>
            </w:r>
            <w:r w:rsidR="007F3C94">
              <w:rPr>
                <w:noProof/>
                <w:webHidden/>
              </w:rPr>
              <w:fldChar w:fldCharType="begin"/>
            </w:r>
            <w:r w:rsidR="007F3C94">
              <w:rPr>
                <w:noProof/>
                <w:webHidden/>
              </w:rPr>
              <w:instrText xml:space="preserve"> PAGEREF _Toc516047936 \h </w:instrText>
            </w:r>
            <w:r w:rsidR="007F3C94">
              <w:rPr>
                <w:noProof/>
                <w:webHidden/>
              </w:rPr>
            </w:r>
            <w:r w:rsidR="007F3C94">
              <w:rPr>
                <w:noProof/>
                <w:webHidden/>
              </w:rPr>
              <w:fldChar w:fldCharType="separate"/>
            </w:r>
            <w:r w:rsidR="007F3C94">
              <w:rPr>
                <w:noProof/>
                <w:webHidden/>
              </w:rPr>
              <w:t>3</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37"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rPr>
              <w:t>Стаж в Организацията по прехрана и земеделие (FAO) към ООН</w:t>
            </w:r>
            <w:r w:rsidR="007F3C94">
              <w:rPr>
                <w:noProof/>
                <w:webHidden/>
              </w:rPr>
              <w:tab/>
            </w:r>
            <w:r w:rsidR="007F3C94">
              <w:rPr>
                <w:noProof/>
                <w:webHidden/>
              </w:rPr>
              <w:fldChar w:fldCharType="begin"/>
            </w:r>
            <w:r w:rsidR="007F3C94">
              <w:rPr>
                <w:noProof/>
                <w:webHidden/>
              </w:rPr>
              <w:instrText xml:space="preserve"> PAGEREF _Toc516047937 \h </w:instrText>
            </w:r>
            <w:r w:rsidR="007F3C94">
              <w:rPr>
                <w:noProof/>
                <w:webHidden/>
              </w:rPr>
            </w:r>
            <w:r w:rsidR="007F3C94">
              <w:rPr>
                <w:noProof/>
                <w:webHidden/>
              </w:rPr>
              <w:fldChar w:fldCharType="separate"/>
            </w:r>
            <w:r w:rsidR="007F3C94">
              <w:rPr>
                <w:noProof/>
                <w:webHidden/>
              </w:rPr>
              <w:t>4</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38"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rPr>
              <w:t>Стажове в Международната академия на нюрнбергските принципи</w:t>
            </w:r>
            <w:r w:rsidR="007F3C94">
              <w:rPr>
                <w:noProof/>
                <w:webHidden/>
              </w:rPr>
              <w:tab/>
            </w:r>
            <w:r w:rsidR="007F3C94">
              <w:rPr>
                <w:noProof/>
                <w:webHidden/>
              </w:rPr>
              <w:fldChar w:fldCharType="begin"/>
            </w:r>
            <w:r w:rsidR="007F3C94">
              <w:rPr>
                <w:noProof/>
                <w:webHidden/>
              </w:rPr>
              <w:instrText xml:space="preserve"> PAGEREF _Toc516047938 \h </w:instrText>
            </w:r>
            <w:r w:rsidR="007F3C94">
              <w:rPr>
                <w:noProof/>
                <w:webHidden/>
              </w:rPr>
            </w:r>
            <w:r w:rsidR="007F3C94">
              <w:rPr>
                <w:noProof/>
                <w:webHidden/>
              </w:rPr>
              <w:fldChar w:fldCharType="separate"/>
            </w:r>
            <w:r w:rsidR="007F3C94">
              <w:rPr>
                <w:noProof/>
                <w:webHidden/>
              </w:rPr>
              <w:t>4</w:t>
            </w:r>
            <w:r w:rsidR="007F3C94">
              <w:rPr>
                <w:noProof/>
                <w:webHidden/>
              </w:rPr>
              <w:fldChar w:fldCharType="end"/>
            </w:r>
          </w:hyperlink>
        </w:p>
        <w:p w:rsidR="007F3C94" w:rsidRDefault="006C436C">
          <w:pPr>
            <w:pStyle w:val="TOC1"/>
            <w:tabs>
              <w:tab w:val="right" w:leader="dot" w:pos="9062"/>
            </w:tabs>
            <w:rPr>
              <w:rFonts w:asciiTheme="minorHAnsi" w:eastAsiaTheme="minorEastAsia" w:hAnsiTheme="minorHAnsi"/>
              <w:noProof/>
              <w:lang w:eastAsia="bg-BG"/>
            </w:rPr>
          </w:pPr>
          <w:hyperlink w:anchor="_Toc516047939" w:history="1">
            <w:r w:rsidR="007F3C94" w:rsidRPr="00D3716F">
              <w:rPr>
                <w:rStyle w:val="Hyperlink"/>
                <w:noProof/>
              </w:rPr>
              <w:t>ПРОГРАМИ</w:t>
            </w:r>
            <w:r w:rsidR="007F3C94">
              <w:rPr>
                <w:noProof/>
                <w:webHidden/>
              </w:rPr>
              <w:tab/>
            </w:r>
            <w:r w:rsidR="007F3C94">
              <w:rPr>
                <w:noProof/>
                <w:webHidden/>
              </w:rPr>
              <w:fldChar w:fldCharType="begin"/>
            </w:r>
            <w:r w:rsidR="007F3C94">
              <w:rPr>
                <w:noProof/>
                <w:webHidden/>
              </w:rPr>
              <w:instrText xml:space="preserve"> PAGEREF _Toc516047939 \h </w:instrText>
            </w:r>
            <w:r w:rsidR="007F3C94">
              <w:rPr>
                <w:noProof/>
                <w:webHidden/>
              </w:rPr>
            </w:r>
            <w:r w:rsidR="007F3C94">
              <w:rPr>
                <w:noProof/>
                <w:webHidden/>
              </w:rPr>
              <w:fldChar w:fldCharType="separate"/>
            </w:r>
            <w:r w:rsidR="007F3C94">
              <w:rPr>
                <w:noProof/>
                <w:webHidden/>
              </w:rPr>
              <w:t>5</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0" w:history="1">
            <w:r w:rsidR="007F3C94" w:rsidRPr="00D3716F">
              <w:rPr>
                <w:rStyle w:val="Hyperlink"/>
                <w:rFonts w:ascii="Wingdings" w:eastAsia="Times New Roman" w:hAnsi="Wingdings"/>
                <w:noProof/>
                <w:lang w:eastAsia="bg-BG"/>
              </w:rPr>
              <w:t></w:t>
            </w:r>
            <w:r w:rsidR="007F3C94">
              <w:rPr>
                <w:rFonts w:asciiTheme="minorHAnsi" w:eastAsiaTheme="minorEastAsia" w:hAnsiTheme="minorHAnsi"/>
                <w:noProof/>
                <w:lang w:eastAsia="bg-BG"/>
              </w:rPr>
              <w:tab/>
            </w:r>
            <w:r w:rsidR="007F3C94" w:rsidRPr="00D3716F">
              <w:rPr>
                <w:rStyle w:val="Hyperlink"/>
                <w:rFonts w:eastAsia="Times New Roman"/>
                <w:noProof/>
                <w:lang w:eastAsia="bg-BG"/>
              </w:rPr>
              <w:t>Подкрепа на международни научни форуми, провеждани в Република България</w:t>
            </w:r>
            <w:r w:rsidR="007F3C94">
              <w:rPr>
                <w:noProof/>
                <w:webHidden/>
              </w:rPr>
              <w:tab/>
            </w:r>
            <w:r w:rsidR="007F3C94">
              <w:rPr>
                <w:noProof/>
                <w:webHidden/>
              </w:rPr>
              <w:fldChar w:fldCharType="begin"/>
            </w:r>
            <w:r w:rsidR="007F3C94">
              <w:rPr>
                <w:noProof/>
                <w:webHidden/>
              </w:rPr>
              <w:instrText xml:space="preserve"> PAGEREF _Toc516047940 \h </w:instrText>
            </w:r>
            <w:r w:rsidR="007F3C94">
              <w:rPr>
                <w:noProof/>
                <w:webHidden/>
              </w:rPr>
            </w:r>
            <w:r w:rsidR="007F3C94">
              <w:rPr>
                <w:noProof/>
                <w:webHidden/>
              </w:rPr>
              <w:fldChar w:fldCharType="separate"/>
            </w:r>
            <w:r w:rsidR="007F3C94">
              <w:rPr>
                <w:noProof/>
                <w:webHidden/>
              </w:rPr>
              <w:t>5</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1" w:history="1">
            <w:r w:rsidR="007F3C94" w:rsidRPr="00D3716F">
              <w:rPr>
                <w:rStyle w:val="Hyperlink"/>
                <w:rFonts w:ascii="Wingdings" w:eastAsia="Times New Roman" w:hAnsi="Wingdings"/>
                <w:noProof/>
                <w:lang w:eastAsia="bg-BG"/>
              </w:rPr>
              <w:t></w:t>
            </w:r>
            <w:r w:rsidR="007F3C94">
              <w:rPr>
                <w:rFonts w:asciiTheme="minorHAnsi" w:eastAsiaTheme="minorEastAsia" w:hAnsiTheme="minorHAnsi"/>
                <w:noProof/>
                <w:lang w:eastAsia="bg-BG"/>
              </w:rPr>
              <w:tab/>
            </w:r>
            <w:r w:rsidR="007F3C94" w:rsidRPr="00D3716F">
              <w:rPr>
                <w:rStyle w:val="Hyperlink"/>
                <w:rFonts w:eastAsia="Times New Roman"/>
                <w:noProof/>
                <w:lang w:eastAsia="bg-BG"/>
              </w:rPr>
              <w:t>Национално съфинансиране за участие на български колективи в утвърдени проекти по COST</w:t>
            </w:r>
            <w:r w:rsidR="007F3C94">
              <w:rPr>
                <w:noProof/>
                <w:webHidden/>
              </w:rPr>
              <w:tab/>
            </w:r>
            <w:r w:rsidR="007F3C94">
              <w:rPr>
                <w:noProof/>
                <w:webHidden/>
              </w:rPr>
              <w:fldChar w:fldCharType="begin"/>
            </w:r>
            <w:r w:rsidR="007F3C94">
              <w:rPr>
                <w:noProof/>
                <w:webHidden/>
              </w:rPr>
              <w:instrText xml:space="preserve"> PAGEREF _Toc516047941 \h </w:instrText>
            </w:r>
            <w:r w:rsidR="007F3C94">
              <w:rPr>
                <w:noProof/>
                <w:webHidden/>
              </w:rPr>
            </w:r>
            <w:r w:rsidR="007F3C94">
              <w:rPr>
                <w:noProof/>
                <w:webHidden/>
              </w:rPr>
              <w:fldChar w:fldCharType="separate"/>
            </w:r>
            <w:r w:rsidR="007F3C94">
              <w:rPr>
                <w:noProof/>
                <w:webHidden/>
              </w:rPr>
              <w:t>6</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2"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rPr>
              <w:t>Покана за проектни предложения на Фонда за регионално сътрудничество</w:t>
            </w:r>
            <w:r w:rsidR="007F3C94">
              <w:rPr>
                <w:noProof/>
                <w:webHidden/>
              </w:rPr>
              <w:tab/>
            </w:r>
            <w:r w:rsidR="007F3C94">
              <w:rPr>
                <w:noProof/>
                <w:webHidden/>
              </w:rPr>
              <w:fldChar w:fldCharType="begin"/>
            </w:r>
            <w:r w:rsidR="007F3C94">
              <w:rPr>
                <w:noProof/>
                <w:webHidden/>
              </w:rPr>
              <w:instrText xml:space="preserve"> PAGEREF _Toc516047942 \h </w:instrText>
            </w:r>
            <w:r w:rsidR="007F3C94">
              <w:rPr>
                <w:noProof/>
                <w:webHidden/>
              </w:rPr>
            </w:r>
            <w:r w:rsidR="007F3C94">
              <w:rPr>
                <w:noProof/>
                <w:webHidden/>
              </w:rPr>
              <w:fldChar w:fldCharType="separate"/>
            </w:r>
            <w:r w:rsidR="007F3C94">
              <w:rPr>
                <w:noProof/>
                <w:webHidden/>
              </w:rPr>
              <w:t>7</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3" w:history="1">
            <w:r w:rsidR="007F3C94" w:rsidRPr="00D3716F">
              <w:rPr>
                <w:rStyle w:val="Hyperlink"/>
                <w:rFonts w:ascii="Wingdings" w:hAnsi="Wingdings"/>
                <w:noProof/>
                <w:lang w:val="ru-RU"/>
              </w:rPr>
              <w:t></w:t>
            </w:r>
            <w:r w:rsidR="007F3C94">
              <w:rPr>
                <w:rFonts w:asciiTheme="minorHAnsi" w:eastAsiaTheme="minorEastAsia" w:hAnsiTheme="minorHAnsi"/>
                <w:noProof/>
                <w:lang w:eastAsia="bg-BG"/>
              </w:rPr>
              <w:tab/>
            </w:r>
            <w:r w:rsidR="007F3C94" w:rsidRPr="00D3716F">
              <w:rPr>
                <w:rStyle w:val="Hyperlink"/>
                <w:noProof/>
              </w:rPr>
              <w:t>Конкурс за финансиране на изследователски проекти за двустранно сътрудничество между България и Китай – 2018 г.</w:t>
            </w:r>
            <w:r w:rsidR="007F3C94">
              <w:rPr>
                <w:noProof/>
                <w:webHidden/>
              </w:rPr>
              <w:tab/>
            </w:r>
            <w:r w:rsidR="007F3C94">
              <w:rPr>
                <w:noProof/>
                <w:webHidden/>
              </w:rPr>
              <w:fldChar w:fldCharType="begin"/>
            </w:r>
            <w:r w:rsidR="007F3C94">
              <w:rPr>
                <w:noProof/>
                <w:webHidden/>
              </w:rPr>
              <w:instrText xml:space="preserve"> PAGEREF _Toc516047943 \h </w:instrText>
            </w:r>
            <w:r w:rsidR="007F3C94">
              <w:rPr>
                <w:noProof/>
                <w:webHidden/>
              </w:rPr>
            </w:r>
            <w:r w:rsidR="007F3C94">
              <w:rPr>
                <w:noProof/>
                <w:webHidden/>
              </w:rPr>
              <w:fldChar w:fldCharType="separate"/>
            </w:r>
            <w:r w:rsidR="007F3C94">
              <w:rPr>
                <w:noProof/>
                <w:webHidden/>
              </w:rPr>
              <w:t>10</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4"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rPr>
              <w:t>Конкурс за финансиране на полярни научни изследвания 2018 г.</w:t>
            </w:r>
            <w:r w:rsidR="007F3C94">
              <w:rPr>
                <w:noProof/>
                <w:webHidden/>
              </w:rPr>
              <w:tab/>
            </w:r>
            <w:r w:rsidR="007F3C94">
              <w:rPr>
                <w:noProof/>
                <w:webHidden/>
              </w:rPr>
              <w:fldChar w:fldCharType="begin"/>
            </w:r>
            <w:r w:rsidR="007F3C94">
              <w:rPr>
                <w:noProof/>
                <w:webHidden/>
              </w:rPr>
              <w:instrText xml:space="preserve"> PAGEREF _Toc516047944 \h </w:instrText>
            </w:r>
            <w:r w:rsidR="007F3C94">
              <w:rPr>
                <w:noProof/>
                <w:webHidden/>
              </w:rPr>
            </w:r>
            <w:r w:rsidR="007F3C94">
              <w:rPr>
                <w:noProof/>
                <w:webHidden/>
              </w:rPr>
              <w:fldChar w:fldCharType="separate"/>
            </w:r>
            <w:r w:rsidR="007F3C94">
              <w:rPr>
                <w:noProof/>
                <w:webHidden/>
              </w:rPr>
              <w:t>10</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5"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lang w:val="en-US"/>
              </w:rPr>
              <w:t>R&amp;D Calls HORIZON 2020</w:t>
            </w:r>
            <w:r w:rsidR="007F3C94">
              <w:rPr>
                <w:noProof/>
                <w:webHidden/>
              </w:rPr>
              <w:tab/>
            </w:r>
            <w:r w:rsidR="007F3C94">
              <w:rPr>
                <w:noProof/>
                <w:webHidden/>
              </w:rPr>
              <w:fldChar w:fldCharType="begin"/>
            </w:r>
            <w:r w:rsidR="007F3C94">
              <w:rPr>
                <w:noProof/>
                <w:webHidden/>
              </w:rPr>
              <w:instrText xml:space="preserve"> PAGEREF _Toc516047945 \h </w:instrText>
            </w:r>
            <w:r w:rsidR="007F3C94">
              <w:rPr>
                <w:noProof/>
                <w:webHidden/>
              </w:rPr>
            </w:r>
            <w:r w:rsidR="007F3C94">
              <w:rPr>
                <w:noProof/>
                <w:webHidden/>
              </w:rPr>
              <w:fldChar w:fldCharType="separate"/>
            </w:r>
            <w:r w:rsidR="007F3C94">
              <w:rPr>
                <w:noProof/>
                <w:webHidden/>
              </w:rPr>
              <w:t>11</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6"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rPr>
              <w:t>Програма: „Америка за България”</w:t>
            </w:r>
            <w:r w:rsidR="007F3C94">
              <w:rPr>
                <w:noProof/>
                <w:webHidden/>
              </w:rPr>
              <w:tab/>
            </w:r>
            <w:r w:rsidR="007F3C94">
              <w:rPr>
                <w:noProof/>
                <w:webHidden/>
              </w:rPr>
              <w:fldChar w:fldCharType="begin"/>
            </w:r>
            <w:r w:rsidR="007F3C94">
              <w:rPr>
                <w:noProof/>
                <w:webHidden/>
              </w:rPr>
              <w:instrText xml:space="preserve"> PAGEREF _Toc516047946 \h </w:instrText>
            </w:r>
            <w:r w:rsidR="007F3C94">
              <w:rPr>
                <w:noProof/>
                <w:webHidden/>
              </w:rPr>
            </w:r>
            <w:r w:rsidR="007F3C94">
              <w:rPr>
                <w:noProof/>
                <w:webHidden/>
              </w:rPr>
              <w:fldChar w:fldCharType="separate"/>
            </w:r>
            <w:r w:rsidR="007F3C94">
              <w:rPr>
                <w:noProof/>
                <w:webHidden/>
              </w:rPr>
              <w:t>11</w:t>
            </w:r>
            <w:r w:rsidR="007F3C94">
              <w:rPr>
                <w:noProof/>
                <w:webHidden/>
              </w:rPr>
              <w:fldChar w:fldCharType="end"/>
            </w:r>
          </w:hyperlink>
        </w:p>
        <w:p w:rsidR="007F3C94" w:rsidRDefault="006C436C">
          <w:pPr>
            <w:pStyle w:val="TOC1"/>
            <w:tabs>
              <w:tab w:val="right" w:leader="dot" w:pos="9062"/>
            </w:tabs>
            <w:rPr>
              <w:rFonts w:asciiTheme="minorHAnsi" w:eastAsiaTheme="minorEastAsia" w:hAnsiTheme="minorHAnsi"/>
              <w:noProof/>
              <w:lang w:eastAsia="bg-BG"/>
            </w:rPr>
          </w:pPr>
          <w:hyperlink w:anchor="_Toc516047947" w:history="1">
            <w:r w:rsidR="007F3C94" w:rsidRPr="00D3716F">
              <w:rPr>
                <w:rStyle w:val="Hyperlink"/>
                <w:noProof/>
              </w:rPr>
              <w:t>СЪБИТИЯ</w:t>
            </w:r>
            <w:r w:rsidR="007F3C94">
              <w:rPr>
                <w:noProof/>
                <w:webHidden/>
              </w:rPr>
              <w:tab/>
            </w:r>
            <w:r w:rsidR="007F3C94">
              <w:rPr>
                <w:noProof/>
                <w:webHidden/>
              </w:rPr>
              <w:fldChar w:fldCharType="begin"/>
            </w:r>
            <w:r w:rsidR="007F3C94">
              <w:rPr>
                <w:noProof/>
                <w:webHidden/>
              </w:rPr>
              <w:instrText xml:space="preserve"> PAGEREF _Toc516047947 \h </w:instrText>
            </w:r>
            <w:r w:rsidR="007F3C94">
              <w:rPr>
                <w:noProof/>
                <w:webHidden/>
              </w:rPr>
            </w:r>
            <w:r w:rsidR="007F3C94">
              <w:rPr>
                <w:noProof/>
                <w:webHidden/>
              </w:rPr>
              <w:fldChar w:fldCharType="separate"/>
            </w:r>
            <w:r w:rsidR="007F3C94">
              <w:rPr>
                <w:noProof/>
                <w:webHidden/>
              </w:rPr>
              <w:t>13</w:t>
            </w:r>
            <w:r w:rsidR="007F3C94">
              <w:rPr>
                <w:noProof/>
                <w:webHidden/>
              </w:rPr>
              <w:fldChar w:fldCharType="end"/>
            </w:r>
          </w:hyperlink>
        </w:p>
        <w:p w:rsidR="007F3C94" w:rsidRDefault="006C436C">
          <w:pPr>
            <w:pStyle w:val="TOC1"/>
            <w:tabs>
              <w:tab w:val="right" w:leader="dot" w:pos="9062"/>
            </w:tabs>
            <w:rPr>
              <w:rFonts w:asciiTheme="minorHAnsi" w:eastAsiaTheme="minorEastAsia" w:hAnsiTheme="minorHAnsi"/>
              <w:noProof/>
              <w:lang w:eastAsia="bg-BG"/>
            </w:rPr>
          </w:pPr>
          <w:hyperlink w:anchor="_Toc516047948" w:history="1">
            <w:r w:rsidR="007F3C94" w:rsidRPr="00D3716F">
              <w:rPr>
                <w:rStyle w:val="Hyperlink"/>
                <w:noProof/>
              </w:rPr>
              <w:t>ПУБЛИКАЦИИ</w:t>
            </w:r>
            <w:r w:rsidR="007F3C94">
              <w:rPr>
                <w:noProof/>
                <w:webHidden/>
              </w:rPr>
              <w:tab/>
            </w:r>
            <w:r w:rsidR="007F3C94">
              <w:rPr>
                <w:noProof/>
                <w:webHidden/>
              </w:rPr>
              <w:fldChar w:fldCharType="begin"/>
            </w:r>
            <w:r w:rsidR="007F3C94">
              <w:rPr>
                <w:noProof/>
                <w:webHidden/>
              </w:rPr>
              <w:instrText xml:space="preserve"> PAGEREF _Toc516047948 \h </w:instrText>
            </w:r>
            <w:r w:rsidR="007F3C94">
              <w:rPr>
                <w:noProof/>
                <w:webHidden/>
              </w:rPr>
            </w:r>
            <w:r w:rsidR="007F3C94">
              <w:rPr>
                <w:noProof/>
                <w:webHidden/>
              </w:rPr>
              <w:fldChar w:fldCharType="separate"/>
            </w:r>
            <w:r w:rsidR="007F3C94">
              <w:rPr>
                <w:noProof/>
                <w:webHidden/>
              </w:rPr>
              <w:t>19</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49" w:history="1">
            <w:r w:rsidR="007F3C94" w:rsidRPr="00D3716F">
              <w:rPr>
                <w:rStyle w:val="Hyperlink"/>
                <w:rFonts w:ascii="Wingdings" w:hAnsi="Wingdings"/>
                <w:noProof/>
              </w:rPr>
              <w:t></w:t>
            </w:r>
            <w:r w:rsidR="007F3C94">
              <w:rPr>
                <w:rFonts w:asciiTheme="minorHAnsi" w:eastAsiaTheme="minorEastAsia" w:hAnsiTheme="minorHAnsi"/>
                <w:noProof/>
                <w:lang w:eastAsia="bg-BG"/>
              </w:rPr>
              <w:tab/>
            </w:r>
            <w:r w:rsidR="007F3C94" w:rsidRPr="00D3716F">
              <w:rPr>
                <w:rStyle w:val="Hyperlink"/>
                <w:noProof/>
                <w:lang w:val="en-US"/>
              </w:rPr>
              <w:t>RESEARCH EU</w:t>
            </w:r>
            <w:r w:rsidR="007F3C94">
              <w:rPr>
                <w:noProof/>
                <w:webHidden/>
              </w:rPr>
              <w:tab/>
            </w:r>
            <w:r w:rsidR="007F3C94">
              <w:rPr>
                <w:noProof/>
                <w:webHidden/>
              </w:rPr>
              <w:fldChar w:fldCharType="begin"/>
            </w:r>
            <w:r w:rsidR="007F3C94">
              <w:rPr>
                <w:noProof/>
                <w:webHidden/>
              </w:rPr>
              <w:instrText xml:space="preserve"> PAGEREF _Toc516047949 \h </w:instrText>
            </w:r>
            <w:r w:rsidR="007F3C94">
              <w:rPr>
                <w:noProof/>
                <w:webHidden/>
              </w:rPr>
            </w:r>
            <w:r w:rsidR="007F3C94">
              <w:rPr>
                <w:noProof/>
                <w:webHidden/>
              </w:rPr>
              <w:fldChar w:fldCharType="separate"/>
            </w:r>
            <w:r w:rsidR="007F3C94">
              <w:rPr>
                <w:noProof/>
                <w:webHidden/>
              </w:rPr>
              <w:t>19</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50" w:history="1">
            <w:r w:rsidR="007F3C94" w:rsidRPr="00D3716F">
              <w:rPr>
                <w:rStyle w:val="Hyperlink"/>
                <w:rFonts w:ascii="Wingdings" w:eastAsia="Times New Roman" w:hAnsi="Wingdings"/>
                <w:noProof/>
                <w:lang w:val="en" w:eastAsia="bg-BG"/>
              </w:rPr>
              <w:t></w:t>
            </w:r>
            <w:r w:rsidR="007F3C94">
              <w:rPr>
                <w:rFonts w:asciiTheme="minorHAnsi" w:eastAsiaTheme="minorEastAsia" w:hAnsiTheme="minorHAnsi"/>
                <w:noProof/>
                <w:lang w:eastAsia="bg-BG"/>
              </w:rPr>
              <w:tab/>
            </w:r>
            <w:r w:rsidR="007F3C94" w:rsidRPr="00D3716F">
              <w:rPr>
                <w:rStyle w:val="Hyperlink"/>
                <w:rFonts w:eastAsia="Times New Roman"/>
                <w:noProof/>
                <w:lang w:val="en" w:eastAsia="bg-BG"/>
              </w:rPr>
              <w:t>Network Coding and Subspace Designs</w:t>
            </w:r>
            <w:r w:rsidR="007F3C94">
              <w:rPr>
                <w:noProof/>
                <w:webHidden/>
              </w:rPr>
              <w:tab/>
            </w:r>
            <w:r w:rsidR="007F3C94">
              <w:rPr>
                <w:noProof/>
                <w:webHidden/>
              </w:rPr>
              <w:fldChar w:fldCharType="begin"/>
            </w:r>
            <w:r w:rsidR="007F3C94">
              <w:rPr>
                <w:noProof/>
                <w:webHidden/>
              </w:rPr>
              <w:instrText xml:space="preserve"> PAGEREF _Toc516047950 \h </w:instrText>
            </w:r>
            <w:r w:rsidR="007F3C94">
              <w:rPr>
                <w:noProof/>
                <w:webHidden/>
              </w:rPr>
            </w:r>
            <w:r w:rsidR="007F3C94">
              <w:rPr>
                <w:noProof/>
                <w:webHidden/>
              </w:rPr>
              <w:fldChar w:fldCharType="separate"/>
            </w:r>
            <w:r w:rsidR="007F3C94">
              <w:rPr>
                <w:noProof/>
                <w:webHidden/>
              </w:rPr>
              <w:t>19</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51" w:history="1">
            <w:r w:rsidR="007F3C94" w:rsidRPr="00D3716F">
              <w:rPr>
                <w:rStyle w:val="Hyperlink"/>
                <w:rFonts w:ascii="Wingdings" w:eastAsia="Times New Roman" w:hAnsi="Wingdings"/>
                <w:noProof/>
                <w:lang w:val="en" w:eastAsia="bg-BG"/>
              </w:rPr>
              <w:t></w:t>
            </w:r>
            <w:r w:rsidR="007F3C94">
              <w:rPr>
                <w:rFonts w:asciiTheme="minorHAnsi" w:eastAsiaTheme="minorEastAsia" w:hAnsiTheme="minorHAnsi"/>
                <w:noProof/>
                <w:lang w:eastAsia="bg-BG"/>
              </w:rPr>
              <w:tab/>
            </w:r>
            <w:r w:rsidR="007F3C94" w:rsidRPr="00D3716F">
              <w:rPr>
                <w:rStyle w:val="Hyperlink"/>
                <w:rFonts w:eastAsia="Times New Roman"/>
                <w:noProof/>
                <w:lang w:val="en" w:eastAsia="bg-BG"/>
              </w:rPr>
              <w:t>Femicide across Europe: Theory, research and prevention</w:t>
            </w:r>
            <w:r w:rsidR="007F3C94">
              <w:rPr>
                <w:noProof/>
                <w:webHidden/>
              </w:rPr>
              <w:tab/>
            </w:r>
            <w:r w:rsidR="007F3C94">
              <w:rPr>
                <w:noProof/>
                <w:webHidden/>
              </w:rPr>
              <w:fldChar w:fldCharType="begin"/>
            </w:r>
            <w:r w:rsidR="007F3C94">
              <w:rPr>
                <w:noProof/>
                <w:webHidden/>
              </w:rPr>
              <w:instrText xml:space="preserve"> PAGEREF _Toc516047951 \h </w:instrText>
            </w:r>
            <w:r w:rsidR="007F3C94">
              <w:rPr>
                <w:noProof/>
                <w:webHidden/>
              </w:rPr>
            </w:r>
            <w:r w:rsidR="007F3C94">
              <w:rPr>
                <w:noProof/>
                <w:webHidden/>
              </w:rPr>
              <w:fldChar w:fldCharType="separate"/>
            </w:r>
            <w:r w:rsidR="007F3C94">
              <w:rPr>
                <w:noProof/>
                <w:webHidden/>
              </w:rPr>
              <w:t>20</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52" w:history="1">
            <w:r w:rsidR="007F3C94" w:rsidRPr="00D3716F">
              <w:rPr>
                <w:rStyle w:val="Hyperlink"/>
                <w:rFonts w:ascii="Wingdings" w:hAnsi="Wingdings"/>
                <w:noProof/>
                <w:lang w:val="en-GB"/>
              </w:rPr>
              <w:t></w:t>
            </w:r>
            <w:r w:rsidR="007F3C94">
              <w:rPr>
                <w:rFonts w:asciiTheme="minorHAnsi" w:eastAsiaTheme="minorEastAsia" w:hAnsiTheme="minorHAnsi"/>
                <w:noProof/>
                <w:lang w:eastAsia="bg-BG"/>
              </w:rPr>
              <w:tab/>
            </w:r>
            <w:r w:rsidR="007F3C94" w:rsidRPr="00D3716F">
              <w:rPr>
                <w:rStyle w:val="Hyperlink"/>
                <w:noProof/>
                <w:lang w:val="en-GB"/>
              </w:rPr>
              <w:t>Publication of the European University Association</w:t>
            </w:r>
            <w:r w:rsidR="007F3C94">
              <w:rPr>
                <w:noProof/>
                <w:webHidden/>
              </w:rPr>
              <w:tab/>
            </w:r>
            <w:r w:rsidR="007F3C94">
              <w:rPr>
                <w:noProof/>
                <w:webHidden/>
              </w:rPr>
              <w:fldChar w:fldCharType="begin"/>
            </w:r>
            <w:r w:rsidR="007F3C94">
              <w:rPr>
                <w:noProof/>
                <w:webHidden/>
              </w:rPr>
              <w:instrText xml:space="preserve"> PAGEREF _Toc516047952 \h </w:instrText>
            </w:r>
            <w:r w:rsidR="007F3C94">
              <w:rPr>
                <w:noProof/>
                <w:webHidden/>
              </w:rPr>
            </w:r>
            <w:r w:rsidR="007F3C94">
              <w:rPr>
                <w:noProof/>
                <w:webHidden/>
              </w:rPr>
              <w:fldChar w:fldCharType="separate"/>
            </w:r>
            <w:r w:rsidR="007F3C94">
              <w:rPr>
                <w:noProof/>
                <w:webHidden/>
              </w:rPr>
              <w:t>20</w:t>
            </w:r>
            <w:r w:rsidR="007F3C94">
              <w:rPr>
                <w:noProof/>
                <w:webHidden/>
              </w:rPr>
              <w:fldChar w:fldCharType="end"/>
            </w:r>
          </w:hyperlink>
        </w:p>
        <w:p w:rsidR="007F3C94" w:rsidRDefault="006C436C">
          <w:pPr>
            <w:pStyle w:val="TOC2"/>
            <w:tabs>
              <w:tab w:val="left" w:pos="660"/>
              <w:tab w:val="right" w:leader="dot" w:pos="9062"/>
            </w:tabs>
            <w:rPr>
              <w:rFonts w:asciiTheme="minorHAnsi" w:eastAsiaTheme="minorEastAsia" w:hAnsiTheme="minorHAnsi"/>
              <w:noProof/>
              <w:lang w:eastAsia="bg-BG"/>
            </w:rPr>
          </w:pPr>
          <w:hyperlink w:anchor="_Toc516047953" w:history="1">
            <w:r w:rsidR="007F3C94" w:rsidRPr="00D3716F">
              <w:rPr>
                <w:rStyle w:val="Hyperlink"/>
                <w:rFonts w:ascii="Wingdings" w:hAnsi="Wingdings"/>
                <w:noProof/>
                <w:lang w:val="en-GB"/>
              </w:rPr>
              <w:t></w:t>
            </w:r>
            <w:r w:rsidR="007F3C94">
              <w:rPr>
                <w:rFonts w:asciiTheme="minorHAnsi" w:eastAsiaTheme="minorEastAsia" w:hAnsiTheme="minorHAnsi"/>
                <w:noProof/>
                <w:lang w:eastAsia="bg-BG"/>
              </w:rPr>
              <w:tab/>
            </w:r>
            <w:r w:rsidR="007F3C94" w:rsidRPr="00D3716F">
              <w:rPr>
                <w:rStyle w:val="Hyperlink"/>
                <w:noProof/>
                <w:lang w:val="en-GB"/>
              </w:rPr>
              <w:t>CERN Courier</w:t>
            </w:r>
            <w:r w:rsidR="007F3C94">
              <w:rPr>
                <w:noProof/>
                <w:webHidden/>
              </w:rPr>
              <w:tab/>
            </w:r>
            <w:r w:rsidR="007F3C94">
              <w:rPr>
                <w:noProof/>
                <w:webHidden/>
              </w:rPr>
              <w:fldChar w:fldCharType="begin"/>
            </w:r>
            <w:r w:rsidR="007F3C94">
              <w:rPr>
                <w:noProof/>
                <w:webHidden/>
              </w:rPr>
              <w:instrText xml:space="preserve"> PAGEREF _Toc516047953 \h </w:instrText>
            </w:r>
            <w:r w:rsidR="007F3C94">
              <w:rPr>
                <w:noProof/>
                <w:webHidden/>
              </w:rPr>
            </w:r>
            <w:r w:rsidR="007F3C94">
              <w:rPr>
                <w:noProof/>
                <w:webHidden/>
              </w:rPr>
              <w:fldChar w:fldCharType="separate"/>
            </w:r>
            <w:r w:rsidR="007F3C94">
              <w:rPr>
                <w:noProof/>
                <w:webHidden/>
              </w:rPr>
              <w:t>21</w:t>
            </w:r>
            <w:r w:rsidR="007F3C94">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6B19B3" w:rsidP="00703403">
      <w:pPr>
        <w:pStyle w:val="Master-scholarship-internship"/>
        <w:rPr>
          <w:rFonts w:ascii="Times New Roman" w:hAnsi="Times New Roman" w:cs="Times New Roman"/>
        </w:rPr>
      </w:pPr>
      <w:bookmarkStart w:id="1" w:name="_Toc516047933"/>
      <w:r w:rsidRPr="0098044C">
        <w:rPr>
          <w:rFonts w:ascii="Times New Roman" w:hAnsi="Times New Roman" w:cs="Times New Roman"/>
        </w:rPr>
        <w:lastRenderedPageBreak/>
        <w:t>МАГИСТРАТУРИ, СТИПЕНДИИ, СТАЖОВЕ</w:t>
      </w:r>
      <w:bookmarkEnd w:id="1"/>
    </w:p>
    <w:p w:rsidR="000E11A3" w:rsidRPr="000E11A3" w:rsidRDefault="000E11A3" w:rsidP="000E11A3">
      <w:pPr>
        <w:pStyle w:val="Heading2"/>
        <w:ind w:left="426"/>
      </w:pPr>
      <w:bookmarkStart w:id="2" w:name="_Toc516047934"/>
      <w:r w:rsidRPr="000E11A3">
        <w:t>Конкурс за стипендия „The Global Study Awards 2018“</w:t>
      </w:r>
      <w:bookmarkEnd w:id="2"/>
    </w:p>
    <w:p w:rsidR="009A4172" w:rsidRDefault="00D334CE" w:rsidP="009A4172">
      <w:pPr>
        <w:spacing w:after="120"/>
        <w:rPr>
          <w:sz w:val="24"/>
          <w:szCs w:val="24"/>
        </w:rPr>
      </w:pPr>
      <w:r w:rsidRPr="009A4172">
        <w:rPr>
          <w:bCs/>
          <w:sz w:val="24"/>
          <w:szCs w:val="24"/>
        </w:rPr>
        <w:t>Британският съвет IELTS, Асоциацията ISIC и StudyPortals организират конкурс за стипендия The Global Study Awards 2018.</w:t>
      </w:r>
      <w:r w:rsidRPr="009A4172">
        <w:rPr>
          <w:sz w:val="24"/>
          <w:szCs w:val="24"/>
        </w:rPr>
        <w:t xml:space="preserve"> </w:t>
      </w:r>
    </w:p>
    <w:p w:rsidR="009A4172" w:rsidRDefault="00D334CE" w:rsidP="009A4172">
      <w:pPr>
        <w:spacing w:before="120" w:after="120"/>
        <w:rPr>
          <w:sz w:val="24"/>
          <w:szCs w:val="24"/>
        </w:rPr>
      </w:pPr>
      <w:r w:rsidRPr="009A4172">
        <w:rPr>
          <w:sz w:val="24"/>
          <w:szCs w:val="24"/>
        </w:rPr>
        <w:t xml:space="preserve">Инициативата предоставя възможност на </w:t>
      </w:r>
      <w:r w:rsidR="009A4172">
        <w:rPr>
          <w:sz w:val="24"/>
          <w:szCs w:val="24"/>
        </w:rPr>
        <w:t>двама</w:t>
      </w:r>
      <w:r w:rsidRPr="009A4172">
        <w:rPr>
          <w:sz w:val="24"/>
          <w:szCs w:val="24"/>
        </w:rPr>
        <w:t xml:space="preserve"> души да учат в чужбина, за да изследват нови страни, езици и култури. Главната цел на стипендията е да насърчи младите хора да учат в чужбина по време на своето висше образование. </w:t>
      </w:r>
    </w:p>
    <w:p w:rsidR="009A4172" w:rsidRDefault="00D334CE" w:rsidP="009A4172">
      <w:pPr>
        <w:spacing w:before="120" w:after="120"/>
        <w:rPr>
          <w:sz w:val="24"/>
          <w:szCs w:val="24"/>
        </w:rPr>
      </w:pPr>
      <w:r w:rsidRPr="009A4172">
        <w:rPr>
          <w:sz w:val="24"/>
          <w:szCs w:val="24"/>
        </w:rPr>
        <w:t>Кандидатите трябва да са на възраст над 18 години, да притежават сертификат IELTS и да имат валиден формуляр за изпитване (TRF), издаден от Британския съвет след 1 юни 2017 г., да и</w:t>
      </w:r>
      <w:r w:rsidR="009A4172">
        <w:rPr>
          <w:sz w:val="24"/>
          <w:szCs w:val="24"/>
        </w:rPr>
        <w:t>мат валидна международна карта з</w:t>
      </w:r>
      <w:r w:rsidRPr="009A4172">
        <w:rPr>
          <w:sz w:val="24"/>
          <w:szCs w:val="24"/>
        </w:rPr>
        <w:t xml:space="preserve">а самоличност (ISIC) и/или международна пътна карта (IYTC) към момента на заявлението и да планират да се запишат в редовна форма на обучение в чужбина през есента на 2018 г. </w:t>
      </w:r>
    </w:p>
    <w:p w:rsidR="009A4172" w:rsidRDefault="00D334CE" w:rsidP="009A4172">
      <w:pPr>
        <w:spacing w:before="120" w:after="120"/>
        <w:rPr>
          <w:sz w:val="24"/>
          <w:szCs w:val="24"/>
        </w:rPr>
      </w:pPr>
      <w:r w:rsidRPr="009A4172">
        <w:rPr>
          <w:sz w:val="24"/>
          <w:szCs w:val="24"/>
        </w:rPr>
        <w:t xml:space="preserve">Двамата избрани ще бъдат наградени с 10 000 паунда, които ще послужат за финансиране на обучението им. За да кандидатствате, трябва да попълните </w:t>
      </w:r>
      <w:hyperlink r:id="rId11" w:anchor="fflt:ISIC_GSA1" w:tgtFrame="_blank" w:history="1">
        <w:r w:rsidRPr="009A4172">
          <w:rPr>
            <w:rStyle w:val="Hyperlink"/>
            <w:sz w:val="24"/>
            <w:szCs w:val="24"/>
          </w:rPr>
          <w:t>формуляр</w:t>
        </w:r>
      </w:hyperlink>
      <w:r w:rsidRPr="009A4172">
        <w:rPr>
          <w:sz w:val="24"/>
          <w:szCs w:val="24"/>
        </w:rPr>
        <w:t xml:space="preserve">. </w:t>
      </w:r>
    </w:p>
    <w:p w:rsidR="00D334CE" w:rsidRPr="009A4172" w:rsidRDefault="00D334CE" w:rsidP="009A4172">
      <w:pPr>
        <w:spacing w:before="120" w:after="120"/>
        <w:rPr>
          <w:sz w:val="24"/>
          <w:szCs w:val="24"/>
          <w:lang w:val="ru-RU"/>
        </w:rPr>
      </w:pPr>
      <w:r w:rsidRPr="009A4172">
        <w:rPr>
          <w:sz w:val="24"/>
          <w:szCs w:val="24"/>
        </w:rPr>
        <w:t xml:space="preserve">Повече информация може да намерите </w:t>
      </w:r>
      <w:hyperlink r:id="rId12" w:anchor="fflt:ISIC_GSA1" w:tgtFrame="_blank" w:history="1">
        <w:r w:rsidRPr="009A4172">
          <w:rPr>
            <w:rStyle w:val="Hyperlink"/>
            <w:sz w:val="24"/>
            <w:szCs w:val="24"/>
          </w:rPr>
          <w:t>тук</w:t>
        </w:r>
      </w:hyperlink>
      <w:r w:rsidRPr="009A4172">
        <w:rPr>
          <w:sz w:val="24"/>
          <w:szCs w:val="24"/>
        </w:rPr>
        <w:t>.</w:t>
      </w:r>
    </w:p>
    <w:p w:rsidR="00D334CE" w:rsidRPr="009A4172" w:rsidRDefault="009A4172" w:rsidP="00E9742A">
      <w:pPr>
        <w:spacing w:after="480"/>
        <w:rPr>
          <w:b/>
          <w:sz w:val="24"/>
          <w:szCs w:val="24"/>
          <w:lang w:val="ru-RU"/>
        </w:rPr>
      </w:pPr>
      <w:r w:rsidRPr="009A4172">
        <w:rPr>
          <w:b/>
          <w:sz w:val="24"/>
          <w:szCs w:val="24"/>
        </w:rPr>
        <w:t>Краен срок: 20 юли 2018 г.</w:t>
      </w:r>
    </w:p>
    <w:p w:rsidR="00C177E1" w:rsidRPr="00FE7B4C" w:rsidRDefault="00C177E1" w:rsidP="00170D2F">
      <w:pPr>
        <w:pStyle w:val="Heading2"/>
        <w:ind w:left="425" w:hanging="357"/>
        <w:rPr>
          <w:lang w:val="ru-RU"/>
        </w:rPr>
      </w:pPr>
      <w:bookmarkStart w:id="3" w:name="_Toc516047935"/>
      <w:r>
        <w:t>Платен стаж в Световната търговска организация</w:t>
      </w:r>
      <w:bookmarkEnd w:id="3"/>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3"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77450">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4" w:name="_Toc516047936"/>
      <w:r>
        <w:t xml:space="preserve">Стажантска програма на </w:t>
      </w:r>
      <w:r w:rsidRPr="005851AE">
        <w:rPr>
          <w:rFonts w:ascii="Times New Roman" w:hAnsi="Times New Roman"/>
        </w:rPr>
        <w:t>УниКредит Булбанк</w:t>
      </w:r>
      <w:bookmarkEnd w:id="4"/>
      <w:r w:rsidRPr="005851AE">
        <w:rPr>
          <w:rFonts w:ascii="Times New Roman" w:hAnsi="Times New Roman"/>
        </w:rPr>
        <w:t xml:space="preserve"> </w:t>
      </w:r>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lastRenderedPageBreak/>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4"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5"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5" w:name="_Toc516047937"/>
      <w:r w:rsidRPr="001A023B">
        <w:t>Стаж в Организацията по прехрана и земеделие (FAO) към ООН</w:t>
      </w:r>
      <w:bookmarkEnd w:id="5"/>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6"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6" w:name="_Toc516047938"/>
      <w:r w:rsidRPr="00A724B3">
        <w:t>Стажове в Международната академия на нюрнбергските принципи</w:t>
      </w:r>
      <w:bookmarkEnd w:id="6"/>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17"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FC7476" w:rsidRDefault="00C177E1" w:rsidP="00CC4770">
      <w:pPr>
        <w:spacing w:before="120" w:after="480"/>
        <w:rPr>
          <w:rFonts w:cs="Times New Roman"/>
          <w:b/>
          <w:sz w:val="24"/>
          <w:szCs w:val="24"/>
          <w:lang w:val="en-US"/>
        </w:rPr>
      </w:pPr>
      <w:r w:rsidRPr="00A724B3">
        <w:rPr>
          <w:rFonts w:cs="Times New Roman"/>
          <w:b/>
          <w:sz w:val="24"/>
          <w:szCs w:val="24"/>
        </w:rPr>
        <w:t>Краен срок: целогодишно</w:t>
      </w:r>
    </w:p>
    <w:p w:rsidR="00CC4770" w:rsidRPr="00CC4770" w:rsidRDefault="00CC4770" w:rsidP="00CC4770">
      <w:pPr>
        <w:spacing w:before="120" w:after="480"/>
        <w:rPr>
          <w:sz w:val="24"/>
          <w:szCs w:val="24"/>
          <w:lang w:val="en-US"/>
        </w:rPr>
      </w:pPr>
    </w:p>
    <w:p w:rsidR="00FC7476" w:rsidRPr="00031BF3" w:rsidRDefault="00FC7476" w:rsidP="001E2550">
      <w:pPr>
        <w:spacing w:before="120" w:after="120"/>
        <w:rPr>
          <w:sz w:val="24"/>
          <w:szCs w:val="24"/>
          <w:lang w:val="ru-RU"/>
        </w:rPr>
        <w:sectPr w:rsidR="00FC7476" w:rsidRPr="00031BF3" w:rsidSect="00AA7F9B">
          <w:footerReference w:type="default" r:id="rId18"/>
          <w:pgSz w:w="11906" w:h="16838"/>
          <w:pgMar w:top="1440" w:right="1080" w:bottom="1440" w:left="1080" w:header="708" w:footer="708" w:gutter="0"/>
          <w:cols w:space="708"/>
          <w:docGrid w:linePitch="360"/>
        </w:sectPr>
      </w:pPr>
    </w:p>
    <w:p w:rsidR="00D00941" w:rsidRDefault="00912146" w:rsidP="00B278E8">
      <w:pPr>
        <w:pStyle w:val="Programs"/>
      </w:pPr>
      <w:bookmarkStart w:id="7" w:name="_Toc516047939"/>
      <w:r>
        <w:lastRenderedPageBreak/>
        <w:t>ПРОГРАМИ</w:t>
      </w:r>
      <w:bookmarkEnd w:id="7"/>
    </w:p>
    <w:p w:rsidR="0006717A" w:rsidRPr="0006717A" w:rsidRDefault="0006717A" w:rsidP="00285257">
      <w:pPr>
        <w:pStyle w:val="Heading2"/>
        <w:ind w:left="426"/>
        <w:rPr>
          <w:rFonts w:eastAsia="Times New Roman"/>
          <w:lang w:eastAsia="bg-BG"/>
        </w:rPr>
      </w:pPr>
      <w:bookmarkStart w:id="8" w:name="_Toc503363226"/>
      <w:bookmarkStart w:id="9" w:name="_Toc516047940"/>
      <w:r w:rsidRPr="0006717A">
        <w:rPr>
          <w:rFonts w:eastAsia="Times New Roman"/>
          <w:lang w:eastAsia="bg-BG"/>
        </w:rPr>
        <w:t>Подкрепа на международни научни форуми, провеждани в Република България</w:t>
      </w:r>
      <w:bookmarkEnd w:id="8"/>
      <w:bookmarkEnd w:id="9"/>
      <w:r w:rsidRPr="0006717A">
        <w:rPr>
          <w:rFonts w:eastAsia="Times New Roman"/>
          <w:lang w:eastAsia="bg-BG"/>
        </w:rPr>
        <w:t xml:space="preserve"> </w:t>
      </w:r>
    </w:p>
    <w:p w:rsidR="0006717A" w:rsidRPr="00B040B1" w:rsidRDefault="0006717A" w:rsidP="00B040B1">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Ц</w:t>
      </w:r>
      <w:r w:rsidR="00B040B1">
        <w:rPr>
          <w:rFonts w:eastAsia="Times New Roman" w:cs="Times New Roman"/>
          <w:color w:val="000000"/>
          <w:sz w:val="24"/>
          <w:szCs w:val="24"/>
          <w:lang w:eastAsia="bg-BG"/>
        </w:rPr>
        <w:t>елта на процедурата е п</w:t>
      </w:r>
      <w:r w:rsidRPr="00B040B1">
        <w:rPr>
          <w:rFonts w:eastAsia="Times New Roman" w:cs="Times New Roman"/>
          <w:color w:val="000000"/>
          <w:sz w:val="24"/>
          <w:szCs w:val="24"/>
          <w:lang w:eastAsia="bg-BG"/>
        </w:rPr>
        <w:t>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ДОПУСТИМИ КАНДИДАТИ</w:t>
      </w:r>
    </w:p>
    <w:p w:rsidR="0006717A" w:rsidRPr="00B040B1" w:rsidRDefault="0006717A" w:rsidP="009D4A26">
      <w:pPr>
        <w:numPr>
          <w:ilvl w:val="0"/>
          <w:numId w:val="10"/>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Акредитирани висши училища по чл. 85 ал.1 т.7 (ЗВО </w:t>
      </w:r>
      <w:proofErr w:type="spellStart"/>
      <w:r w:rsidRPr="00B040B1">
        <w:rPr>
          <w:rFonts w:eastAsia="Times New Roman" w:cs="Times New Roman"/>
          <w:color w:val="000000"/>
          <w:sz w:val="24"/>
          <w:szCs w:val="24"/>
          <w:lang w:eastAsia="bg-BG"/>
        </w:rPr>
        <w:t>Обн</w:t>
      </w:r>
      <w:proofErr w:type="spellEnd"/>
      <w:r w:rsidRPr="00B040B1">
        <w:rPr>
          <w:rFonts w:eastAsia="Times New Roman" w:cs="Times New Roman"/>
          <w:color w:val="000000"/>
          <w:sz w:val="24"/>
          <w:szCs w:val="24"/>
          <w:lang w:eastAsia="bg-BG"/>
        </w:rPr>
        <w:t>. ДВ. бр.112 от 27 Декември 1995г. изм. ДВ. бр.107 от 24 Декември 2014г).</w:t>
      </w:r>
    </w:p>
    <w:p w:rsidR="0006717A" w:rsidRPr="00B040B1" w:rsidRDefault="0006717A" w:rsidP="009D4A26">
      <w:pPr>
        <w:numPr>
          <w:ilvl w:val="0"/>
          <w:numId w:val="10"/>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Научни организации по чл. 47 ал. 1 на (ЗВО </w:t>
      </w:r>
      <w:proofErr w:type="spellStart"/>
      <w:r w:rsidRPr="00B040B1">
        <w:rPr>
          <w:rFonts w:eastAsia="Times New Roman" w:cs="Times New Roman"/>
          <w:color w:val="000000"/>
          <w:sz w:val="24"/>
          <w:szCs w:val="24"/>
          <w:lang w:eastAsia="bg-BG"/>
        </w:rPr>
        <w:t>Обн</w:t>
      </w:r>
      <w:proofErr w:type="spellEnd"/>
      <w:r w:rsidRPr="00B040B1">
        <w:rPr>
          <w:rFonts w:eastAsia="Times New Roman" w:cs="Times New Roman"/>
          <w:color w:val="000000"/>
          <w:sz w:val="24"/>
          <w:szCs w:val="24"/>
          <w:lang w:eastAsia="bg-BG"/>
        </w:rPr>
        <w:t>. ДВ. бр.112 от 27 Декември 1995г. изм. ДВ. бр.107 от 24 Декември 2014г).</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КРИТЕРИИ ЗА ОЦЕНКА:</w:t>
      </w:r>
    </w:p>
    <w:p w:rsidR="0006717A" w:rsidRPr="00B040B1" w:rsidRDefault="0006717A" w:rsidP="009D4A26">
      <w:pPr>
        <w:numPr>
          <w:ilvl w:val="0"/>
          <w:numId w:val="11"/>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Събитието да се провежда на територията на Република България;</w:t>
      </w:r>
    </w:p>
    <w:p w:rsidR="0006717A" w:rsidRPr="00B040B1" w:rsidRDefault="0006717A" w:rsidP="009D4A26">
      <w:pPr>
        <w:numPr>
          <w:ilvl w:val="0"/>
          <w:numId w:val="11"/>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Доказано международно участие;</w:t>
      </w:r>
    </w:p>
    <w:p w:rsidR="0006717A" w:rsidRPr="00B040B1" w:rsidRDefault="0006717A" w:rsidP="009D4A26">
      <w:pPr>
        <w:numPr>
          <w:ilvl w:val="0"/>
          <w:numId w:val="11"/>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06717A" w:rsidRPr="00B040B1" w:rsidRDefault="0006717A" w:rsidP="009D4A26">
      <w:pPr>
        <w:numPr>
          <w:ilvl w:val="0"/>
          <w:numId w:val="11"/>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Структурирана програма;</w:t>
      </w:r>
    </w:p>
    <w:p w:rsidR="0006717A" w:rsidRPr="00B040B1" w:rsidRDefault="0006717A" w:rsidP="009D4A26">
      <w:pPr>
        <w:numPr>
          <w:ilvl w:val="0"/>
          <w:numId w:val="11"/>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06717A" w:rsidRPr="00B040B1" w:rsidRDefault="0006717A" w:rsidP="009D4A26">
      <w:pPr>
        <w:numPr>
          <w:ilvl w:val="0"/>
          <w:numId w:val="11"/>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Престиж на международните лектори;</w:t>
      </w:r>
    </w:p>
    <w:p w:rsidR="0006717A" w:rsidRPr="00B040B1" w:rsidRDefault="0006717A" w:rsidP="009D4A26">
      <w:pPr>
        <w:numPr>
          <w:ilvl w:val="0"/>
          <w:numId w:val="11"/>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b/>
          <w:bCs/>
          <w:color w:val="000000"/>
          <w:sz w:val="24"/>
          <w:szCs w:val="24"/>
          <w:lang w:eastAsia="bg-BG"/>
        </w:rPr>
        <w:t xml:space="preserve">БЮДЖЕТЪТ </w:t>
      </w:r>
      <w:r w:rsidRPr="00B040B1">
        <w:rPr>
          <w:rFonts w:eastAsia="Times New Roman" w:cs="Times New Roman"/>
          <w:color w:val="000000"/>
          <w:sz w:val="24"/>
          <w:szCs w:val="24"/>
          <w:lang w:eastAsia="bg-BG"/>
        </w:rPr>
        <w:t xml:space="preserve">за конкурса се определя в Годишната оперативна програма за съответната година. Максималният размер на съфинансирането на една конференция е </w:t>
      </w:r>
      <w:r w:rsidRPr="00B040B1">
        <w:rPr>
          <w:rFonts w:eastAsia="Times New Roman" w:cs="Times New Roman"/>
          <w:b/>
          <w:bCs/>
          <w:color w:val="000000"/>
          <w:sz w:val="24"/>
          <w:szCs w:val="24"/>
          <w:lang w:eastAsia="bg-BG"/>
        </w:rPr>
        <w:t xml:space="preserve">до </w:t>
      </w:r>
      <w:r w:rsidRPr="00B040B1">
        <w:rPr>
          <w:rFonts w:eastAsia="Times New Roman" w:cs="Times New Roman"/>
          <w:color w:val="000000"/>
          <w:sz w:val="24"/>
          <w:szCs w:val="24"/>
          <w:lang w:eastAsia="bg-BG"/>
        </w:rPr>
        <w:t xml:space="preserve">8 000 лв. както следва: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един ден (програмата не по-къса от 7 работни часа): до 3 000 лв.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два дни (програма не по-къса от 14 работни часа): до 5 000 лв.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три или повече дни (програма не по-къса от 20 работни часа): до 8 000 лв. </w:t>
      </w:r>
    </w:p>
    <w:p w:rsidR="0006717A" w:rsidRPr="00B040B1" w:rsidRDefault="0006717A" w:rsidP="00B040B1">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lastRenderedPageBreak/>
        <w:t xml:space="preserve">В продължителността на програмата на форума се включват времето за доклади, </w:t>
      </w:r>
      <w:proofErr w:type="spellStart"/>
      <w:r w:rsidRPr="00B040B1">
        <w:rPr>
          <w:rFonts w:eastAsia="Times New Roman" w:cs="Times New Roman"/>
          <w:color w:val="000000"/>
          <w:sz w:val="24"/>
          <w:szCs w:val="24"/>
          <w:lang w:eastAsia="bg-BG"/>
        </w:rPr>
        <w:t>постерни</w:t>
      </w:r>
      <w:proofErr w:type="spellEnd"/>
      <w:r w:rsidRPr="00B040B1">
        <w:rPr>
          <w:rFonts w:eastAsia="Times New Roman" w:cs="Times New Roman"/>
          <w:color w:val="000000"/>
          <w:sz w:val="24"/>
          <w:szCs w:val="24"/>
          <w:lang w:eastAsia="bg-BG"/>
        </w:rPr>
        <w:t xml:space="preserve"> сесии, дискусии и други форми на представяне и обсъждане на научни проблеми, времето за откриване и закриване на форума, както и времето за кафе-паузи.</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Проектните предложения ще бъдат разглеждани от Временна научно-експертна комисия за подбор на предложенията всяко тримесечие</w:t>
      </w:r>
      <w:r w:rsidRPr="00B040B1">
        <w:rPr>
          <w:rFonts w:eastAsia="Times New Roman" w:cs="Times New Roman"/>
          <w:b/>
          <w:bCs/>
          <w:color w:val="000000"/>
          <w:sz w:val="24"/>
          <w:szCs w:val="24"/>
          <w:lang w:eastAsia="bg-BG"/>
        </w:rPr>
        <w:t xml:space="preserve">. </w:t>
      </w:r>
    </w:p>
    <w:p w:rsidR="0006717A" w:rsidRPr="00B040B1" w:rsidRDefault="0006717A" w:rsidP="00B040B1">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 xml:space="preserve">В рамките на една сесия могат да бъдат </w:t>
      </w:r>
      <w:proofErr w:type="spellStart"/>
      <w:r w:rsidRPr="00B040B1">
        <w:rPr>
          <w:rFonts w:eastAsia="Times New Roman" w:cs="Times New Roman"/>
          <w:color w:val="000000"/>
          <w:sz w:val="24"/>
          <w:szCs w:val="24"/>
          <w:lang w:eastAsia="bg-BG"/>
        </w:rPr>
        <w:t>подкрепeни</w:t>
      </w:r>
      <w:proofErr w:type="spellEnd"/>
      <w:r w:rsidRPr="00B040B1">
        <w:rPr>
          <w:rFonts w:eastAsia="Times New Roman" w:cs="Times New Roman"/>
          <w:color w:val="000000"/>
          <w:sz w:val="24"/>
          <w:szCs w:val="24"/>
          <w:lang w:eastAsia="bg-BG"/>
        </w:rPr>
        <w:t xml:space="preserve"> до две предложения от научна организация.</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Пълният текст на процедурата и допълнителна информация можете да намерите </w:t>
      </w:r>
      <w:hyperlink r:id="rId19" w:history="1">
        <w:r w:rsidRPr="00B040B1">
          <w:rPr>
            <w:rStyle w:val="Hyperlink"/>
            <w:rFonts w:eastAsia="Times New Roman" w:cs="Times New Roman"/>
            <w:sz w:val="24"/>
            <w:szCs w:val="24"/>
            <w:lang w:eastAsia="bg-BG"/>
          </w:rPr>
          <w:t>ТУК</w:t>
        </w:r>
      </w:hyperlink>
    </w:p>
    <w:p w:rsidR="0006717A" w:rsidRPr="00B040B1" w:rsidRDefault="0006717A" w:rsidP="00B040B1">
      <w:pPr>
        <w:shd w:val="clear" w:color="auto" w:fill="FFFFFF"/>
        <w:spacing w:before="120" w:after="120"/>
        <w:rPr>
          <w:rFonts w:eastAsia="Times New Roman" w:cs="Times New Roman"/>
          <w:b/>
          <w:color w:val="000000"/>
          <w:sz w:val="24"/>
          <w:szCs w:val="24"/>
          <w:lang w:eastAsia="bg-BG"/>
        </w:rPr>
      </w:pPr>
      <w:r w:rsidRPr="00B040B1">
        <w:rPr>
          <w:rFonts w:eastAsia="Times New Roman" w:cs="Times New Roman"/>
          <w:b/>
          <w:color w:val="000000"/>
          <w:sz w:val="24"/>
          <w:szCs w:val="24"/>
          <w:lang w:eastAsia="bg-BG"/>
        </w:rPr>
        <w:t>Краен срок: текущ</w:t>
      </w:r>
    </w:p>
    <w:p w:rsidR="00AB0EFA" w:rsidRPr="00AB0EFA" w:rsidRDefault="00AB0EFA" w:rsidP="008358A5">
      <w:pPr>
        <w:pStyle w:val="Heading2"/>
        <w:ind w:left="426"/>
        <w:rPr>
          <w:rFonts w:eastAsia="Times New Roman"/>
          <w:lang w:eastAsia="bg-BG"/>
        </w:rPr>
      </w:pPr>
      <w:bookmarkStart w:id="10" w:name="_Toc503363227"/>
      <w:bookmarkStart w:id="11" w:name="_Toc516047941"/>
      <w:r w:rsidRPr="00AB0EFA">
        <w:rPr>
          <w:rFonts w:eastAsia="Times New Roman"/>
          <w:lang w:eastAsia="bg-BG"/>
        </w:rPr>
        <w:t>Национално съфинансиране за участие на български колективи в утвърдени проекти по COST</w:t>
      </w:r>
      <w:bookmarkEnd w:id="10"/>
      <w:bookmarkEnd w:id="11"/>
      <w:r w:rsidRPr="00AB0EFA">
        <w:rPr>
          <w:rFonts w:eastAsia="Times New Roman"/>
          <w:lang w:eastAsia="bg-BG"/>
        </w:rPr>
        <w:t xml:space="preserve"> </w:t>
      </w:r>
    </w:p>
    <w:p w:rsidR="00AB0EFA" w:rsidRPr="00AB0EFA" w:rsidRDefault="00AB0EFA" w:rsidP="00AB0EFA">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AB0EFA" w:rsidRPr="00AB0EFA" w:rsidRDefault="00AB0EFA" w:rsidP="00E1455C">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AB0EFA" w:rsidRPr="00AB0EFA" w:rsidRDefault="00AB0EFA" w:rsidP="009D4A26">
      <w:pPr>
        <w:numPr>
          <w:ilvl w:val="0"/>
          <w:numId w:val="12"/>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AB0EFA" w:rsidRPr="00AB0EFA" w:rsidRDefault="00AB0EFA" w:rsidP="009D4A26">
      <w:pPr>
        <w:numPr>
          <w:ilvl w:val="0"/>
          <w:numId w:val="12"/>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AB0EFA" w:rsidRPr="00AB0EFA" w:rsidRDefault="00AB0EFA" w:rsidP="00E1455C">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AB0EFA" w:rsidRPr="00E1455C" w:rsidRDefault="006C436C" w:rsidP="00AB0EFA">
      <w:pPr>
        <w:rPr>
          <w:rFonts w:cs="Times New Roman"/>
          <w:color w:val="000000"/>
          <w:sz w:val="24"/>
          <w:szCs w:val="24"/>
        </w:rPr>
      </w:pPr>
      <w:hyperlink r:id="rId20" w:tgtFrame="_blank" w:history="1">
        <w:r w:rsidR="00AB0EFA" w:rsidRPr="00E1455C">
          <w:rPr>
            <w:rStyle w:val="Hyperlink"/>
            <w:rFonts w:cs="Times New Roman"/>
            <w:sz w:val="24"/>
            <w:szCs w:val="24"/>
          </w:rPr>
          <w:t>Пълен текст на процедурата</w:t>
        </w:r>
      </w:hyperlink>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21" w:history="1">
        <w:r w:rsidRPr="00E1455C">
          <w:rPr>
            <w:rFonts w:eastAsia="Calibri" w:cs="Times New Roman"/>
            <w:color w:val="0000FF" w:themeColor="hyperlink"/>
            <w:sz w:val="24"/>
            <w:szCs w:val="24"/>
            <w:u w:val="single"/>
            <w:lang w:eastAsia="bg-BG"/>
          </w:rPr>
          <w:t>fni-konkursi@mon.bg</w:t>
        </w:r>
      </w:hyperlink>
    </w:p>
    <w:p w:rsidR="00AB0EFA" w:rsidRPr="00AB0EFA" w:rsidRDefault="00AB0EFA" w:rsidP="00AB0EFA">
      <w:pPr>
        <w:spacing w:after="72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EB5349" w:rsidRPr="00BF5FBC" w:rsidRDefault="00EB5349" w:rsidP="00BF5FBC">
      <w:pPr>
        <w:pStyle w:val="Heading2"/>
        <w:ind w:left="426"/>
      </w:pPr>
      <w:bookmarkStart w:id="12" w:name="_Toc516047942"/>
      <w:r w:rsidRPr="00BF5FBC">
        <w:t>Покана за проектни предложения на Фонда за регионално сътрудничество</w:t>
      </w:r>
      <w:bookmarkEnd w:id="12"/>
    </w:p>
    <w:p w:rsidR="00EB5349" w:rsidRDefault="00EB5349" w:rsidP="00BF5FBC">
      <w:pPr>
        <w:spacing w:after="120"/>
        <w:rPr>
          <w:rFonts w:cs="Times New Roman"/>
          <w:sz w:val="24"/>
          <w:szCs w:val="24"/>
        </w:rPr>
      </w:pPr>
      <w:r w:rsidRPr="00EB5349">
        <w:rPr>
          <w:rFonts w:cs="Times New Roman"/>
          <w:sz w:val="24"/>
          <w:szCs w:val="24"/>
        </w:rPr>
        <w:t xml:space="preserve">Фондът за регионално сътрудничество </w:t>
      </w:r>
      <w:r>
        <w:rPr>
          <w:rFonts w:cs="Times New Roman"/>
          <w:sz w:val="24"/>
          <w:szCs w:val="24"/>
        </w:rPr>
        <w:t xml:space="preserve">е </w:t>
      </w:r>
      <w:r w:rsidRPr="00EB5349">
        <w:rPr>
          <w:rFonts w:cs="Times New Roman"/>
          <w:sz w:val="24"/>
          <w:szCs w:val="24"/>
        </w:rPr>
        <w:t>част от Глобалния фонд за р</w:t>
      </w:r>
      <w:r>
        <w:rPr>
          <w:rFonts w:cs="Times New Roman"/>
          <w:sz w:val="24"/>
          <w:szCs w:val="24"/>
        </w:rPr>
        <w:t>егионално сътрудничество, по кой</w:t>
      </w:r>
      <w:r w:rsidRPr="00EB5349">
        <w:rPr>
          <w:rFonts w:cs="Times New Roman"/>
          <w:sz w:val="24"/>
          <w:szCs w:val="24"/>
        </w:rPr>
        <w:t>то страните донори - Норвегия, Исландия и Лихтенщайн предоставят 100 млн. евро за изпълнението на проекти за транснационално сътрудничество и създаване на европейски мрежи, които допринасят към решаване на тематични/хоризонтални европейски предизвикателства.</w:t>
      </w:r>
      <w:r>
        <w:rPr>
          <w:rFonts w:cs="Times New Roman"/>
          <w:sz w:val="24"/>
          <w:szCs w:val="24"/>
        </w:rPr>
        <w:t xml:space="preserve"> </w:t>
      </w:r>
      <w:r w:rsidRPr="00EB5349">
        <w:rPr>
          <w:rFonts w:cs="Times New Roman"/>
          <w:sz w:val="24"/>
          <w:szCs w:val="24"/>
        </w:rPr>
        <w:t xml:space="preserve">Фондът за регионално сътрудничество е с бюджет от 34,5 млн. Евро и ще финансира проекти за транснационално и регионално сътрудничество в приоритетните сектори на </w:t>
      </w:r>
      <w:r>
        <w:rPr>
          <w:rFonts w:cs="Times New Roman"/>
          <w:sz w:val="24"/>
          <w:szCs w:val="24"/>
        </w:rPr>
        <w:t xml:space="preserve">финансовия механизъм на Европейското Икономическо Пространство и на Норвежкия финансов механизъм </w:t>
      </w:r>
      <w:r w:rsidRPr="00EB5349">
        <w:rPr>
          <w:rFonts w:cs="Times New Roman"/>
          <w:sz w:val="24"/>
          <w:szCs w:val="24"/>
        </w:rPr>
        <w:t>2014 – 2021 г. чрез обмен на знания, опит и добри практики в разработване и прилагане на политики, както и в изграждане на капацитет на институциите. </w:t>
      </w:r>
    </w:p>
    <w:p w:rsidR="00FB7257" w:rsidRDefault="00FB7257" w:rsidP="00FB7257">
      <w:pPr>
        <w:spacing w:before="120" w:after="120"/>
        <w:rPr>
          <w:rFonts w:cs="Times New Roman"/>
          <w:bCs/>
          <w:sz w:val="24"/>
          <w:szCs w:val="24"/>
        </w:rPr>
      </w:pPr>
      <w:r w:rsidRPr="00EB5349">
        <w:rPr>
          <w:rFonts w:cs="Times New Roman"/>
          <w:bCs/>
          <w:sz w:val="24"/>
          <w:szCs w:val="24"/>
        </w:rPr>
        <w:t>ПРИОРИТЕТНИ СЕКТОРИ:</w:t>
      </w:r>
    </w:p>
    <w:p w:rsidR="00FB7257" w:rsidRDefault="00FB7257" w:rsidP="00FB7257">
      <w:pPr>
        <w:spacing w:before="120" w:after="120"/>
        <w:rPr>
          <w:rFonts w:cs="Times New Roman"/>
          <w:sz w:val="24"/>
          <w:szCs w:val="24"/>
        </w:rPr>
      </w:pPr>
      <w:r w:rsidRPr="00EB5349">
        <w:rPr>
          <w:rFonts w:cs="Times New Roman"/>
          <w:sz w:val="24"/>
          <w:szCs w:val="24"/>
        </w:rPr>
        <w:t>1. иновации, научни изследвания, образование и конкурентоспособност;</w:t>
      </w:r>
    </w:p>
    <w:p w:rsidR="00FB7257" w:rsidRDefault="00FB7257" w:rsidP="00FB7257">
      <w:pPr>
        <w:spacing w:before="120" w:after="120"/>
        <w:rPr>
          <w:rFonts w:cs="Times New Roman"/>
          <w:sz w:val="24"/>
          <w:szCs w:val="24"/>
        </w:rPr>
      </w:pPr>
      <w:r w:rsidRPr="00EB5349">
        <w:rPr>
          <w:rFonts w:cs="Times New Roman"/>
          <w:sz w:val="24"/>
          <w:szCs w:val="24"/>
        </w:rPr>
        <w:t>2. социалното включване, заетостта сред младите хора и намаляването на бедността;</w:t>
      </w:r>
    </w:p>
    <w:p w:rsidR="00FB7257" w:rsidRDefault="00FB7257" w:rsidP="00FB7257">
      <w:pPr>
        <w:spacing w:before="120" w:after="120"/>
        <w:rPr>
          <w:rFonts w:cs="Times New Roman"/>
          <w:sz w:val="24"/>
          <w:szCs w:val="24"/>
        </w:rPr>
      </w:pPr>
      <w:r w:rsidRPr="00EB5349">
        <w:rPr>
          <w:rFonts w:cs="Times New Roman"/>
          <w:sz w:val="24"/>
          <w:szCs w:val="24"/>
        </w:rPr>
        <w:t>3. околна среда, енергетика, изменение на климата и нисковъглеродна икономика;</w:t>
      </w:r>
    </w:p>
    <w:p w:rsidR="00FB7257" w:rsidRDefault="00FB7257" w:rsidP="00FB7257">
      <w:pPr>
        <w:spacing w:before="120" w:after="120"/>
        <w:rPr>
          <w:rFonts w:cs="Times New Roman"/>
          <w:sz w:val="24"/>
          <w:szCs w:val="24"/>
        </w:rPr>
      </w:pPr>
      <w:r w:rsidRPr="00EB5349">
        <w:rPr>
          <w:rFonts w:cs="Times New Roman"/>
          <w:sz w:val="24"/>
          <w:szCs w:val="24"/>
        </w:rPr>
        <w:t>4. култура, гражданско общество, добро управление и основни права и свободи;</w:t>
      </w:r>
    </w:p>
    <w:p w:rsidR="00FB7257" w:rsidRPr="00EB5349" w:rsidRDefault="00FB7257" w:rsidP="00FB7257">
      <w:pPr>
        <w:spacing w:before="120" w:after="120"/>
        <w:rPr>
          <w:rFonts w:cs="Times New Roman"/>
          <w:sz w:val="24"/>
          <w:szCs w:val="24"/>
        </w:rPr>
      </w:pPr>
      <w:r w:rsidRPr="00EB5349">
        <w:rPr>
          <w:rFonts w:cs="Times New Roman"/>
          <w:sz w:val="24"/>
          <w:szCs w:val="24"/>
        </w:rPr>
        <w:t>5. правосъдие и вътрешни работи.</w:t>
      </w:r>
    </w:p>
    <w:p w:rsidR="00BF5FBC" w:rsidRDefault="00EB5349" w:rsidP="00FB7257">
      <w:pPr>
        <w:spacing w:before="120" w:after="120"/>
        <w:rPr>
          <w:rFonts w:cs="Times New Roman"/>
          <w:sz w:val="24"/>
          <w:szCs w:val="24"/>
        </w:rPr>
      </w:pPr>
      <w:r w:rsidRPr="00EB5349">
        <w:rPr>
          <w:rFonts w:cs="Times New Roman"/>
          <w:sz w:val="24"/>
          <w:szCs w:val="24"/>
        </w:rPr>
        <w:t xml:space="preserve">Настоящата покана, следва двуетапна процедура за кандидатстване: </w:t>
      </w:r>
    </w:p>
    <w:p w:rsidR="00BF5FBC" w:rsidRDefault="00EB5349" w:rsidP="00BF5FBC">
      <w:pPr>
        <w:spacing w:before="120" w:after="120"/>
        <w:rPr>
          <w:rFonts w:cs="Times New Roman"/>
          <w:sz w:val="24"/>
          <w:szCs w:val="24"/>
        </w:rPr>
      </w:pPr>
      <w:r w:rsidRPr="00EB5349">
        <w:rPr>
          <w:rFonts w:cs="Times New Roman"/>
          <w:sz w:val="24"/>
          <w:szCs w:val="24"/>
        </w:rPr>
        <w:t>• на първи етап се подават проектните концепции,</w:t>
      </w:r>
    </w:p>
    <w:p w:rsidR="00BF5FBC" w:rsidRDefault="00EB5349" w:rsidP="00BF5FBC">
      <w:pPr>
        <w:spacing w:before="120" w:after="120"/>
        <w:rPr>
          <w:rFonts w:cs="Times New Roman"/>
          <w:sz w:val="24"/>
          <w:szCs w:val="24"/>
        </w:rPr>
      </w:pPr>
      <w:r w:rsidRPr="00EB5349">
        <w:rPr>
          <w:rFonts w:cs="Times New Roman"/>
          <w:sz w:val="24"/>
          <w:szCs w:val="24"/>
        </w:rPr>
        <w:t>• до втори етап се допускат само тези кандидати с одобрени концепции.</w:t>
      </w:r>
    </w:p>
    <w:p w:rsidR="00EB5349" w:rsidRDefault="00EB5349" w:rsidP="00BF5FBC">
      <w:pPr>
        <w:spacing w:after="120"/>
        <w:rPr>
          <w:rFonts w:cs="Times New Roman"/>
          <w:bCs/>
          <w:sz w:val="24"/>
          <w:szCs w:val="24"/>
        </w:rPr>
      </w:pPr>
      <w:r w:rsidRPr="00EB5349">
        <w:rPr>
          <w:rFonts w:cs="Times New Roman"/>
          <w:bCs/>
          <w:sz w:val="24"/>
          <w:szCs w:val="24"/>
        </w:rPr>
        <w:t>ИНДИКАТИВНИ СРОКОВЕ:</w:t>
      </w:r>
    </w:p>
    <w:p w:rsidR="00BF5FBC" w:rsidRPr="00BF5FBC" w:rsidRDefault="00EB5349" w:rsidP="009D4A26">
      <w:pPr>
        <w:pStyle w:val="ListParagraph"/>
        <w:numPr>
          <w:ilvl w:val="0"/>
          <w:numId w:val="4"/>
        </w:numPr>
        <w:spacing w:after="480"/>
        <w:rPr>
          <w:rFonts w:cs="Times New Roman"/>
          <w:sz w:val="24"/>
          <w:szCs w:val="24"/>
        </w:rPr>
      </w:pPr>
      <w:r w:rsidRPr="00BF5FBC">
        <w:rPr>
          <w:rFonts w:cs="Times New Roman"/>
          <w:sz w:val="24"/>
          <w:szCs w:val="24"/>
        </w:rPr>
        <w:t>Краен срок за подаване на проектни концепции: 01.07.2018 г.;</w:t>
      </w:r>
    </w:p>
    <w:p w:rsidR="00BF5FBC" w:rsidRPr="00BF5FBC" w:rsidRDefault="00EB5349" w:rsidP="009D4A26">
      <w:pPr>
        <w:pStyle w:val="ListParagraph"/>
        <w:numPr>
          <w:ilvl w:val="0"/>
          <w:numId w:val="4"/>
        </w:numPr>
        <w:spacing w:after="480"/>
        <w:rPr>
          <w:rFonts w:cs="Times New Roman"/>
          <w:sz w:val="24"/>
          <w:szCs w:val="24"/>
        </w:rPr>
      </w:pPr>
      <w:r w:rsidRPr="00BF5FBC">
        <w:rPr>
          <w:rFonts w:cs="Times New Roman"/>
          <w:sz w:val="24"/>
          <w:szCs w:val="24"/>
        </w:rPr>
        <w:t>Уведомление на кандидатите за резултатите от проектните концепции: 15.10.2018 г.;</w:t>
      </w:r>
    </w:p>
    <w:p w:rsidR="00BF5FBC" w:rsidRPr="00BF5FBC" w:rsidRDefault="00EB5349" w:rsidP="009D4A26">
      <w:pPr>
        <w:pStyle w:val="ListParagraph"/>
        <w:numPr>
          <w:ilvl w:val="0"/>
          <w:numId w:val="4"/>
        </w:numPr>
        <w:spacing w:after="480"/>
        <w:rPr>
          <w:rFonts w:cs="Times New Roman"/>
          <w:sz w:val="24"/>
          <w:szCs w:val="24"/>
        </w:rPr>
      </w:pPr>
      <w:r w:rsidRPr="00BF5FBC">
        <w:rPr>
          <w:rFonts w:cs="Times New Roman"/>
          <w:sz w:val="24"/>
          <w:szCs w:val="24"/>
        </w:rPr>
        <w:t>Краен срок за изпращане на проектни предложения:15.12.2018 г.;</w:t>
      </w:r>
    </w:p>
    <w:p w:rsidR="00EB5349" w:rsidRPr="00BF5FBC" w:rsidRDefault="00EB5349" w:rsidP="009D4A26">
      <w:pPr>
        <w:pStyle w:val="ListParagraph"/>
        <w:numPr>
          <w:ilvl w:val="0"/>
          <w:numId w:val="4"/>
        </w:numPr>
        <w:spacing w:after="120"/>
        <w:ind w:left="714" w:hanging="357"/>
        <w:rPr>
          <w:rFonts w:cs="Times New Roman"/>
          <w:sz w:val="24"/>
          <w:szCs w:val="24"/>
        </w:rPr>
      </w:pPr>
      <w:r w:rsidRPr="00BF5FBC">
        <w:rPr>
          <w:rFonts w:cs="Times New Roman"/>
          <w:sz w:val="24"/>
          <w:szCs w:val="24"/>
        </w:rPr>
        <w:t>Уведомление за избраните проекти: 01.03.2019 г.</w:t>
      </w:r>
    </w:p>
    <w:p w:rsidR="00EB5349" w:rsidRPr="00EB5349" w:rsidRDefault="00EB5349" w:rsidP="00FB7257">
      <w:pPr>
        <w:spacing w:before="120" w:after="120"/>
        <w:rPr>
          <w:rFonts w:cs="Times New Roman"/>
          <w:sz w:val="24"/>
          <w:szCs w:val="24"/>
        </w:rPr>
      </w:pPr>
      <w:r w:rsidRPr="00EB5349">
        <w:rPr>
          <w:rFonts w:cs="Times New Roman"/>
          <w:bCs/>
          <w:sz w:val="24"/>
          <w:szCs w:val="24"/>
        </w:rPr>
        <w:t>ПАРТНЬОРСТВОТО ПО ПОКАНАТА Е ЗАДЪЛЖИТЕЛНО!</w:t>
      </w:r>
    </w:p>
    <w:p w:rsidR="00BF5FBC" w:rsidRDefault="00EB5349" w:rsidP="00BF5FBC">
      <w:pPr>
        <w:spacing w:before="120" w:after="120"/>
        <w:rPr>
          <w:rFonts w:cs="Times New Roman"/>
          <w:sz w:val="24"/>
          <w:szCs w:val="24"/>
        </w:rPr>
      </w:pPr>
      <w:r w:rsidRPr="00EB5349">
        <w:rPr>
          <w:rFonts w:cs="Times New Roman"/>
          <w:bCs/>
          <w:sz w:val="24"/>
          <w:szCs w:val="24"/>
        </w:rPr>
        <w:t>ДОПУСТИМИ ПАРТНЬОРИ:</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lastRenderedPageBreak/>
        <w:t>Допустимите партньори трябва да кандидатстват като консорциум.</w:t>
      </w:r>
    </w:p>
    <w:p w:rsidR="00EB5349" w:rsidRPr="00EB5349" w:rsidRDefault="00EB5349" w:rsidP="00BF5FBC">
      <w:pPr>
        <w:spacing w:before="120" w:after="120"/>
        <w:rPr>
          <w:rFonts w:cs="Times New Roman"/>
          <w:sz w:val="24"/>
          <w:szCs w:val="24"/>
        </w:rPr>
      </w:pPr>
      <w:r w:rsidRPr="00EB5349">
        <w:rPr>
          <w:rFonts w:cs="Times New Roman"/>
          <w:sz w:val="24"/>
          <w:szCs w:val="24"/>
        </w:rPr>
        <w:t>Партньори по проекта са всички членове на Консорциума, включително; водещия партньор, партньорите-бенефициенти и всеки партньор или експерт.</w:t>
      </w:r>
    </w:p>
    <w:p w:rsidR="00EB5349" w:rsidRPr="00EB5349" w:rsidRDefault="00EB5349" w:rsidP="00BF5FBC">
      <w:pPr>
        <w:spacing w:before="120" w:after="120"/>
        <w:rPr>
          <w:rFonts w:cs="Times New Roman"/>
          <w:sz w:val="24"/>
          <w:szCs w:val="24"/>
        </w:rPr>
      </w:pPr>
      <w:r w:rsidRPr="00EB5349">
        <w:rPr>
          <w:rFonts w:cs="Times New Roman"/>
          <w:sz w:val="24"/>
          <w:szCs w:val="24"/>
        </w:rPr>
        <w:t>Основно изискване към проектите ще бъде да включват участници от поне 3 страни, като поне 2 от страните бенефициенти и поне 1 от гранични за тях страни, в т.ч. Албания, Беларус, Босна и Херцеговина, Македония, Молдова, Черна гора, Русия, Сърбия, Турция и Украйна.</w:t>
      </w:r>
    </w:p>
    <w:p w:rsidR="00BF5FBC" w:rsidRDefault="00EB5349" w:rsidP="00FB7257">
      <w:pPr>
        <w:spacing w:after="120"/>
        <w:rPr>
          <w:rFonts w:cs="Times New Roman"/>
          <w:sz w:val="24"/>
          <w:szCs w:val="24"/>
        </w:rPr>
      </w:pPr>
      <w:r w:rsidRPr="00EB5349">
        <w:rPr>
          <w:rFonts w:cs="Times New Roman"/>
          <w:sz w:val="24"/>
          <w:szCs w:val="24"/>
        </w:rPr>
        <w:t xml:space="preserve">Допустимите партньори по проекта могат да бъдат предприятия, публични или частни, търговски, нетърговски и неправителствени организации и </w:t>
      </w:r>
      <w:r w:rsidRPr="00BF5FBC">
        <w:rPr>
          <w:rFonts w:cs="Times New Roman"/>
          <w:b/>
          <w:sz w:val="24"/>
          <w:szCs w:val="24"/>
        </w:rPr>
        <w:t>академични среди</w:t>
      </w:r>
      <w:r w:rsidRPr="00EB5349">
        <w:rPr>
          <w:rFonts w:cs="Times New Roman"/>
          <w:sz w:val="24"/>
          <w:szCs w:val="24"/>
        </w:rPr>
        <w:t>, създадени като юридически лица, включително, но не само:</w:t>
      </w:r>
    </w:p>
    <w:p w:rsidR="00BF5FBC" w:rsidRPr="00BF5FBC" w:rsidRDefault="00EB5349" w:rsidP="009D4A26">
      <w:pPr>
        <w:pStyle w:val="ListParagraph"/>
        <w:numPr>
          <w:ilvl w:val="0"/>
          <w:numId w:val="5"/>
        </w:numPr>
        <w:spacing w:after="480"/>
        <w:rPr>
          <w:rFonts w:cs="Times New Roman"/>
          <w:sz w:val="24"/>
          <w:szCs w:val="24"/>
        </w:rPr>
      </w:pPr>
      <w:r w:rsidRPr="00BF5FBC">
        <w:rPr>
          <w:rFonts w:cs="Times New Roman"/>
          <w:sz w:val="24"/>
          <w:szCs w:val="24"/>
        </w:rPr>
        <w:t>Общини, организации, притежавани или частично собственост на общини, сдружения на общини;</w:t>
      </w:r>
    </w:p>
    <w:p w:rsidR="00BF5FBC" w:rsidRPr="00BF5FBC" w:rsidRDefault="00EB5349" w:rsidP="009D4A26">
      <w:pPr>
        <w:pStyle w:val="ListParagraph"/>
        <w:numPr>
          <w:ilvl w:val="0"/>
          <w:numId w:val="5"/>
        </w:numPr>
        <w:spacing w:after="480"/>
        <w:rPr>
          <w:rFonts w:cs="Times New Roman"/>
          <w:sz w:val="24"/>
          <w:szCs w:val="24"/>
        </w:rPr>
      </w:pPr>
      <w:r w:rsidRPr="00BF5FBC">
        <w:rPr>
          <w:rFonts w:cs="Times New Roman"/>
          <w:sz w:val="24"/>
          <w:szCs w:val="24"/>
        </w:rPr>
        <w:t>Региони, организации, притежавани или частично притежавани от региони; асоциации на регионите;</w:t>
      </w:r>
    </w:p>
    <w:p w:rsidR="00BF5FBC" w:rsidRPr="00BF5FBC" w:rsidRDefault="00EB5349" w:rsidP="009D4A26">
      <w:pPr>
        <w:pStyle w:val="ListParagraph"/>
        <w:numPr>
          <w:ilvl w:val="0"/>
          <w:numId w:val="5"/>
        </w:numPr>
        <w:spacing w:after="480"/>
        <w:rPr>
          <w:rFonts w:cs="Times New Roman"/>
          <w:sz w:val="24"/>
          <w:szCs w:val="24"/>
        </w:rPr>
      </w:pPr>
      <w:r w:rsidRPr="00BF5FBC">
        <w:rPr>
          <w:rFonts w:cs="Times New Roman"/>
          <w:sz w:val="24"/>
          <w:szCs w:val="24"/>
        </w:rPr>
        <w:t>Организационни единици на централното правителство, организации, частично финансирани от централните държавни структури, държавни предприятия, държавни организации;</w:t>
      </w:r>
    </w:p>
    <w:p w:rsidR="00BF5FBC" w:rsidRPr="00BF5FBC" w:rsidRDefault="00EB5349" w:rsidP="009D4A26">
      <w:pPr>
        <w:pStyle w:val="ListParagraph"/>
        <w:numPr>
          <w:ilvl w:val="0"/>
          <w:numId w:val="5"/>
        </w:numPr>
        <w:spacing w:after="480"/>
        <w:rPr>
          <w:rFonts w:cs="Times New Roman"/>
          <w:sz w:val="24"/>
          <w:szCs w:val="24"/>
        </w:rPr>
      </w:pPr>
      <w:r w:rsidRPr="00BF5FBC">
        <w:rPr>
          <w:rFonts w:cs="Times New Roman"/>
          <w:sz w:val="24"/>
          <w:szCs w:val="24"/>
        </w:rPr>
        <w:t>Организации на гражданското общество, организации с нестопанска цел, социални предприятия, сдружения за интереси на юридически лица, фондации и фондове за дарения;</w:t>
      </w:r>
    </w:p>
    <w:p w:rsidR="00BF5FBC" w:rsidRPr="00BF5FBC" w:rsidRDefault="00EB5349" w:rsidP="009D4A26">
      <w:pPr>
        <w:pStyle w:val="ListParagraph"/>
        <w:numPr>
          <w:ilvl w:val="0"/>
          <w:numId w:val="5"/>
        </w:numPr>
        <w:spacing w:after="480"/>
        <w:rPr>
          <w:rFonts w:cs="Times New Roman"/>
          <w:sz w:val="24"/>
          <w:szCs w:val="24"/>
        </w:rPr>
      </w:pPr>
      <w:r w:rsidRPr="00BF5FBC">
        <w:rPr>
          <w:rFonts w:cs="Times New Roman"/>
          <w:sz w:val="24"/>
          <w:szCs w:val="24"/>
        </w:rPr>
        <w:t>Фирми;</w:t>
      </w:r>
    </w:p>
    <w:p w:rsidR="00BF5FBC" w:rsidRDefault="00EB5349" w:rsidP="009D4A26">
      <w:pPr>
        <w:pStyle w:val="ListParagraph"/>
        <w:numPr>
          <w:ilvl w:val="0"/>
          <w:numId w:val="5"/>
        </w:numPr>
        <w:spacing w:after="480"/>
        <w:rPr>
          <w:rFonts w:cs="Times New Roman"/>
          <w:sz w:val="24"/>
          <w:szCs w:val="24"/>
        </w:rPr>
      </w:pPr>
      <w:r w:rsidRPr="00BF5FBC">
        <w:rPr>
          <w:rFonts w:cs="Times New Roman"/>
          <w:sz w:val="24"/>
          <w:szCs w:val="24"/>
        </w:rPr>
        <w:t>Кооперации (производство, жилища, потребители);</w:t>
      </w:r>
    </w:p>
    <w:p w:rsidR="00EB5349" w:rsidRPr="00BF5FBC" w:rsidRDefault="00EB5349" w:rsidP="009D4A26">
      <w:pPr>
        <w:pStyle w:val="ListParagraph"/>
        <w:numPr>
          <w:ilvl w:val="0"/>
          <w:numId w:val="5"/>
        </w:numPr>
        <w:spacing w:after="480"/>
        <w:rPr>
          <w:rFonts w:cs="Times New Roman"/>
          <w:sz w:val="24"/>
          <w:szCs w:val="24"/>
        </w:rPr>
      </w:pPr>
      <w:r w:rsidRPr="00BF5FBC">
        <w:rPr>
          <w:rFonts w:cs="Times New Roman"/>
          <w:sz w:val="24"/>
          <w:szCs w:val="24"/>
        </w:rPr>
        <w:t>Социални партньори (синдикати, браншови асоциации, асоциации на работодатели, камари на търговията и промишлеността).</w:t>
      </w:r>
    </w:p>
    <w:p w:rsidR="00BF5FBC" w:rsidRDefault="00EB5349" w:rsidP="00BF5FBC">
      <w:pPr>
        <w:spacing w:before="120" w:after="120"/>
        <w:rPr>
          <w:rFonts w:cs="Times New Roman"/>
          <w:bCs/>
          <w:sz w:val="24"/>
          <w:szCs w:val="24"/>
        </w:rPr>
      </w:pPr>
      <w:r w:rsidRPr="00EB5349">
        <w:rPr>
          <w:rFonts w:cs="Times New Roman"/>
          <w:bCs/>
          <w:sz w:val="24"/>
          <w:szCs w:val="24"/>
        </w:rPr>
        <w:t>ПАРТНЬОРИ БЕНЕФИЦИЕНТИ:</w:t>
      </w:r>
    </w:p>
    <w:p w:rsidR="00BF5FBC" w:rsidRDefault="00EB5349" w:rsidP="00BF5FBC">
      <w:pPr>
        <w:spacing w:before="120" w:after="120"/>
        <w:rPr>
          <w:rFonts w:cs="Times New Roman"/>
          <w:sz w:val="24"/>
          <w:szCs w:val="24"/>
        </w:rPr>
      </w:pPr>
      <w:r w:rsidRPr="00EB5349">
        <w:rPr>
          <w:rFonts w:cs="Times New Roman"/>
          <w:sz w:val="24"/>
          <w:szCs w:val="24"/>
        </w:rPr>
        <w:t>Партньор бенефициент е допустимо лице, учредено, в която и да е от 15-те държави на Европейското Икономическо Пространство и Норвежкия механизъм (Естония, Латвия, Литва, Полша, Чехия, Словакия, Унгария, Словения, Хърватия, Румъния, България, Гърция, Кипър, Малта и Португалия) или Албания, Беларус, Босна и Херцеговина, Македония, Молдова, Черна гора, Русия, Сърбия, Турция и Украйна, които заедно с водещия партньор и други партньори бенефициенти, представляват Транснационалният Консорциум, който ще управлява проекта. Партньорите по проекта, могат да се кооперират по два начина:</w:t>
      </w:r>
    </w:p>
    <w:p w:rsidR="00BF5FBC" w:rsidRPr="00BF5FBC" w:rsidRDefault="00EB5349" w:rsidP="009D4A26">
      <w:pPr>
        <w:pStyle w:val="ListParagraph"/>
        <w:numPr>
          <w:ilvl w:val="0"/>
          <w:numId w:val="6"/>
        </w:numPr>
        <w:spacing w:before="120" w:after="120"/>
        <w:rPr>
          <w:rFonts w:cs="Times New Roman"/>
          <w:sz w:val="24"/>
          <w:szCs w:val="24"/>
        </w:rPr>
      </w:pPr>
      <w:r w:rsidRPr="00BF5FBC">
        <w:rPr>
          <w:rFonts w:cs="Times New Roman"/>
          <w:sz w:val="24"/>
          <w:szCs w:val="24"/>
        </w:rPr>
        <w:t>Регионално трансгранично сътрудничество между допустимите страни, с фокус върху регионалните гранични предизвикателства;</w:t>
      </w:r>
    </w:p>
    <w:p w:rsidR="00EB5349" w:rsidRPr="00BF5FBC" w:rsidRDefault="00EB5349" w:rsidP="009D4A26">
      <w:pPr>
        <w:pStyle w:val="ListParagraph"/>
        <w:numPr>
          <w:ilvl w:val="0"/>
          <w:numId w:val="6"/>
        </w:numPr>
        <w:spacing w:before="120" w:after="120"/>
        <w:rPr>
          <w:rFonts w:cs="Times New Roman"/>
          <w:sz w:val="24"/>
          <w:szCs w:val="24"/>
        </w:rPr>
      </w:pPr>
      <w:r w:rsidRPr="00BF5FBC">
        <w:rPr>
          <w:rFonts w:cs="Times New Roman"/>
          <w:sz w:val="24"/>
          <w:szCs w:val="24"/>
        </w:rPr>
        <w:t>Транснационално сътрудничество, с фокус върху общите европейски предизвикателства.</w:t>
      </w:r>
    </w:p>
    <w:p w:rsidR="00BF5FBC" w:rsidRDefault="00EB5349" w:rsidP="00BF5FBC">
      <w:pPr>
        <w:spacing w:before="120" w:after="120"/>
        <w:rPr>
          <w:rFonts w:cs="Times New Roman"/>
          <w:bCs/>
          <w:sz w:val="24"/>
          <w:szCs w:val="24"/>
        </w:rPr>
      </w:pPr>
      <w:r w:rsidRPr="00EB5349">
        <w:rPr>
          <w:rFonts w:cs="Times New Roman"/>
          <w:bCs/>
          <w:sz w:val="24"/>
          <w:szCs w:val="24"/>
        </w:rPr>
        <w:t>СТРАНИ БЕНЕФИЦИЕНТИ:</w:t>
      </w:r>
    </w:p>
    <w:p w:rsidR="00EB5349" w:rsidRPr="00EB5349" w:rsidRDefault="00EB5349" w:rsidP="00BF5FBC">
      <w:pPr>
        <w:spacing w:before="120" w:after="120"/>
        <w:rPr>
          <w:rFonts w:cs="Times New Roman"/>
          <w:sz w:val="24"/>
          <w:szCs w:val="24"/>
        </w:rPr>
      </w:pPr>
      <w:r w:rsidRPr="00EB5349">
        <w:rPr>
          <w:rFonts w:cs="Times New Roman"/>
          <w:sz w:val="24"/>
          <w:szCs w:val="24"/>
        </w:rPr>
        <w:lastRenderedPageBreak/>
        <w:t>15-те страни бенефициенти от Европейското Икономическо пространство и Норвежкия механизъм са България, Хърватия, Кипър, Чехия, Естония, Гърция, Унгария, Латвия, Литва, Малта, Полша, Португалия, Румъния, Словакия и Словения.</w:t>
      </w:r>
    </w:p>
    <w:p w:rsidR="00EB5349" w:rsidRPr="00EB5349" w:rsidRDefault="00EB5349" w:rsidP="00BF5FBC">
      <w:pPr>
        <w:spacing w:before="120" w:after="120"/>
        <w:rPr>
          <w:rFonts w:cs="Times New Roman"/>
          <w:sz w:val="24"/>
          <w:szCs w:val="24"/>
        </w:rPr>
      </w:pPr>
      <w:r w:rsidRPr="00EB5349">
        <w:rPr>
          <w:rFonts w:cs="Times New Roman"/>
          <w:bCs/>
          <w:sz w:val="24"/>
          <w:szCs w:val="24"/>
        </w:rPr>
        <w:t>ДОНОРСКИ СТРАНИ:</w:t>
      </w:r>
      <w:r w:rsidRPr="00EB5349">
        <w:rPr>
          <w:rFonts w:cs="Times New Roman"/>
          <w:sz w:val="24"/>
          <w:szCs w:val="24"/>
        </w:rPr>
        <w:t xml:space="preserve"> Норвегия, Исландия и Лихтенщайн</w:t>
      </w:r>
    </w:p>
    <w:p w:rsidR="00BF5FBC" w:rsidRDefault="00EB5349" w:rsidP="00BF5FBC">
      <w:pPr>
        <w:spacing w:before="120" w:after="120"/>
        <w:rPr>
          <w:rFonts w:cs="Times New Roman"/>
          <w:sz w:val="24"/>
          <w:szCs w:val="24"/>
        </w:rPr>
      </w:pPr>
      <w:r w:rsidRPr="00EB5349">
        <w:rPr>
          <w:rFonts w:cs="Times New Roman"/>
          <w:bCs/>
          <w:sz w:val="24"/>
          <w:szCs w:val="24"/>
        </w:rPr>
        <w:t>СУМА НА ФИНАНСИРАНЕ:</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t xml:space="preserve">Бюджет по поканата - 15 млн. евро. </w:t>
      </w:r>
    </w:p>
    <w:p w:rsidR="00EB5349" w:rsidRPr="00EB5349" w:rsidRDefault="00EB5349" w:rsidP="00BF5FBC">
      <w:pPr>
        <w:spacing w:before="120" w:after="120"/>
        <w:rPr>
          <w:rFonts w:cs="Times New Roman"/>
          <w:sz w:val="24"/>
          <w:szCs w:val="24"/>
        </w:rPr>
      </w:pPr>
      <w:r w:rsidRPr="00EB5349">
        <w:rPr>
          <w:rFonts w:cs="Times New Roman"/>
          <w:sz w:val="24"/>
          <w:szCs w:val="24"/>
        </w:rPr>
        <w:t>Минимален размер на про</w:t>
      </w:r>
      <w:r w:rsidR="00BF5FBC">
        <w:rPr>
          <w:rFonts w:cs="Times New Roman"/>
          <w:sz w:val="24"/>
          <w:szCs w:val="24"/>
        </w:rPr>
        <w:t xml:space="preserve">ектно предложение - 1 млн. Евро; </w:t>
      </w:r>
      <w:r w:rsidRPr="00EB5349">
        <w:rPr>
          <w:rFonts w:cs="Times New Roman"/>
          <w:sz w:val="24"/>
          <w:szCs w:val="24"/>
        </w:rPr>
        <w:t>максимален – няма.</w:t>
      </w:r>
    </w:p>
    <w:p w:rsidR="00BF5FBC" w:rsidRDefault="00EB5349" w:rsidP="00FB7257">
      <w:pPr>
        <w:spacing w:after="120"/>
        <w:rPr>
          <w:rFonts w:cs="Times New Roman"/>
          <w:sz w:val="24"/>
          <w:szCs w:val="24"/>
        </w:rPr>
      </w:pPr>
      <w:r w:rsidRPr="00EB5349">
        <w:rPr>
          <w:rFonts w:cs="Times New Roman"/>
          <w:sz w:val="24"/>
          <w:szCs w:val="24"/>
        </w:rPr>
        <w:t>Размерът на безвъзмездната помощ по проекта се определя по отношение на статута на членовете в Консорциума, както следва:</w:t>
      </w:r>
    </w:p>
    <w:p w:rsidR="00BF5FBC" w:rsidRPr="00BF5FBC" w:rsidRDefault="00EB5349" w:rsidP="009D4A26">
      <w:pPr>
        <w:pStyle w:val="ListParagraph"/>
        <w:numPr>
          <w:ilvl w:val="0"/>
          <w:numId w:val="7"/>
        </w:numPr>
        <w:spacing w:after="480"/>
        <w:rPr>
          <w:rFonts w:cs="Times New Roman"/>
          <w:sz w:val="24"/>
          <w:szCs w:val="24"/>
        </w:rPr>
      </w:pPr>
      <w:r w:rsidRPr="00BF5FBC">
        <w:rPr>
          <w:rFonts w:cs="Times New Roman"/>
          <w:sz w:val="24"/>
          <w:szCs w:val="24"/>
        </w:rPr>
        <w:t xml:space="preserve">Неправителствени организации: до 90% от допустимите разходи (до 50% от необходимото съфинансиране, може да бъде под формата на </w:t>
      </w:r>
      <w:proofErr w:type="spellStart"/>
      <w:r w:rsidRPr="00BF5FBC">
        <w:rPr>
          <w:rFonts w:cs="Times New Roman"/>
          <w:sz w:val="24"/>
          <w:szCs w:val="24"/>
        </w:rPr>
        <w:t>апортни</w:t>
      </w:r>
      <w:proofErr w:type="spellEnd"/>
      <w:r w:rsidRPr="00BF5FBC">
        <w:rPr>
          <w:rFonts w:cs="Times New Roman"/>
          <w:sz w:val="24"/>
          <w:szCs w:val="24"/>
        </w:rPr>
        <w:t xml:space="preserve"> вноски под формата на доброволна работа);</w:t>
      </w:r>
    </w:p>
    <w:p w:rsidR="00BF5FBC" w:rsidRPr="00BF5FBC" w:rsidRDefault="00EB5349" w:rsidP="009D4A26">
      <w:pPr>
        <w:pStyle w:val="ListParagraph"/>
        <w:numPr>
          <w:ilvl w:val="0"/>
          <w:numId w:val="7"/>
        </w:numPr>
        <w:spacing w:after="480"/>
        <w:rPr>
          <w:rFonts w:cs="Times New Roman"/>
          <w:b/>
          <w:sz w:val="24"/>
          <w:szCs w:val="24"/>
        </w:rPr>
      </w:pPr>
      <w:r w:rsidRPr="00BF5FBC">
        <w:rPr>
          <w:rFonts w:cs="Times New Roman"/>
          <w:b/>
          <w:sz w:val="24"/>
          <w:szCs w:val="24"/>
        </w:rPr>
        <w:t>Партньори по проекта със статут на университети и изследователски организации: до 90% от допустимите разходи;</w:t>
      </w:r>
    </w:p>
    <w:p w:rsidR="00EB5349" w:rsidRPr="00BF5FBC" w:rsidRDefault="00EB5349" w:rsidP="009D4A26">
      <w:pPr>
        <w:pStyle w:val="ListParagraph"/>
        <w:numPr>
          <w:ilvl w:val="0"/>
          <w:numId w:val="7"/>
        </w:numPr>
        <w:spacing w:after="120"/>
        <w:ind w:left="714" w:hanging="357"/>
        <w:rPr>
          <w:rFonts w:cs="Times New Roman"/>
          <w:sz w:val="24"/>
          <w:szCs w:val="24"/>
        </w:rPr>
      </w:pPr>
      <w:r w:rsidRPr="00BF5FBC">
        <w:rPr>
          <w:rFonts w:cs="Times New Roman"/>
          <w:sz w:val="24"/>
          <w:szCs w:val="24"/>
        </w:rPr>
        <w:t>Всеки експертен партньор от донорските държави: до 100% от допустимите разходи; Други субекти: до 85% от допустимите разходи.</w:t>
      </w:r>
    </w:p>
    <w:p w:rsidR="00B54042" w:rsidRDefault="00EB5349" w:rsidP="00B54042">
      <w:pPr>
        <w:spacing w:before="120" w:after="120"/>
        <w:rPr>
          <w:rFonts w:cs="Times New Roman"/>
          <w:bCs/>
          <w:sz w:val="24"/>
          <w:szCs w:val="24"/>
        </w:rPr>
      </w:pPr>
      <w:r w:rsidRPr="00EB5349">
        <w:rPr>
          <w:rFonts w:cs="Times New Roman"/>
          <w:bCs/>
          <w:sz w:val="24"/>
          <w:szCs w:val="24"/>
        </w:rPr>
        <w:t>ДОПУСТИМИ РАЗХОДИ:</w:t>
      </w:r>
    </w:p>
    <w:p w:rsidR="00B54042" w:rsidRPr="00B54042" w:rsidRDefault="00EB5349" w:rsidP="009D4A26">
      <w:pPr>
        <w:pStyle w:val="ListParagraph"/>
        <w:numPr>
          <w:ilvl w:val="0"/>
          <w:numId w:val="8"/>
        </w:numPr>
        <w:spacing w:after="480"/>
        <w:rPr>
          <w:rFonts w:cs="Times New Roman"/>
          <w:sz w:val="24"/>
          <w:szCs w:val="24"/>
        </w:rPr>
      </w:pPr>
      <w:r w:rsidRPr="00B54042">
        <w:rPr>
          <w:rFonts w:cs="Times New Roman"/>
          <w:sz w:val="24"/>
          <w:szCs w:val="24"/>
        </w:rPr>
        <w:t xml:space="preserve">Разходи за персонала – заплати, </w:t>
      </w:r>
      <w:r w:rsidR="00B54042" w:rsidRPr="00B54042">
        <w:rPr>
          <w:rFonts w:cs="Times New Roman"/>
          <w:sz w:val="24"/>
          <w:szCs w:val="24"/>
        </w:rPr>
        <w:t>осигуровки;</w:t>
      </w:r>
    </w:p>
    <w:p w:rsidR="00B54042" w:rsidRPr="00B54042" w:rsidRDefault="00EB5349" w:rsidP="009D4A26">
      <w:pPr>
        <w:pStyle w:val="ListParagraph"/>
        <w:numPr>
          <w:ilvl w:val="0"/>
          <w:numId w:val="8"/>
        </w:numPr>
        <w:spacing w:after="480"/>
        <w:rPr>
          <w:rFonts w:cs="Times New Roman"/>
          <w:sz w:val="24"/>
          <w:szCs w:val="24"/>
        </w:rPr>
      </w:pPr>
      <w:r w:rsidRPr="00B54042">
        <w:rPr>
          <w:rFonts w:cs="Times New Roman"/>
          <w:sz w:val="24"/>
          <w:szCs w:val="24"/>
        </w:rPr>
        <w:t xml:space="preserve">Пътни разходи и свързаните с тях дневни; </w:t>
      </w:r>
    </w:p>
    <w:p w:rsidR="00B54042" w:rsidRPr="00B54042" w:rsidRDefault="00EB5349" w:rsidP="009D4A26">
      <w:pPr>
        <w:pStyle w:val="ListParagraph"/>
        <w:numPr>
          <w:ilvl w:val="0"/>
          <w:numId w:val="8"/>
        </w:numPr>
        <w:spacing w:after="480"/>
        <w:rPr>
          <w:rFonts w:cs="Times New Roman"/>
          <w:sz w:val="24"/>
          <w:szCs w:val="24"/>
        </w:rPr>
      </w:pPr>
      <w:r w:rsidRPr="00B54042">
        <w:rPr>
          <w:rFonts w:cs="Times New Roman"/>
          <w:sz w:val="24"/>
          <w:szCs w:val="24"/>
        </w:rPr>
        <w:t>Разходи за консумативи;</w:t>
      </w:r>
    </w:p>
    <w:p w:rsidR="00B54042" w:rsidRPr="00B54042" w:rsidRDefault="00EB5349" w:rsidP="009D4A26">
      <w:pPr>
        <w:pStyle w:val="ListParagraph"/>
        <w:numPr>
          <w:ilvl w:val="0"/>
          <w:numId w:val="8"/>
        </w:numPr>
        <w:spacing w:after="480"/>
        <w:rPr>
          <w:rFonts w:cs="Times New Roman"/>
          <w:sz w:val="24"/>
          <w:szCs w:val="24"/>
        </w:rPr>
      </w:pPr>
      <w:r w:rsidRPr="00B54042">
        <w:rPr>
          <w:rFonts w:cs="Times New Roman"/>
          <w:sz w:val="24"/>
          <w:szCs w:val="24"/>
        </w:rPr>
        <w:t>Разходи за амортизации на оборудването, а в някои случаи и за цялото оборудване;</w:t>
      </w:r>
    </w:p>
    <w:p w:rsidR="00B54042" w:rsidRPr="00B54042" w:rsidRDefault="00EB5349" w:rsidP="009D4A26">
      <w:pPr>
        <w:pStyle w:val="ListParagraph"/>
        <w:numPr>
          <w:ilvl w:val="0"/>
          <w:numId w:val="8"/>
        </w:numPr>
        <w:spacing w:after="480"/>
        <w:rPr>
          <w:rFonts w:cs="Times New Roman"/>
          <w:sz w:val="24"/>
          <w:szCs w:val="24"/>
        </w:rPr>
      </w:pPr>
      <w:r w:rsidRPr="00B54042">
        <w:rPr>
          <w:rFonts w:cs="Times New Roman"/>
          <w:sz w:val="24"/>
          <w:szCs w:val="24"/>
        </w:rPr>
        <w:t>Разходи за независим одит, разходи за финансови гаранции;</w:t>
      </w:r>
    </w:p>
    <w:p w:rsidR="00B54042" w:rsidRPr="00B54042" w:rsidRDefault="00EB5349" w:rsidP="009D4A26">
      <w:pPr>
        <w:pStyle w:val="ListParagraph"/>
        <w:numPr>
          <w:ilvl w:val="0"/>
          <w:numId w:val="8"/>
        </w:numPr>
        <w:spacing w:after="480"/>
        <w:rPr>
          <w:rFonts w:cs="Times New Roman"/>
          <w:sz w:val="24"/>
          <w:szCs w:val="24"/>
        </w:rPr>
      </w:pPr>
      <w:r w:rsidRPr="00B54042">
        <w:rPr>
          <w:rFonts w:cs="Times New Roman"/>
          <w:sz w:val="24"/>
          <w:szCs w:val="24"/>
        </w:rPr>
        <w:t>Разходи за външни услуги;</w:t>
      </w:r>
    </w:p>
    <w:p w:rsidR="00B54042" w:rsidRPr="00B54042" w:rsidRDefault="00EB5349" w:rsidP="009D4A26">
      <w:pPr>
        <w:pStyle w:val="ListParagraph"/>
        <w:numPr>
          <w:ilvl w:val="0"/>
          <w:numId w:val="8"/>
        </w:numPr>
        <w:spacing w:after="480"/>
        <w:rPr>
          <w:rFonts w:cs="Times New Roman"/>
          <w:sz w:val="24"/>
          <w:szCs w:val="24"/>
        </w:rPr>
      </w:pPr>
      <w:r w:rsidRPr="00B54042">
        <w:rPr>
          <w:rFonts w:cs="Times New Roman"/>
          <w:sz w:val="24"/>
          <w:szCs w:val="24"/>
        </w:rPr>
        <w:t>Невъзстановим данък върху добавената стойност (ДДС);</w:t>
      </w:r>
    </w:p>
    <w:p w:rsidR="00B54042" w:rsidRPr="00B54042" w:rsidRDefault="00EB5349" w:rsidP="009D4A26">
      <w:pPr>
        <w:pStyle w:val="ListParagraph"/>
        <w:numPr>
          <w:ilvl w:val="0"/>
          <w:numId w:val="8"/>
        </w:numPr>
        <w:spacing w:after="120"/>
        <w:ind w:left="714" w:hanging="357"/>
        <w:rPr>
          <w:rFonts w:cs="Times New Roman"/>
          <w:sz w:val="24"/>
          <w:szCs w:val="24"/>
        </w:rPr>
      </w:pPr>
      <w:r w:rsidRPr="00B54042">
        <w:rPr>
          <w:rFonts w:cs="Times New Roman"/>
          <w:sz w:val="24"/>
          <w:szCs w:val="24"/>
        </w:rPr>
        <w:t xml:space="preserve">Непреки разходи – плоска ставка от 15% от общите допустими разходи за персонал. </w:t>
      </w:r>
    </w:p>
    <w:p w:rsidR="00EB5349" w:rsidRPr="00EB5349" w:rsidRDefault="00EB5349" w:rsidP="00B54042">
      <w:pPr>
        <w:spacing w:after="120"/>
        <w:rPr>
          <w:rFonts w:cs="Times New Roman"/>
          <w:sz w:val="24"/>
          <w:szCs w:val="24"/>
        </w:rPr>
      </w:pPr>
      <w:r w:rsidRPr="00EB5349">
        <w:rPr>
          <w:rFonts w:cs="Times New Roman"/>
          <w:sz w:val="24"/>
          <w:szCs w:val="24"/>
        </w:rPr>
        <w:t>Когато приносът в натура под формата на доброволна работа е част от съфинансирането на проекта и тя се извършва под отговорността на съответния партньор на проекта, стойността от тази доброволна работа се взема предвид при изчисляването на непреките разходи.</w:t>
      </w:r>
    </w:p>
    <w:p w:rsidR="00B54042" w:rsidRDefault="00EB5349" w:rsidP="00EB5349">
      <w:pPr>
        <w:spacing w:before="120" w:after="120"/>
        <w:rPr>
          <w:rFonts w:cs="Times New Roman"/>
          <w:bCs/>
          <w:sz w:val="24"/>
          <w:szCs w:val="24"/>
        </w:rPr>
      </w:pPr>
      <w:r w:rsidRPr="00EB5349">
        <w:rPr>
          <w:rFonts w:cs="Times New Roman"/>
          <w:bCs/>
          <w:sz w:val="24"/>
          <w:szCs w:val="24"/>
        </w:rPr>
        <w:t>НЕДОПУСТИМИ РАЗХОДИ:</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Лихви по дълга, такси за обслужване на дълг;</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Такси за финансови транзакции и други чисто финансови разходи, с изключение на разходите конкретно изисквани от приложимото право и разходи за финансови услуги, наложени от договора за проект;</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Разходи, свързани със закупуване на земя или недвижими имоти;</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Провизии за загуби или потенциални бъдещи пасиви;</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Загуби от обменния курс;</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Възстановим ДДС;</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lastRenderedPageBreak/>
        <w:t>Разходи, покрити от други източници;</w:t>
      </w:r>
    </w:p>
    <w:p w:rsidR="00B54042"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Глоби, санкции и съдебни разноски, с изключение на случаите, когато съдебното производство е неразделен и необходим компонент за постигане на резултатите по проекта;</w:t>
      </w:r>
    </w:p>
    <w:p w:rsidR="00EB5349" w:rsidRPr="00B54042" w:rsidRDefault="00EB5349" w:rsidP="009D4A26">
      <w:pPr>
        <w:pStyle w:val="ListParagraph"/>
        <w:numPr>
          <w:ilvl w:val="0"/>
          <w:numId w:val="9"/>
        </w:numPr>
        <w:spacing w:before="120" w:after="120"/>
        <w:rPr>
          <w:rFonts w:cs="Times New Roman"/>
          <w:sz w:val="24"/>
          <w:szCs w:val="24"/>
        </w:rPr>
      </w:pPr>
      <w:r w:rsidRPr="00B54042">
        <w:rPr>
          <w:rFonts w:cs="Times New Roman"/>
          <w:sz w:val="24"/>
          <w:szCs w:val="24"/>
        </w:rPr>
        <w:t>Прекомерни или необмислени разходи.</w:t>
      </w:r>
    </w:p>
    <w:p w:rsidR="007B0215" w:rsidRDefault="00EB5349" w:rsidP="00EB5349">
      <w:pPr>
        <w:spacing w:before="120" w:after="120"/>
        <w:rPr>
          <w:rFonts w:cs="Times New Roman"/>
          <w:sz w:val="24"/>
          <w:szCs w:val="24"/>
        </w:rPr>
      </w:pPr>
      <w:r w:rsidRPr="00EB5349">
        <w:rPr>
          <w:rFonts w:cs="Times New Roman"/>
          <w:sz w:val="24"/>
          <w:szCs w:val="24"/>
        </w:rPr>
        <w:t xml:space="preserve">Допълнителна информация </w:t>
      </w:r>
      <w:hyperlink r:id="rId22" w:history="1">
        <w:r w:rsidRPr="00EB5349">
          <w:rPr>
            <w:rStyle w:val="Hyperlink"/>
            <w:rFonts w:cs="Times New Roman"/>
            <w:sz w:val="24"/>
            <w:szCs w:val="24"/>
          </w:rPr>
          <w:t>ТУК</w:t>
        </w:r>
      </w:hyperlink>
    </w:p>
    <w:p w:rsidR="00EB5349" w:rsidRPr="00B54042" w:rsidRDefault="00EB5349" w:rsidP="00B743DB">
      <w:pPr>
        <w:spacing w:before="120" w:after="480"/>
        <w:rPr>
          <w:rFonts w:cs="Times New Roman"/>
          <w:b/>
          <w:sz w:val="24"/>
          <w:szCs w:val="24"/>
        </w:rPr>
      </w:pPr>
      <w:r w:rsidRPr="00B54042">
        <w:rPr>
          <w:rFonts w:cs="Times New Roman"/>
          <w:b/>
          <w:sz w:val="24"/>
          <w:szCs w:val="24"/>
        </w:rPr>
        <w:t>Краен срок за подаване на проектни концепции: 01.07.2018</w:t>
      </w:r>
      <w:r w:rsidR="00B54042">
        <w:rPr>
          <w:rFonts w:cs="Times New Roman"/>
          <w:b/>
          <w:sz w:val="24"/>
          <w:szCs w:val="24"/>
        </w:rPr>
        <w:t xml:space="preserve"> г.</w:t>
      </w:r>
    </w:p>
    <w:p w:rsidR="0007660E" w:rsidRPr="00D0176A" w:rsidRDefault="0007660E" w:rsidP="00664C2D">
      <w:pPr>
        <w:pStyle w:val="Heading2"/>
        <w:ind w:left="709" w:hanging="709"/>
        <w:rPr>
          <w:lang w:val="ru-RU"/>
        </w:rPr>
      </w:pPr>
      <w:bookmarkStart w:id="13" w:name="_Toc516047943"/>
      <w:r w:rsidRPr="0007660E">
        <w:t>Конкурс за финансиране на изследователски проекти за двустранно сътрудничество между България и Китай – 2018 г.</w:t>
      </w:r>
      <w:bookmarkEnd w:id="13"/>
    </w:p>
    <w:p w:rsidR="0007660E" w:rsidRPr="0007660E" w:rsidRDefault="0007660E" w:rsidP="0007660E">
      <w:pPr>
        <w:rPr>
          <w:sz w:val="24"/>
          <w:szCs w:val="24"/>
        </w:rPr>
      </w:pPr>
      <w:r w:rsidRPr="0007660E">
        <w:rPr>
          <w:b/>
          <w:bCs/>
          <w:sz w:val="24"/>
          <w:szCs w:val="24"/>
        </w:rPr>
        <w:t>Фонд „Научни изследвания</w:t>
      </w:r>
      <w:r w:rsidR="00664C2D" w:rsidRPr="0007660E">
        <w:rPr>
          <w:b/>
          <w:bCs/>
          <w:sz w:val="24"/>
          <w:szCs w:val="24"/>
        </w:rPr>
        <w:t>“</w:t>
      </w:r>
      <w:r w:rsidR="00664C2D" w:rsidRPr="00D0176A">
        <w:rPr>
          <w:b/>
          <w:bCs/>
          <w:sz w:val="24"/>
          <w:szCs w:val="24"/>
          <w:lang w:val="ru-RU"/>
        </w:rPr>
        <w:t xml:space="preserve"> </w:t>
      </w:r>
      <w:r w:rsidR="00664C2D" w:rsidRPr="0007660E">
        <w:rPr>
          <w:sz w:val="24"/>
          <w:szCs w:val="24"/>
        </w:rPr>
        <w:t>обявява</w:t>
      </w:r>
      <w:r w:rsidR="00664C2D" w:rsidRPr="00664C2D">
        <w:rPr>
          <w:sz w:val="24"/>
          <w:szCs w:val="24"/>
          <w:lang w:val="ru-RU"/>
        </w:rPr>
        <w:t xml:space="preserve"> </w:t>
      </w:r>
      <w:r w:rsidR="00664C2D">
        <w:rPr>
          <w:sz w:val="24"/>
          <w:szCs w:val="24"/>
        </w:rPr>
        <w:t>к</w:t>
      </w:r>
      <w:r w:rsidRPr="0007660E">
        <w:rPr>
          <w:sz w:val="24"/>
          <w:szCs w:val="24"/>
        </w:rPr>
        <w:t>онкурс за финансиране на изследователски проекти за двустранно сътрудничество между България и Китай – 2018 г.</w:t>
      </w:r>
    </w:p>
    <w:p w:rsidR="0007660E" w:rsidRPr="0007660E" w:rsidRDefault="0007660E" w:rsidP="0007660E">
      <w:pPr>
        <w:rPr>
          <w:sz w:val="24"/>
          <w:szCs w:val="24"/>
        </w:rPr>
      </w:pPr>
      <w:r w:rsidRPr="0007660E">
        <w:rPr>
          <w:sz w:val="24"/>
          <w:szCs w:val="24"/>
        </w:rPr>
        <w:t>Целта на настоящия конкурс е подкрепа на дейности, свързани с международното научно-техническо сътрудничество за осъществяване на преки контакти и реализиране на изследователски проекти между учени и научни колективи от университетите и научните институции на България и Китай.</w:t>
      </w:r>
    </w:p>
    <w:p w:rsidR="0007660E" w:rsidRPr="0007660E" w:rsidRDefault="0007660E" w:rsidP="0007660E">
      <w:pPr>
        <w:rPr>
          <w:sz w:val="24"/>
          <w:szCs w:val="24"/>
        </w:rPr>
      </w:pPr>
      <w:r w:rsidRPr="0007660E">
        <w:rPr>
          <w:sz w:val="24"/>
          <w:szCs w:val="24"/>
        </w:rPr>
        <w:t>Прогнозният общ бюджет на конкурса е 600 000 лв., от които 300 000 лв. са предвидени от бюджета за 2018 г. Минималната сума за всеки отделен проект е в размер на 200 000 лв., а максималната – 300 000 лв.</w:t>
      </w:r>
    </w:p>
    <w:p w:rsidR="00664C2D" w:rsidRPr="0007660E" w:rsidRDefault="00664C2D" w:rsidP="00664C2D">
      <w:pPr>
        <w:rPr>
          <w:sz w:val="24"/>
          <w:szCs w:val="24"/>
        </w:rPr>
      </w:pPr>
      <w:r w:rsidRPr="0007660E">
        <w:rPr>
          <w:sz w:val="24"/>
          <w:szCs w:val="24"/>
        </w:rPr>
        <w:t>Срокът за изпълнение на одобрените проекти е 36  месеца.</w:t>
      </w:r>
    </w:p>
    <w:p w:rsidR="00664C2D" w:rsidRPr="0007660E" w:rsidRDefault="00664C2D" w:rsidP="00664C2D">
      <w:pPr>
        <w:rPr>
          <w:sz w:val="24"/>
          <w:szCs w:val="24"/>
        </w:rPr>
      </w:pPr>
      <w:r w:rsidRPr="0007660E">
        <w:rPr>
          <w:sz w:val="24"/>
          <w:szCs w:val="24"/>
        </w:rPr>
        <w:t xml:space="preserve">Заповедта за откриване на конкурсната процедура, както и пълната информация за конкурса и процедурата за кандидатстване можете да намерите на интернет страницата на Фонд „Научни изследвания“ - </w:t>
      </w:r>
      <w:hyperlink r:id="rId23" w:tgtFrame="_blank" w:history="1">
        <w:r w:rsidRPr="0007660E">
          <w:rPr>
            <w:rStyle w:val="Hyperlink"/>
            <w:sz w:val="24"/>
            <w:szCs w:val="24"/>
          </w:rPr>
          <w:t>http://www.fni.bg</w:t>
        </w:r>
      </w:hyperlink>
      <w:r w:rsidRPr="0007660E">
        <w:rPr>
          <w:sz w:val="24"/>
          <w:szCs w:val="24"/>
        </w:rPr>
        <w:t>.</w:t>
      </w:r>
    </w:p>
    <w:p w:rsidR="0007660E" w:rsidRDefault="0007660E" w:rsidP="00B743DB">
      <w:pPr>
        <w:spacing w:after="480"/>
        <w:rPr>
          <w:b/>
          <w:bCs/>
          <w:sz w:val="24"/>
          <w:szCs w:val="24"/>
        </w:rPr>
      </w:pPr>
      <w:r w:rsidRPr="0007660E">
        <w:rPr>
          <w:b/>
          <w:bCs/>
          <w:sz w:val="24"/>
          <w:szCs w:val="24"/>
        </w:rPr>
        <w:t>Срокът за подаване на проектни предложения е до 17:00 часа на 04.07.2018 г. в деловодството на Фонд „Научни изследвания“.</w:t>
      </w:r>
    </w:p>
    <w:p w:rsidR="007C4141" w:rsidRDefault="0056397F" w:rsidP="0056397F">
      <w:pPr>
        <w:pStyle w:val="Heading2"/>
        <w:ind w:left="426"/>
      </w:pPr>
      <w:bookmarkStart w:id="14" w:name="_Toc516047944"/>
      <w:r>
        <w:t>К</w:t>
      </w:r>
      <w:r w:rsidRPr="007C4141">
        <w:t>онкурс за финансиране на полярни научни изследвания 2018 г.</w:t>
      </w:r>
      <w:bookmarkEnd w:id="14"/>
    </w:p>
    <w:p w:rsidR="007C4141" w:rsidRPr="007C4141" w:rsidRDefault="007C4141" w:rsidP="007C4141">
      <w:pPr>
        <w:rPr>
          <w:sz w:val="24"/>
          <w:szCs w:val="24"/>
        </w:rPr>
      </w:pPr>
      <w:r w:rsidRPr="007C4141">
        <w:rPr>
          <w:sz w:val="24"/>
          <w:szCs w:val="24"/>
        </w:rPr>
        <w:t>Софийският университет „Св. Климент Охридски“ обявява конкурс за финансиране на полярни научни изследвания 2018 г.</w:t>
      </w:r>
    </w:p>
    <w:p w:rsidR="007C4141" w:rsidRPr="007C4141" w:rsidRDefault="007C4141" w:rsidP="007C4141">
      <w:pPr>
        <w:rPr>
          <w:sz w:val="24"/>
          <w:szCs w:val="24"/>
        </w:rPr>
      </w:pPr>
      <w:r w:rsidRPr="007C4141">
        <w:rPr>
          <w:sz w:val="24"/>
          <w:szCs w:val="24"/>
        </w:rPr>
        <w:t>Финансирането по настоящата процедура е единствено в подкрепа на осъществяване на нестопанска научна дейност за научни изследвания за придобиване на нови знания за полярните райони на земята. Тази дейност е съобразена с Националната стратегия за развитие на научните изследвания в Република България 2020 и допринася за нейните цели чрез повишаване квалификацията на научните кадри, разпространение на резултатите от изследователската дейност и поощряване на проекти с участието на млади учени.</w:t>
      </w:r>
    </w:p>
    <w:p w:rsidR="007C4141" w:rsidRPr="007C4141" w:rsidRDefault="007C4141" w:rsidP="007C4141">
      <w:pPr>
        <w:rPr>
          <w:sz w:val="24"/>
          <w:szCs w:val="24"/>
        </w:rPr>
      </w:pPr>
      <w:r w:rsidRPr="007C4141">
        <w:rPr>
          <w:sz w:val="24"/>
          <w:szCs w:val="24"/>
        </w:rPr>
        <w:lastRenderedPageBreak/>
        <w:t>Целта на процедурата е да се насърчи провеждането на качествени научни изследвания и получаване на високи научни постижения в следните области:</w:t>
      </w:r>
    </w:p>
    <w:p w:rsidR="007C4141" w:rsidRPr="007C4141" w:rsidRDefault="007C4141" w:rsidP="007C4141">
      <w:pPr>
        <w:numPr>
          <w:ilvl w:val="0"/>
          <w:numId w:val="14"/>
        </w:numPr>
        <w:rPr>
          <w:sz w:val="24"/>
          <w:szCs w:val="24"/>
        </w:rPr>
      </w:pPr>
      <w:r w:rsidRPr="007C4141">
        <w:rPr>
          <w:sz w:val="24"/>
          <w:szCs w:val="24"/>
        </w:rPr>
        <w:t>Науки за земята;</w:t>
      </w:r>
    </w:p>
    <w:p w:rsidR="007C4141" w:rsidRPr="007C4141" w:rsidRDefault="007C4141" w:rsidP="007C4141">
      <w:pPr>
        <w:numPr>
          <w:ilvl w:val="0"/>
          <w:numId w:val="14"/>
        </w:numPr>
        <w:rPr>
          <w:sz w:val="24"/>
          <w:szCs w:val="24"/>
        </w:rPr>
      </w:pPr>
      <w:r w:rsidRPr="007C4141">
        <w:rPr>
          <w:sz w:val="24"/>
          <w:szCs w:val="24"/>
        </w:rPr>
        <w:t>Биология и екология;</w:t>
      </w:r>
    </w:p>
    <w:p w:rsidR="007C4141" w:rsidRPr="007C4141" w:rsidRDefault="007C4141" w:rsidP="007C4141">
      <w:pPr>
        <w:numPr>
          <w:ilvl w:val="0"/>
          <w:numId w:val="14"/>
        </w:numPr>
        <w:rPr>
          <w:sz w:val="24"/>
          <w:szCs w:val="24"/>
        </w:rPr>
      </w:pPr>
      <w:r w:rsidRPr="007C4141">
        <w:rPr>
          <w:sz w:val="24"/>
          <w:szCs w:val="24"/>
        </w:rPr>
        <w:t>Медицина;</w:t>
      </w:r>
    </w:p>
    <w:p w:rsidR="007C4141" w:rsidRPr="007C4141" w:rsidRDefault="007C4141" w:rsidP="007C4141">
      <w:pPr>
        <w:numPr>
          <w:ilvl w:val="0"/>
          <w:numId w:val="14"/>
        </w:numPr>
        <w:rPr>
          <w:sz w:val="24"/>
          <w:szCs w:val="24"/>
        </w:rPr>
      </w:pPr>
      <w:r w:rsidRPr="007C4141">
        <w:rPr>
          <w:sz w:val="24"/>
          <w:szCs w:val="24"/>
        </w:rPr>
        <w:t>Геодезия, картография и географски информационни системи;</w:t>
      </w:r>
    </w:p>
    <w:p w:rsidR="007C4141" w:rsidRPr="007C4141" w:rsidRDefault="007C4141" w:rsidP="007C4141">
      <w:pPr>
        <w:numPr>
          <w:ilvl w:val="0"/>
          <w:numId w:val="14"/>
        </w:numPr>
        <w:rPr>
          <w:sz w:val="24"/>
          <w:szCs w:val="24"/>
        </w:rPr>
      </w:pPr>
      <w:r w:rsidRPr="007C4141">
        <w:rPr>
          <w:sz w:val="24"/>
          <w:szCs w:val="24"/>
        </w:rPr>
        <w:t>Океанографски науки;</w:t>
      </w:r>
    </w:p>
    <w:p w:rsidR="007C4141" w:rsidRPr="007C4141" w:rsidRDefault="007C4141" w:rsidP="007C4141">
      <w:pPr>
        <w:numPr>
          <w:ilvl w:val="0"/>
          <w:numId w:val="14"/>
        </w:numPr>
        <w:rPr>
          <w:sz w:val="24"/>
          <w:szCs w:val="24"/>
        </w:rPr>
      </w:pPr>
      <w:r w:rsidRPr="007C4141">
        <w:rPr>
          <w:sz w:val="24"/>
          <w:szCs w:val="24"/>
        </w:rPr>
        <w:t>Инженерни науки;</w:t>
      </w:r>
    </w:p>
    <w:p w:rsidR="007C4141" w:rsidRPr="007C4141" w:rsidRDefault="007C4141" w:rsidP="007C4141">
      <w:pPr>
        <w:numPr>
          <w:ilvl w:val="0"/>
          <w:numId w:val="14"/>
        </w:numPr>
        <w:rPr>
          <w:sz w:val="24"/>
          <w:szCs w:val="24"/>
        </w:rPr>
      </w:pPr>
      <w:r w:rsidRPr="007C4141">
        <w:rPr>
          <w:sz w:val="24"/>
          <w:szCs w:val="24"/>
        </w:rPr>
        <w:t>Хуманитарни науки.</w:t>
      </w:r>
    </w:p>
    <w:p w:rsidR="007C4141" w:rsidRPr="007C4141" w:rsidRDefault="007C4141" w:rsidP="007C4141">
      <w:pPr>
        <w:rPr>
          <w:sz w:val="24"/>
          <w:szCs w:val="24"/>
        </w:rPr>
      </w:pPr>
      <w:r w:rsidRPr="007C4141">
        <w:rPr>
          <w:sz w:val="24"/>
          <w:szCs w:val="24"/>
        </w:rPr>
        <w:t>Насоките за кандидатстване и методиката за оценка могат да бъдат открити на адрес:</w:t>
      </w:r>
      <w:r w:rsidRPr="007C4141">
        <w:rPr>
          <w:sz w:val="24"/>
          <w:szCs w:val="24"/>
        </w:rPr>
        <w:br/>
      </w:r>
      <w:hyperlink r:id="rId24" w:tgtFrame="_blank" w:tooltip="www.polarcenter-bg.com/10501086108510821091108810891080.html" w:history="1">
        <w:r w:rsidRPr="007C4141">
          <w:rPr>
            <w:rStyle w:val="Hyperlink"/>
            <w:sz w:val="24"/>
            <w:szCs w:val="24"/>
          </w:rPr>
          <w:t>www.polarcenter-bg.com/10501086108510821091108810891080.html</w:t>
        </w:r>
      </w:hyperlink>
      <w:r w:rsidRPr="007C4141">
        <w:rPr>
          <w:sz w:val="24"/>
          <w:szCs w:val="24"/>
        </w:rPr>
        <w:t>. </w:t>
      </w:r>
    </w:p>
    <w:p w:rsidR="007C4141" w:rsidRPr="007C4141" w:rsidRDefault="007C4141" w:rsidP="007C4141">
      <w:pPr>
        <w:rPr>
          <w:sz w:val="24"/>
          <w:szCs w:val="24"/>
        </w:rPr>
      </w:pPr>
      <w:r w:rsidRPr="007C4141">
        <w:rPr>
          <w:b/>
          <w:bCs/>
          <w:sz w:val="24"/>
          <w:szCs w:val="24"/>
        </w:rPr>
        <w:t>Срокът за предоставяне на проектните предложения е до 17 часа на 04.07.2018 г.</w:t>
      </w:r>
      <w:r w:rsidRPr="007C4141">
        <w:rPr>
          <w:sz w:val="24"/>
          <w:szCs w:val="24"/>
        </w:rPr>
        <w:t xml:space="preserve"> Документите се подават в деловодството на СУ „Св. Климент </w:t>
      </w:r>
      <w:proofErr w:type="spellStart"/>
      <w:r w:rsidRPr="007C4141">
        <w:rPr>
          <w:sz w:val="24"/>
          <w:szCs w:val="24"/>
        </w:rPr>
        <w:t>хридски</w:t>
      </w:r>
      <w:proofErr w:type="spellEnd"/>
      <w:r w:rsidRPr="007C4141">
        <w:rPr>
          <w:sz w:val="24"/>
          <w:szCs w:val="24"/>
        </w:rPr>
        <w:t>“ на адрес: гр. София 1504, бул. “Цар Освободител“ № 15, етаж 1, кабинет 114 на хартиен и електронен носител, както следва: </w:t>
      </w:r>
    </w:p>
    <w:p w:rsidR="0056397F" w:rsidRDefault="007C4141" w:rsidP="0056397F">
      <w:pPr>
        <w:pStyle w:val="ListParagraph"/>
        <w:numPr>
          <w:ilvl w:val="0"/>
          <w:numId w:val="17"/>
        </w:numPr>
        <w:rPr>
          <w:sz w:val="24"/>
          <w:szCs w:val="24"/>
        </w:rPr>
      </w:pPr>
      <w:r w:rsidRPr="0056397F">
        <w:rPr>
          <w:sz w:val="24"/>
          <w:szCs w:val="24"/>
        </w:rPr>
        <w:t>на хартиен носител в един екземпляр с оригинални подписи и печат</w:t>
      </w:r>
      <w:r w:rsidR="0056397F">
        <w:rPr>
          <w:sz w:val="24"/>
          <w:szCs w:val="24"/>
        </w:rPr>
        <w:t xml:space="preserve">и; </w:t>
      </w:r>
    </w:p>
    <w:p w:rsidR="0056397F" w:rsidRDefault="007C4141" w:rsidP="0056397F">
      <w:pPr>
        <w:pStyle w:val="ListParagraph"/>
        <w:numPr>
          <w:ilvl w:val="0"/>
          <w:numId w:val="17"/>
        </w:numPr>
        <w:rPr>
          <w:sz w:val="24"/>
          <w:szCs w:val="24"/>
        </w:rPr>
      </w:pPr>
      <w:r w:rsidRPr="0056397F">
        <w:rPr>
          <w:sz w:val="24"/>
          <w:szCs w:val="24"/>
        </w:rPr>
        <w:t>в електронен формат, като документите, съдъ</w:t>
      </w:r>
      <w:r w:rsidR="0056397F">
        <w:rPr>
          <w:sz w:val="24"/>
          <w:szCs w:val="24"/>
        </w:rPr>
        <w:t>ржащи подписи, са сканирани;</w:t>
      </w:r>
    </w:p>
    <w:p w:rsidR="007C4141" w:rsidRPr="0056397F" w:rsidRDefault="007C4141" w:rsidP="0056397F">
      <w:pPr>
        <w:pStyle w:val="ListParagraph"/>
        <w:numPr>
          <w:ilvl w:val="0"/>
          <w:numId w:val="17"/>
        </w:numPr>
        <w:rPr>
          <w:sz w:val="24"/>
          <w:szCs w:val="24"/>
        </w:rPr>
      </w:pPr>
      <w:r w:rsidRPr="0056397F">
        <w:rPr>
          <w:sz w:val="24"/>
          <w:szCs w:val="24"/>
        </w:rPr>
        <w:t>в електронен формат, като документите да дават възможност за автоматично търсене (в pdf формат генериран автоматично от документа);</w:t>
      </w:r>
      <w:r w:rsidRPr="0056397F">
        <w:rPr>
          <w:sz w:val="24"/>
          <w:szCs w:val="24"/>
        </w:rPr>
        <w:br/>
        <w:t xml:space="preserve">както и по електронен път в специално създадената за целта система на адрес </w:t>
      </w:r>
      <w:hyperlink r:id="rId25" w:tgtFrame="_blank" w:tooltip="https://projects.uni-sofia.bg" w:history="1">
        <w:r w:rsidRPr="0056397F">
          <w:rPr>
            <w:rStyle w:val="Hyperlink"/>
            <w:sz w:val="24"/>
            <w:szCs w:val="24"/>
          </w:rPr>
          <w:t>https://projects.uni-sofia.bg</w:t>
        </w:r>
      </w:hyperlink>
      <w:r w:rsidRPr="0056397F">
        <w:rPr>
          <w:sz w:val="24"/>
          <w:szCs w:val="24"/>
        </w:rPr>
        <w:t>.</w:t>
      </w:r>
    </w:p>
    <w:p w:rsidR="007C4141" w:rsidRPr="0007660E" w:rsidRDefault="0056397F" w:rsidP="00B743DB">
      <w:pPr>
        <w:spacing w:after="480"/>
        <w:rPr>
          <w:sz w:val="24"/>
          <w:szCs w:val="24"/>
        </w:rPr>
      </w:pPr>
      <w:r>
        <w:rPr>
          <w:b/>
          <w:bCs/>
          <w:sz w:val="24"/>
          <w:szCs w:val="24"/>
        </w:rPr>
        <w:t xml:space="preserve">Краен срок: </w:t>
      </w:r>
      <w:r w:rsidRPr="007C4141">
        <w:rPr>
          <w:b/>
          <w:bCs/>
          <w:sz w:val="24"/>
          <w:szCs w:val="24"/>
        </w:rPr>
        <w:t>04.07.2018 г</w:t>
      </w:r>
      <w:r w:rsidR="00B743DB">
        <w:rPr>
          <w:b/>
          <w:bCs/>
          <w:sz w:val="24"/>
          <w:szCs w:val="24"/>
        </w:rPr>
        <w:t>.</w:t>
      </w:r>
    </w:p>
    <w:p w:rsidR="002E339B" w:rsidRDefault="006C436C" w:rsidP="00B743DB">
      <w:pPr>
        <w:pStyle w:val="Heading2"/>
        <w:spacing w:after="480"/>
        <w:ind w:left="284" w:hanging="284"/>
        <w:rPr>
          <w:color w:val="0000FF" w:themeColor="hyperlink"/>
          <w:u w:val="single"/>
        </w:rPr>
      </w:pPr>
      <w:hyperlink r:id="rId26" w:history="1">
        <w:bookmarkStart w:id="15" w:name="_Toc428806822"/>
        <w:bookmarkStart w:id="16" w:name="_Toc516047945"/>
        <w:r w:rsidR="002E339B" w:rsidRPr="00902F16">
          <w:rPr>
            <w:color w:val="0000FF" w:themeColor="hyperlink"/>
            <w:u w:val="single"/>
            <w:lang w:val="en-US"/>
          </w:rPr>
          <w:t>R&amp;D Calls HORIZON 2020</w:t>
        </w:r>
        <w:bookmarkEnd w:id="15"/>
        <w:bookmarkEnd w:id="16"/>
      </w:hyperlink>
    </w:p>
    <w:p w:rsidR="002E339B" w:rsidRDefault="002E339B" w:rsidP="002E339B">
      <w:pPr>
        <w:pStyle w:val="Heading2"/>
        <w:ind w:left="357" w:hanging="357"/>
      </w:pPr>
      <w:bookmarkStart w:id="17" w:name="_Toc516047946"/>
      <w:r w:rsidRPr="0052108C">
        <w:t>Програма: „Америка за България”</w:t>
      </w:r>
      <w:bookmarkEnd w:id="17"/>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lastRenderedPageBreak/>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27"/>
          <w:pgSz w:w="11906" w:h="16838"/>
          <w:pgMar w:top="1417" w:right="1133" w:bottom="1417" w:left="1417" w:header="708" w:footer="708" w:gutter="0"/>
          <w:cols w:space="708"/>
          <w:docGrid w:linePitch="360"/>
        </w:sectPr>
      </w:pPr>
    </w:p>
    <w:p w:rsidR="00AC582E" w:rsidRPr="00544F92" w:rsidRDefault="00912146" w:rsidP="00510D99">
      <w:pPr>
        <w:pStyle w:val="Events"/>
      </w:pPr>
      <w:bookmarkStart w:id="18" w:name="_Toc516047947"/>
      <w:r>
        <w:lastRenderedPageBreak/>
        <w:t>СЪБИТИЯ</w:t>
      </w:r>
      <w:bookmarkEnd w:id="18"/>
    </w:p>
    <w:p w:rsidR="00035062" w:rsidRPr="00A903B9" w:rsidRDefault="00035062" w:rsidP="00035062">
      <w:pPr>
        <w:rPr>
          <w:b/>
          <w:bCs/>
          <w:color w:val="E36C0A" w:themeColor="accent6" w:themeShade="BF"/>
          <w:sz w:val="24"/>
          <w:szCs w:val="24"/>
          <w:u w:val="single"/>
          <w:lang w:val="en"/>
        </w:rPr>
      </w:pPr>
      <w:proofErr w:type="spellStart"/>
      <w:r w:rsidRPr="00A903B9">
        <w:rPr>
          <w:b/>
          <w:bCs/>
          <w:color w:val="E36C0A" w:themeColor="accent6" w:themeShade="BF"/>
          <w:sz w:val="24"/>
          <w:szCs w:val="24"/>
          <w:u w:val="single"/>
          <w:lang w:val="en"/>
        </w:rPr>
        <w:t>EuroScience</w:t>
      </w:r>
      <w:proofErr w:type="spellEnd"/>
      <w:r w:rsidRPr="00A903B9">
        <w:rPr>
          <w:b/>
          <w:bCs/>
          <w:color w:val="E36C0A" w:themeColor="accent6" w:themeShade="BF"/>
          <w:sz w:val="24"/>
          <w:szCs w:val="24"/>
          <w:u w:val="single"/>
          <w:lang w:val="en"/>
        </w:rPr>
        <w:t xml:space="preserve"> Open Forum, 9-14 July 2018, Toulouse, France</w:t>
      </w:r>
    </w:p>
    <w:p w:rsidR="00035062" w:rsidRPr="00AF1320" w:rsidRDefault="00035062" w:rsidP="00A903B9">
      <w:pPr>
        <w:spacing w:after="120"/>
        <w:rPr>
          <w:sz w:val="24"/>
          <w:szCs w:val="24"/>
          <w:lang w:val="en"/>
        </w:rPr>
      </w:pPr>
      <w:r w:rsidRPr="00AF1320">
        <w:rPr>
          <w:sz w:val="24"/>
          <w:szCs w:val="24"/>
          <w:lang w:val="en"/>
        </w:rPr>
        <w:t>ESOF (</w:t>
      </w:r>
      <w:proofErr w:type="spellStart"/>
      <w:r w:rsidRPr="00AF1320">
        <w:rPr>
          <w:sz w:val="24"/>
          <w:szCs w:val="24"/>
          <w:lang w:val="en"/>
        </w:rPr>
        <w:t>EuroScience</w:t>
      </w:r>
      <w:proofErr w:type="spellEnd"/>
      <w:r w:rsidRPr="00AF1320">
        <w:rPr>
          <w:sz w:val="24"/>
          <w:szCs w:val="24"/>
          <w:lang w:val="en"/>
        </w:rPr>
        <w:t xml:space="preserve"> Open Forum) is the largest interdisciplinary science meeting in Europe. It is dedicated to scientific research and innovation and offers a unique framework for interaction and debate for scientists, innovators, policy makers, business people, media and the general public.</w:t>
      </w:r>
    </w:p>
    <w:p w:rsidR="00035062" w:rsidRPr="00AF1320" w:rsidRDefault="00035062" w:rsidP="00A903B9">
      <w:pPr>
        <w:spacing w:before="120" w:after="120"/>
        <w:rPr>
          <w:sz w:val="24"/>
          <w:szCs w:val="24"/>
          <w:lang w:val="en"/>
        </w:rPr>
      </w:pPr>
      <w:r w:rsidRPr="00AF1320">
        <w:rPr>
          <w:sz w:val="24"/>
          <w:szCs w:val="24"/>
          <w:lang w:val="en"/>
        </w:rPr>
        <w:t xml:space="preserve">Created in 2004 by </w:t>
      </w:r>
      <w:proofErr w:type="spellStart"/>
      <w:r w:rsidRPr="00AF1320">
        <w:rPr>
          <w:sz w:val="24"/>
          <w:szCs w:val="24"/>
          <w:lang w:val="en"/>
        </w:rPr>
        <w:t>EuroScience</w:t>
      </w:r>
      <w:proofErr w:type="spellEnd"/>
      <w:r w:rsidRPr="00AF1320">
        <w:rPr>
          <w:sz w:val="24"/>
          <w:szCs w:val="24"/>
          <w:lang w:val="en"/>
        </w:rPr>
        <w:t>, this biennial European forum brings together over 4 000 researchers, educators, business actors, policy makers and journalists from all over the world to discuss breakthroughs in science.</w:t>
      </w:r>
    </w:p>
    <w:p w:rsidR="00035062" w:rsidRPr="00AF1320" w:rsidRDefault="00035062" w:rsidP="00A903B9">
      <w:pPr>
        <w:spacing w:before="120" w:after="120"/>
        <w:rPr>
          <w:sz w:val="24"/>
          <w:szCs w:val="24"/>
          <w:lang w:val="en"/>
        </w:rPr>
      </w:pPr>
      <w:r w:rsidRPr="00AF1320">
        <w:rPr>
          <w:sz w:val="24"/>
          <w:szCs w:val="24"/>
          <w:lang w:val="en"/>
        </w:rPr>
        <w:t>More than 40% of the participants are students and young researchers. Taking part in ESOF is a unique opportunity to:</w:t>
      </w:r>
    </w:p>
    <w:p w:rsidR="00035062" w:rsidRPr="00AF1320" w:rsidRDefault="00035062" w:rsidP="009D4A26">
      <w:pPr>
        <w:numPr>
          <w:ilvl w:val="0"/>
          <w:numId w:val="3"/>
        </w:numPr>
        <w:spacing w:after="0"/>
        <w:ind w:left="714" w:hanging="357"/>
        <w:rPr>
          <w:sz w:val="24"/>
          <w:szCs w:val="24"/>
          <w:lang w:val="en"/>
        </w:rPr>
      </w:pPr>
      <w:r w:rsidRPr="00AF1320">
        <w:rPr>
          <w:sz w:val="24"/>
          <w:szCs w:val="24"/>
          <w:lang w:val="en"/>
        </w:rPr>
        <w:t>Further knowledge on the challenges and breakthroughs in research, innovation and their relation to society;</w:t>
      </w:r>
    </w:p>
    <w:p w:rsidR="00035062" w:rsidRPr="00AF1320" w:rsidRDefault="00035062" w:rsidP="009D4A26">
      <w:pPr>
        <w:numPr>
          <w:ilvl w:val="0"/>
          <w:numId w:val="3"/>
        </w:numPr>
        <w:spacing w:after="0"/>
        <w:ind w:left="714" w:hanging="357"/>
        <w:rPr>
          <w:sz w:val="24"/>
          <w:szCs w:val="24"/>
          <w:lang w:val="en"/>
        </w:rPr>
      </w:pPr>
      <w:r w:rsidRPr="00AF1320">
        <w:rPr>
          <w:sz w:val="24"/>
          <w:szCs w:val="24"/>
          <w:lang w:val="en"/>
        </w:rPr>
        <w:t>Create links, exchange and debate with leaders of the scientific community worldwide in an interdisciplinary context;</w:t>
      </w:r>
    </w:p>
    <w:p w:rsidR="00035062" w:rsidRPr="00AF1320" w:rsidRDefault="00035062" w:rsidP="009D4A26">
      <w:pPr>
        <w:numPr>
          <w:ilvl w:val="0"/>
          <w:numId w:val="3"/>
        </w:numPr>
        <w:spacing w:after="0"/>
        <w:ind w:left="714" w:hanging="357"/>
        <w:rPr>
          <w:sz w:val="24"/>
          <w:szCs w:val="24"/>
          <w:lang w:val="en"/>
        </w:rPr>
      </w:pPr>
      <w:r w:rsidRPr="00AF1320">
        <w:rPr>
          <w:sz w:val="24"/>
          <w:szCs w:val="24"/>
          <w:lang w:val="en"/>
        </w:rPr>
        <w:t>Communicate the latest news on scientific research and innovation to an international audience;</w:t>
      </w:r>
    </w:p>
    <w:p w:rsidR="00035062" w:rsidRPr="00AF1320" w:rsidRDefault="00035062" w:rsidP="009D4A26">
      <w:pPr>
        <w:numPr>
          <w:ilvl w:val="0"/>
          <w:numId w:val="3"/>
        </w:numPr>
        <w:spacing w:after="120"/>
        <w:ind w:left="714" w:hanging="357"/>
        <w:rPr>
          <w:sz w:val="24"/>
          <w:szCs w:val="24"/>
          <w:lang w:val="en"/>
        </w:rPr>
      </w:pPr>
      <w:r w:rsidRPr="00AF1320">
        <w:rPr>
          <w:sz w:val="24"/>
          <w:szCs w:val="24"/>
          <w:lang w:val="en"/>
        </w:rPr>
        <w:t>Develop a network in view of building a research career.</w:t>
      </w:r>
    </w:p>
    <w:p w:rsidR="00042DB4" w:rsidRDefault="006C436C" w:rsidP="004527EE">
      <w:pPr>
        <w:spacing w:after="240"/>
        <w:rPr>
          <w:sz w:val="24"/>
          <w:szCs w:val="24"/>
          <w:lang w:val="en"/>
        </w:rPr>
      </w:pPr>
      <w:hyperlink r:id="rId28" w:tgtFrame="_blank" w:history="1">
        <w:r w:rsidR="00035062" w:rsidRPr="00AF1320">
          <w:rPr>
            <w:rStyle w:val="Hyperlink"/>
            <w:sz w:val="24"/>
            <w:szCs w:val="24"/>
            <w:lang w:val="en"/>
          </w:rPr>
          <w:t>More information and registration</w:t>
        </w:r>
      </w:hyperlink>
      <w:r w:rsidR="00035062" w:rsidRPr="00AF1320">
        <w:rPr>
          <w:sz w:val="24"/>
          <w:szCs w:val="24"/>
          <w:lang w:val="en"/>
        </w:rPr>
        <w:t xml:space="preserve"> </w:t>
      </w:r>
    </w:p>
    <w:p w:rsidR="00F464C8" w:rsidRPr="00F464C8" w:rsidRDefault="00F464C8" w:rsidP="00F464C8">
      <w:pPr>
        <w:spacing w:after="240"/>
        <w:rPr>
          <w:b/>
          <w:color w:val="E36C0A" w:themeColor="accent6" w:themeShade="BF"/>
          <w:sz w:val="24"/>
          <w:szCs w:val="24"/>
          <w:u w:val="single"/>
          <w:lang w:val="en-GB"/>
        </w:rPr>
      </w:pPr>
      <w:r w:rsidRPr="00F464C8">
        <w:rPr>
          <w:b/>
          <w:bCs/>
          <w:color w:val="E36C0A" w:themeColor="accent6" w:themeShade="BF"/>
          <w:sz w:val="24"/>
          <w:szCs w:val="24"/>
          <w:u w:val="single"/>
          <w:lang w:val="en-GB"/>
        </w:rPr>
        <w:t xml:space="preserve">International Conference on Atomic &amp; Nuclear Physics 23–25 Jul 2018, </w:t>
      </w:r>
      <w:r w:rsidRPr="00F464C8">
        <w:rPr>
          <w:b/>
          <w:color w:val="E36C0A" w:themeColor="accent6" w:themeShade="BF"/>
          <w:sz w:val="24"/>
          <w:szCs w:val="24"/>
          <w:u w:val="single"/>
          <w:lang w:val="en-GB"/>
        </w:rPr>
        <w:t>Osaka, Japan</w:t>
      </w:r>
    </w:p>
    <w:p w:rsidR="00F464C8" w:rsidRDefault="00F464C8" w:rsidP="00A82398">
      <w:pPr>
        <w:spacing w:after="120"/>
        <w:rPr>
          <w:sz w:val="24"/>
          <w:szCs w:val="24"/>
          <w:lang w:val="en"/>
        </w:rPr>
      </w:pPr>
      <w:r w:rsidRPr="00F464C8">
        <w:rPr>
          <w:sz w:val="24"/>
          <w:szCs w:val="24"/>
          <w:lang w:val="en-GB"/>
        </w:rPr>
        <w:t>ICANP-2018 will also provide the excellent opportunity to meet experts, exchange information, and strengthen the collaboration among Directors, Researchers, Associate Professors, and Scholars from both academia and industry.</w:t>
      </w:r>
      <w:r w:rsidRPr="00F464C8">
        <w:rPr>
          <w:sz w:val="24"/>
          <w:szCs w:val="24"/>
          <w:lang w:val="en-GB"/>
        </w:rPr>
        <w:br/>
        <w:t xml:space="preserve">International Conference on Atomic &amp; Nuclear Physics is anticipating participants from 40 and more countries across the globe and the </w:t>
      </w:r>
      <w:proofErr w:type="gramStart"/>
      <w:r w:rsidRPr="00F464C8">
        <w:rPr>
          <w:sz w:val="24"/>
          <w:szCs w:val="24"/>
          <w:lang w:val="en-GB"/>
        </w:rPr>
        <w:t>two day</w:t>
      </w:r>
      <w:proofErr w:type="gramEnd"/>
      <w:r w:rsidRPr="00F464C8">
        <w:rPr>
          <w:sz w:val="24"/>
          <w:szCs w:val="24"/>
          <w:lang w:val="en-GB"/>
        </w:rPr>
        <w:t xml:space="preserve"> conference will provoke Plenary sessions, Keynote speeches, Poster, and Oral presentations. This program provides two days of robust discussions on recent advancements and new strategies for development of new materials for global requirements.</w:t>
      </w:r>
    </w:p>
    <w:p w:rsidR="00F464C8" w:rsidRDefault="006C436C" w:rsidP="004527EE">
      <w:pPr>
        <w:spacing w:after="240"/>
        <w:rPr>
          <w:rStyle w:val="Hyperlink"/>
          <w:sz w:val="24"/>
          <w:szCs w:val="24"/>
          <w:lang w:val="en"/>
        </w:rPr>
      </w:pPr>
      <w:hyperlink r:id="rId29" w:history="1">
        <w:r w:rsidR="00F464C8" w:rsidRPr="00F464C8">
          <w:rPr>
            <w:rStyle w:val="Hyperlink"/>
            <w:sz w:val="24"/>
            <w:szCs w:val="24"/>
            <w:lang w:val="en"/>
          </w:rPr>
          <w:t>More information and registration</w:t>
        </w:r>
      </w:hyperlink>
    </w:p>
    <w:p w:rsidR="00C17976" w:rsidRPr="00C17976" w:rsidRDefault="00C17976" w:rsidP="00C17976">
      <w:pPr>
        <w:spacing w:after="240"/>
        <w:rPr>
          <w:b/>
          <w:bCs/>
          <w:color w:val="E36C0A" w:themeColor="accent6" w:themeShade="BF"/>
          <w:sz w:val="24"/>
          <w:szCs w:val="24"/>
          <w:u w:val="single"/>
          <w:lang w:val="en-US"/>
        </w:rPr>
      </w:pPr>
      <w:r w:rsidRPr="00C17976">
        <w:rPr>
          <w:b/>
          <w:bCs/>
          <w:color w:val="E36C0A" w:themeColor="accent6" w:themeShade="BF"/>
          <w:sz w:val="24"/>
          <w:szCs w:val="24"/>
          <w:u w:val="single"/>
        </w:rPr>
        <w:t>15th International Conference on e-Business - ICE-B 2018</w:t>
      </w:r>
      <w:r w:rsidRPr="00C17976">
        <w:rPr>
          <w:b/>
          <w:bCs/>
          <w:color w:val="E36C0A" w:themeColor="accent6" w:themeShade="BF"/>
          <w:sz w:val="24"/>
          <w:szCs w:val="24"/>
          <w:u w:val="single"/>
          <w:lang w:val="en-US"/>
        </w:rPr>
        <w:t>, 26-28 July 2018, Porto, Portugal</w:t>
      </w:r>
    </w:p>
    <w:p w:rsidR="00C17976" w:rsidRPr="00C17976" w:rsidRDefault="00C17976" w:rsidP="00C17976">
      <w:pPr>
        <w:rPr>
          <w:bCs/>
          <w:iCs/>
          <w:sz w:val="24"/>
          <w:szCs w:val="24"/>
        </w:rPr>
      </w:pPr>
      <w:r w:rsidRPr="00C17976">
        <w:rPr>
          <w:bCs/>
          <w:iCs/>
          <w:sz w:val="24"/>
          <w:szCs w:val="24"/>
        </w:rPr>
        <w:t>The International Conference on e-Business, ICE-B 2018, aims at bringing together researchers and practitioners who are interested in e-Business technology and its current applications. The scope of the conference covers low-level technological issues, such as technology platforms, internet of things and web services, but also higher-level issues, such as business processes, business intelligence, value setting and business strategy.</w:t>
      </w:r>
    </w:p>
    <w:p w:rsidR="00C17976" w:rsidRPr="00945D73" w:rsidRDefault="00C17976" w:rsidP="00C17976">
      <w:pPr>
        <w:spacing w:after="240"/>
        <w:rPr>
          <w:b/>
          <w:color w:val="0070C0"/>
          <w:sz w:val="24"/>
          <w:szCs w:val="24"/>
          <w:lang w:val="en"/>
        </w:rPr>
      </w:pPr>
      <w:r>
        <w:rPr>
          <w:sz w:val="24"/>
          <w:szCs w:val="24"/>
          <w:lang w:val="en-US"/>
        </w:rPr>
        <w:lastRenderedPageBreak/>
        <w:t xml:space="preserve">More information: </w:t>
      </w:r>
      <w:r w:rsidRPr="00C17976">
        <w:rPr>
          <w:sz w:val="24"/>
          <w:szCs w:val="24"/>
        </w:rPr>
        <w:t xml:space="preserve"> </w:t>
      </w:r>
      <w:hyperlink r:id="rId30" w:history="1">
        <w:r w:rsidRPr="00945D73">
          <w:rPr>
            <w:rStyle w:val="Hyperlink"/>
            <w:b/>
            <w:color w:val="0070C0"/>
            <w:sz w:val="24"/>
            <w:szCs w:val="24"/>
            <w:u w:val="none"/>
          </w:rPr>
          <w:t>http://www.ice-b.icete.org</w:t>
        </w:r>
      </w:hyperlink>
    </w:p>
    <w:p w:rsidR="00F82CFC" w:rsidRDefault="00F82CFC" w:rsidP="00F82CFC">
      <w:pPr>
        <w:spacing w:after="0"/>
        <w:rPr>
          <w:b/>
          <w:bCs/>
          <w:color w:val="E36C0A" w:themeColor="accent6" w:themeShade="BF"/>
          <w:sz w:val="24"/>
          <w:szCs w:val="24"/>
          <w:u w:val="single"/>
          <w:lang w:val="en-US"/>
        </w:rPr>
      </w:pPr>
      <w:r w:rsidRPr="00F82CFC">
        <w:rPr>
          <w:b/>
          <w:bCs/>
          <w:color w:val="E36C0A" w:themeColor="accent6" w:themeShade="BF"/>
          <w:sz w:val="24"/>
          <w:szCs w:val="24"/>
          <w:u w:val="single"/>
        </w:rPr>
        <w:t>9th International Conference on Data Communication Networking - DCNET 2018</w:t>
      </w:r>
      <w:r w:rsidRPr="00F82CFC">
        <w:rPr>
          <w:b/>
          <w:bCs/>
          <w:color w:val="E36C0A" w:themeColor="accent6" w:themeShade="BF"/>
          <w:sz w:val="24"/>
          <w:szCs w:val="24"/>
          <w:u w:val="single"/>
          <w:lang w:val="en-US"/>
        </w:rPr>
        <w:t xml:space="preserve">, </w:t>
      </w:r>
    </w:p>
    <w:p w:rsidR="00F82CFC" w:rsidRPr="00C17976" w:rsidRDefault="00F82CFC" w:rsidP="00F82CFC">
      <w:pPr>
        <w:spacing w:after="240"/>
        <w:rPr>
          <w:b/>
          <w:bCs/>
          <w:color w:val="E36C0A" w:themeColor="accent6" w:themeShade="BF"/>
          <w:sz w:val="24"/>
          <w:szCs w:val="24"/>
          <w:u w:val="single"/>
          <w:lang w:val="en-US"/>
        </w:rPr>
      </w:pPr>
      <w:r w:rsidRPr="00F82CFC">
        <w:rPr>
          <w:b/>
          <w:bCs/>
          <w:color w:val="E36C0A" w:themeColor="accent6" w:themeShade="BF"/>
          <w:sz w:val="24"/>
          <w:szCs w:val="24"/>
          <w:u w:val="single"/>
          <w:lang w:val="en-US"/>
        </w:rPr>
        <w:t>26-</w:t>
      </w:r>
      <w:r w:rsidRPr="00C17976">
        <w:rPr>
          <w:b/>
          <w:bCs/>
          <w:color w:val="E36C0A" w:themeColor="accent6" w:themeShade="BF"/>
          <w:sz w:val="24"/>
          <w:szCs w:val="24"/>
          <w:u w:val="single"/>
          <w:lang w:val="en-US"/>
        </w:rPr>
        <w:t>28 July 2018, Porto, Portugal</w:t>
      </w:r>
    </w:p>
    <w:p w:rsidR="00F82CFC" w:rsidRPr="00F82CFC" w:rsidRDefault="00F82CFC" w:rsidP="00F82CFC">
      <w:pPr>
        <w:rPr>
          <w:bCs/>
          <w:iCs/>
          <w:sz w:val="24"/>
          <w:szCs w:val="24"/>
        </w:rPr>
      </w:pPr>
      <w:r w:rsidRPr="00F82CFC">
        <w:rPr>
          <w:bCs/>
          <w:iCs/>
          <w:sz w:val="24"/>
          <w:szCs w:val="24"/>
        </w:rPr>
        <w:t>The purpose of DCNET 2018 is to bring together researchers, engineers and practitioners interested on communication networking between computer systems or other digital devices. Computer networking is a combination of knowledge related to the areas of telecommunications, computer science, information technology and/or computer engineering. Data communication networks rely heavily upon the theoretical and practical application of these scientific and engineering disciplines.</w:t>
      </w:r>
    </w:p>
    <w:p w:rsidR="00C17976" w:rsidRPr="00C17976" w:rsidRDefault="00F82CFC" w:rsidP="004527EE">
      <w:pPr>
        <w:spacing w:after="240"/>
        <w:rPr>
          <w:rStyle w:val="Hyperlink"/>
          <w:color w:val="auto"/>
          <w:sz w:val="24"/>
          <w:szCs w:val="24"/>
          <w:u w:val="none"/>
        </w:rPr>
      </w:pPr>
      <w:r>
        <w:rPr>
          <w:sz w:val="24"/>
          <w:szCs w:val="24"/>
          <w:lang w:val="en-US"/>
        </w:rPr>
        <w:t xml:space="preserve">More information: </w:t>
      </w:r>
      <w:hyperlink r:id="rId31" w:history="1">
        <w:r w:rsidRPr="00F82CFC">
          <w:rPr>
            <w:rStyle w:val="Hyperlink"/>
            <w:sz w:val="24"/>
            <w:szCs w:val="24"/>
          </w:rPr>
          <w:t>http://www.dcnet.icete.org/</w:t>
        </w:r>
      </w:hyperlink>
      <w:r w:rsidRPr="00F82CFC">
        <w:rPr>
          <w:sz w:val="24"/>
          <w:szCs w:val="24"/>
        </w:rPr>
        <w:t xml:space="preserve"> </w:t>
      </w:r>
    </w:p>
    <w:p w:rsidR="00296397" w:rsidRPr="00296397" w:rsidRDefault="00296397" w:rsidP="00296397">
      <w:pPr>
        <w:spacing w:after="240"/>
        <w:rPr>
          <w:b/>
          <w:bCs/>
          <w:color w:val="E36C0A" w:themeColor="accent6" w:themeShade="BF"/>
          <w:sz w:val="24"/>
          <w:szCs w:val="24"/>
          <w:u w:val="single"/>
          <w:lang w:val="en-US"/>
        </w:rPr>
      </w:pPr>
      <w:r w:rsidRPr="00296397">
        <w:rPr>
          <w:b/>
          <w:bCs/>
          <w:color w:val="E36C0A" w:themeColor="accent6" w:themeShade="BF"/>
          <w:sz w:val="24"/>
          <w:szCs w:val="24"/>
          <w:u w:val="single"/>
        </w:rPr>
        <w:t>SECPID 2018 - 3rd Workshop on Security, Privacy, and Identity Management in the Cloud</w:t>
      </w:r>
      <w:r w:rsidRPr="00296397">
        <w:rPr>
          <w:b/>
          <w:bCs/>
          <w:color w:val="E36C0A" w:themeColor="accent6" w:themeShade="BF"/>
          <w:sz w:val="24"/>
          <w:szCs w:val="24"/>
          <w:u w:val="single"/>
          <w:lang w:val="en-US"/>
        </w:rPr>
        <w:t>, 27 August 2018, Hamburg, Germany</w:t>
      </w:r>
    </w:p>
    <w:p w:rsidR="00296397" w:rsidRDefault="00296397" w:rsidP="00296397">
      <w:pPr>
        <w:spacing w:after="240"/>
        <w:rPr>
          <w:sz w:val="24"/>
          <w:szCs w:val="24"/>
          <w:lang w:val="en-US"/>
        </w:rPr>
      </w:pPr>
      <w:r w:rsidRPr="00296397">
        <w:rPr>
          <w:sz w:val="24"/>
          <w:szCs w:val="24"/>
        </w:rPr>
        <w:t xml:space="preserve">CREDENTIAL, its partner project PRISMACLOUD, and the DPSP Cluster are organizing a Workshop on Security, Privacy, and Identity Management in the </w:t>
      </w:r>
      <w:proofErr w:type="spellStart"/>
      <w:r w:rsidRPr="00296397">
        <w:rPr>
          <w:sz w:val="24"/>
          <w:szCs w:val="24"/>
        </w:rPr>
        <w:t>Cloud</w:t>
      </w:r>
      <w:proofErr w:type="spellEnd"/>
      <w:r w:rsidRPr="00296397">
        <w:rPr>
          <w:sz w:val="24"/>
          <w:szCs w:val="24"/>
        </w:rPr>
        <w:t xml:space="preserve"> </w:t>
      </w:r>
      <w:proofErr w:type="spellStart"/>
      <w:r w:rsidRPr="00296397">
        <w:rPr>
          <w:sz w:val="24"/>
          <w:szCs w:val="24"/>
        </w:rPr>
        <w:t>at</w:t>
      </w:r>
      <w:proofErr w:type="spellEnd"/>
      <w:r w:rsidRPr="00296397">
        <w:rPr>
          <w:sz w:val="24"/>
          <w:szCs w:val="24"/>
        </w:rPr>
        <w:t xml:space="preserve"> </w:t>
      </w:r>
      <w:proofErr w:type="spellStart"/>
      <w:r w:rsidRPr="00296397">
        <w:rPr>
          <w:sz w:val="24"/>
          <w:szCs w:val="24"/>
        </w:rPr>
        <w:t>this</w:t>
      </w:r>
      <w:proofErr w:type="spellEnd"/>
      <w:r w:rsidRPr="00296397">
        <w:rPr>
          <w:sz w:val="24"/>
          <w:szCs w:val="24"/>
        </w:rPr>
        <w:t xml:space="preserve"> </w:t>
      </w:r>
      <w:proofErr w:type="spellStart"/>
      <w:r w:rsidRPr="00296397">
        <w:rPr>
          <w:sz w:val="24"/>
          <w:szCs w:val="24"/>
        </w:rPr>
        <w:t>year's</w:t>
      </w:r>
      <w:proofErr w:type="spellEnd"/>
      <w:r w:rsidRPr="00296397">
        <w:rPr>
          <w:sz w:val="24"/>
          <w:szCs w:val="24"/>
        </w:rPr>
        <w:t xml:space="preserve"> ARES </w:t>
      </w:r>
      <w:proofErr w:type="spellStart"/>
      <w:r w:rsidRPr="00296397">
        <w:rPr>
          <w:sz w:val="24"/>
          <w:szCs w:val="24"/>
        </w:rPr>
        <w:t>conference</w:t>
      </w:r>
      <w:proofErr w:type="spellEnd"/>
      <w:r w:rsidRPr="00296397">
        <w:rPr>
          <w:sz w:val="24"/>
          <w:szCs w:val="24"/>
        </w:rPr>
        <w:t xml:space="preserve">, </w:t>
      </w:r>
      <w:proofErr w:type="spellStart"/>
      <w:r w:rsidRPr="00296397">
        <w:rPr>
          <w:sz w:val="24"/>
          <w:szCs w:val="24"/>
        </w:rPr>
        <w:t>the</w:t>
      </w:r>
      <w:proofErr w:type="spellEnd"/>
      <w:r w:rsidRPr="00296397">
        <w:rPr>
          <w:sz w:val="24"/>
          <w:szCs w:val="24"/>
        </w:rPr>
        <w:t xml:space="preserve"> 13th International Conference on Availability, Reliability and Security on August 27 - August 30, 2018 in Hamburg, Germany.</w:t>
      </w:r>
      <w:r>
        <w:rPr>
          <w:sz w:val="24"/>
          <w:szCs w:val="24"/>
          <w:lang w:val="en-US"/>
        </w:rPr>
        <w:t xml:space="preserve"> </w:t>
      </w:r>
    </w:p>
    <w:p w:rsidR="00296397" w:rsidRDefault="00296397" w:rsidP="00296397">
      <w:pPr>
        <w:spacing w:after="240"/>
        <w:rPr>
          <w:sz w:val="24"/>
          <w:szCs w:val="24"/>
          <w:lang w:val="en-US"/>
        </w:rPr>
      </w:pPr>
      <w:r w:rsidRPr="00296397">
        <w:rPr>
          <w:sz w:val="24"/>
          <w:szCs w:val="24"/>
        </w:rPr>
        <w:t>Over the last years, the computing paradigm has experienced a massive shift from local to cloud-based applications. As a result, users and organizations do no longer have full control over their data and services, but they rely on third-party cloud providers.</w:t>
      </w:r>
      <w:r>
        <w:rPr>
          <w:sz w:val="24"/>
          <w:szCs w:val="24"/>
          <w:lang w:val="en-US"/>
        </w:rPr>
        <w:t xml:space="preserve"> </w:t>
      </w:r>
      <w:r w:rsidRPr="00296397">
        <w:rPr>
          <w:sz w:val="24"/>
          <w:szCs w:val="24"/>
        </w:rPr>
        <w:t>This development poses various challenges concerning the integrity and confidentiality of data as well as the privacy of users of such systems. Currently, no satisfactory solutions to these challenges exist, which is a roadblock for the large-scale deployment of cloud-based applications handling sensitive data such as electronic health records.</w:t>
      </w:r>
      <w:r>
        <w:rPr>
          <w:sz w:val="24"/>
          <w:szCs w:val="24"/>
          <w:lang w:val="en-US"/>
        </w:rPr>
        <w:t xml:space="preserve"> </w:t>
      </w:r>
    </w:p>
    <w:p w:rsidR="00296397" w:rsidRDefault="00296397" w:rsidP="00296397">
      <w:pPr>
        <w:spacing w:after="240"/>
        <w:rPr>
          <w:sz w:val="24"/>
          <w:szCs w:val="24"/>
          <w:lang w:val="en-US"/>
        </w:rPr>
      </w:pPr>
      <w:r w:rsidRPr="00296397">
        <w:rPr>
          <w:sz w:val="24"/>
          <w:szCs w:val="24"/>
        </w:rPr>
        <w:t>The aim of this symposium is to provide a platform to discuss innovative ideas related to the following questions:</w:t>
      </w:r>
      <w:r>
        <w:rPr>
          <w:sz w:val="24"/>
          <w:szCs w:val="24"/>
          <w:lang w:val="en-US"/>
        </w:rPr>
        <w:t xml:space="preserve"> </w:t>
      </w:r>
    </w:p>
    <w:p w:rsidR="00296397" w:rsidRPr="00296397" w:rsidRDefault="00296397" w:rsidP="009D4A26">
      <w:pPr>
        <w:pStyle w:val="ListParagraph"/>
        <w:numPr>
          <w:ilvl w:val="0"/>
          <w:numId w:val="13"/>
        </w:numPr>
        <w:spacing w:after="240"/>
        <w:rPr>
          <w:sz w:val="24"/>
          <w:szCs w:val="24"/>
          <w:lang w:val="en-US"/>
        </w:rPr>
      </w:pPr>
      <w:r w:rsidRPr="00296397">
        <w:rPr>
          <w:sz w:val="24"/>
          <w:szCs w:val="24"/>
          <w:lang w:val="en-US"/>
        </w:rPr>
        <w:t>H</w:t>
      </w:r>
      <w:r w:rsidRPr="00296397">
        <w:rPr>
          <w:sz w:val="24"/>
          <w:szCs w:val="24"/>
        </w:rPr>
        <w:t>ow can cloud services be made more trustworthy?</w:t>
      </w:r>
    </w:p>
    <w:p w:rsidR="00296397" w:rsidRPr="00296397" w:rsidRDefault="00296397" w:rsidP="009D4A26">
      <w:pPr>
        <w:pStyle w:val="ListParagraph"/>
        <w:numPr>
          <w:ilvl w:val="0"/>
          <w:numId w:val="13"/>
        </w:numPr>
        <w:spacing w:after="240"/>
        <w:rPr>
          <w:sz w:val="24"/>
          <w:szCs w:val="24"/>
          <w:lang w:val="en-US"/>
        </w:rPr>
      </w:pPr>
      <w:r w:rsidRPr="00296397">
        <w:rPr>
          <w:sz w:val="24"/>
          <w:szCs w:val="24"/>
        </w:rPr>
        <w:t>How can we build distributed systems without single point of failure or trust?</w:t>
      </w:r>
    </w:p>
    <w:p w:rsidR="00296397" w:rsidRPr="00296397" w:rsidRDefault="00296397" w:rsidP="009D4A26">
      <w:pPr>
        <w:pStyle w:val="ListParagraph"/>
        <w:numPr>
          <w:ilvl w:val="0"/>
          <w:numId w:val="13"/>
        </w:numPr>
        <w:spacing w:after="240"/>
        <w:rPr>
          <w:sz w:val="24"/>
          <w:szCs w:val="24"/>
          <w:lang w:val="en-US"/>
        </w:rPr>
      </w:pPr>
      <w:r w:rsidRPr="00296397">
        <w:rPr>
          <w:sz w:val="24"/>
          <w:szCs w:val="24"/>
        </w:rPr>
        <w:t>How to design end-to-end secure services in an untrusted environment?</w:t>
      </w:r>
    </w:p>
    <w:p w:rsidR="00296397" w:rsidRPr="00296397" w:rsidRDefault="00296397" w:rsidP="009D4A26">
      <w:pPr>
        <w:pStyle w:val="ListParagraph"/>
        <w:numPr>
          <w:ilvl w:val="0"/>
          <w:numId w:val="13"/>
        </w:numPr>
        <w:spacing w:after="240"/>
        <w:rPr>
          <w:sz w:val="24"/>
          <w:szCs w:val="24"/>
          <w:lang w:val="en-US"/>
        </w:rPr>
      </w:pPr>
      <w:r w:rsidRPr="00296397">
        <w:rPr>
          <w:sz w:val="24"/>
          <w:szCs w:val="24"/>
        </w:rPr>
        <w:t xml:space="preserve">Which methodologies and technologies are required to integrate security and privacy by design? </w:t>
      </w:r>
    </w:p>
    <w:p w:rsidR="00296397" w:rsidRPr="00296397" w:rsidRDefault="00296397" w:rsidP="009D4A26">
      <w:pPr>
        <w:pStyle w:val="ListParagraph"/>
        <w:numPr>
          <w:ilvl w:val="0"/>
          <w:numId w:val="13"/>
        </w:numPr>
        <w:spacing w:after="240"/>
        <w:rPr>
          <w:sz w:val="24"/>
          <w:szCs w:val="24"/>
          <w:lang w:val="en-US"/>
        </w:rPr>
      </w:pPr>
      <w:r w:rsidRPr="00296397">
        <w:rPr>
          <w:sz w:val="24"/>
          <w:szCs w:val="24"/>
        </w:rPr>
        <w:t>Is it possible to give back users full control over which data they want to reveal when and to whom?</w:t>
      </w:r>
    </w:p>
    <w:p w:rsidR="00C17976" w:rsidRPr="003558C5" w:rsidRDefault="00296397" w:rsidP="004527EE">
      <w:pPr>
        <w:spacing w:after="240"/>
        <w:rPr>
          <w:rStyle w:val="Hyperlink"/>
          <w:color w:val="auto"/>
          <w:sz w:val="24"/>
          <w:szCs w:val="24"/>
          <w:lang w:val="en"/>
        </w:rPr>
      </w:pPr>
      <w:r>
        <w:rPr>
          <w:sz w:val="24"/>
          <w:szCs w:val="24"/>
          <w:lang w:val="en-US"/>
        </w:rPr>
        <w:t xml:space="preserve">More information: </w:t>
      </w:r>
      <w:hyperlink r:id="rId32" w:history="1">
        <w:r w:rsidRPr="00EA4E6E">
          <w:rPr>
            <w:rStyle w:val="Hyperlink"/>
            <w:b/>
            <w:color w:val="0070C0"/>
            <w:sz w:val="24"/>
            <w:szCs w:val="24"/>
            <w:u w:val="none"/>
          </w:rPr>
          <w:t>https://www.ares-conference.eu/workshops/secpid-2018/</w:t>
        </w:r>
      </w:hyperlink>
    </w:p>
    <w:p w:rsidR="00EB7048" w:rsidRDefault="00EB7048">
      <w:pPr>
        <w:jc w:val="left"/>
        <w:rPr>
          <w:rStyle w:val="Hyperlink"/>
          <w:color w:val="auto"/>
          <w:sz w:val="24"/>
          <w:szCs w:val="24"/>
          <w:lang w:val="en"/>
        </w:rPr>
      </w:pPr>
      <w:r>
        <w:rPr>
          <w:rStyle w:val="Hyperlink"/>
          <w:color w:val="auto"/>
          <w:sz w:val="24"/>
          <w:szCs w:val="24"/>
          <w:lang w:val="en"/>
        </w:rPr>
        <w:br w:type="page"/>
      </w:r>
    </w:p>
    <w:p w:rsidR="009A57F5" w:rsidRPr="001535D9" w:rsidRDefault="009A57F5" w:rsidP="009A57F5">
      <w:pPr>
        <w:shd w:val="clear" w:color="auto" w:fill="FFFFFF"/>
        <w:spacing w:before="100" w:beforeAutospacing="1" w:after="100" w:afterAutospacing="1" w:line="360" w:lineRule="atLeast"/>
        <w:jc w:val="left"/>
        <w:outlineLvl w:val="3"/>
        <w:rPr>
          <w:rFonts w:cs="Times New Roman"/>
          <w:b/>
          <w:color w:val="E36C0A" w:themeColor="accent6" w:themeShade="BF"/>
          <w:sz w:val="24"/>
          <w:szCs w:val="24"/>
          <w:u w:val="single"/>
          <w:lang w:val="en-GB"/>
        </w:rPr>
      </w:pPr>
      <w:r w:rsidRPr="001535D9">
        <w:rPr>
          <w:rFonts w:cs="Times New Roman"/>
          <w:b/>
          <w:bCs/>
          <w:color w:val="E36C0A" w:themeColor="accent6" w:themeShade="BF"/>
          <w:sz w:val="24"/>
          <w:szCs w:val="24"/>
          <w:u w:val="single"/>
          <w:lang w:val="en-GB"/>
        </w:rPr>
        <w:lastRenderedPageBreak/>
        <w:t xml:space="preserve">9th Edition of International Conference on Acupuncture </w:t>
      </w:r>
      <w:r w:rsidRPr="001535D9">
        <w:rPr>
          <w:rStyle w:val="daterange1"/>
          <w:rFonts w:cs="Times New Roman"/>
          <w:b/>
          <w:bCs/>
          <w:color w:val="E36C0A" w:themeColor="accent6" w:themeShade="BF"/>
          <w:sz w:val="24"/>
          <w:szCs w:val="24"/>
          <w:u w:val="single"/>
          <w:lang w:val="en-GB"/>
        </w:rPr>
        <w:t xml:space="preserve">3–4 Sep 2018, </w:t>
      </w:r>
      <w:r w:rsidRPr="001535D9">
        <w:rPr>
          <w:rFonts w:cs="Times New Roman"/>
          <w:b/>
          <w:color w:val="E36C0A" w:themeColor="accent6" w:themeShade="BF"/>
          <w:sz w:val="24"/>
          <w:szCs w:val="24"/>
          <w:u w:val="single"/>
          <w:lang w:val="en-GB"/>
        </w:rPr>
        <w:t>Lisbon, Portugal</w:t>
      </w:r>
    </w:p>
    <w:p w:rsidR="00E9494D" w:rsidRDefault="009A57F5" w:rsidP="00A82398">
      <w:pPr>
        <w:spacing w:after="120"/>
        <w:rPr>
          <w:sz w:val="24"/>
          <w:szCs w:val="24"/>
          <w:lang w:val="en-GB"/>
        </w:rPr>
      </w:pPr>
      <w:r w:rsidRPr="009A57F5">
        <w:rPr>
          <w:sz w:val="24"/>
          <w:szCs w:val="24"/>
          <w:lang w:val="en-GB"/>
        </w:rPr>
        <w:t>Acupuncture 2018 aims to gather leading educational scientists, researchers and research students to exchange &amp; share their experiences and research results about all aspects of Acupuncture.</w:t>
      </w:r>
    </w:p>
    <w:p w:rsidR="009A57F5" w:rsidRDefault="009A57F5" w:rsidP="00A82398">
      <w:pPr>
        <w:spacing w:after="120"/>
        <w:rPr>
          <w:sz w:val="24"/>
          <w:szCs w:val="24"/>
          <w:lang w:val="en"/>
        </w:rPr>
      </w:pPr>
      <w:r w:rsidRPr="009A57F5">
        <w:rPr>
          <w:sz w:val="24"/>
          <w:szCs w:val="24"/>
          <w:lang w:val="en-GB"/>
        </w:rPr>
        <w:t>The conference proceedings include symposiums and workshops, keynote speeches, poster sessions and panel discussion on latest research developments in the field of Acupuncture. Acupuncture is a form of alternative medicine and a major component of Traditional Chinese Medicine which involves inserting needles into the body acupuncture points, acupuncture as an effective treatment for over forty medical problems, including allergies, respiratory conditions, gastrointestinal disorders, gynaecological problems, nervous conditions and also has been used in the treatment of substance abuse and as relief for fatigue in cancer patients due to chemotherapy and other therapies.</w:t>
      </w:r>
      <w:r w:rsidR="00E9494D">
        <w:rPr>
          <w:sz w:val="24"/>
          <w:szCs w:val="24"/>
          <w:lang w:val="en-GB"/>
        </w:rPr>
        <w:t xml:space="preserve"> </w:t>
      </w:r>
      <w:proofErr w:type="spellStart"/>
      <w:r w:rsidRPr="009A57F5">
        <w:rPr>
          <w:sz w:val="24"/>
          <w:szCs w:val="24"/>
          <w:lang w:val="en-GB"/>
        </w:rPr>
        <w:t>EuroSciCon</w:t>
      </w:r>
      <w:proofErr w:type="spellEnd"/>
      <w:r w:rsidRPr="009A57F5">
        <w:rPr>
          <w:sz w:val="24"/>
          <w:szCs w:val="24"/>
          <w:lang w:val="en-GB"/>
        </w:rPr>
        <w:t xml:space="preserve"> is the longest running independent life science events company with a predominantly academic client base. Our </w:t>
      </w:r>
      <w:proofErr w:type="spellStart"/>
      <w:r w:rsidRPr="009A57F5">
        <w:rPr>
          <w:sz w:val="24"/>
          <w:szCs w:val="24"/>
          <w:lang w:val="en-GB"/>
        </w:rPr>
        <w:t>multiprofessional</w:t>
      </w:r>
      <w:proofErr w:type="spellEnd"/>
      <w:r w:rsidRPr="009A57F5">
        <w:rPr>
          <w:sz w:val="24"/>
          <w:szCs w:val="24"/>
          <w:lang w:val="en-GB"/>
        </w:rPr>
        <w:t xml:space="preserve"> and </w:t>
      </w:r>
      <w:proofErr w:type="spellStart"/>
      <w:r w:rsidRPr="009A57F5">
        <w:rPr>
          <w:sz w:val="24"/>
          <w:szCs w:val="24"/>
          <w:lang w:val="en-GB"/>
        </w:rPr>
        <w:t>multispeciality</w:t>
      </w:r>
      <w:proofErr w:type="spellEnd"/>
      <w:r w:rsidRPr="009A57F5">
        <w:rPr>
          <w:sz w:val="24"/>
          <w:szCs w:val="24"/>
          <w:lang w:val="en-GB"/>
        </w:rPr>
        <w:t xml:space="preserve"> approach creates a unique experience that cannot be found with a specialist society or commercially.</w:t>
      </w:r>
    </w:p>
    <w:p w:rsidR="009A57F5" w:rsidRDefault="006C436C" w:rsidP="004527EE">
      <w:pPr>
        <w:spacing w:after="240"/>
        <w:rPr>
          <w:sz w:val="24"/>
          <w:szCs w:val="24"/>
          <w:lang w:val="en"/>
        </w:rPr>
      </w:pPr>
      <w:hyperlink r:id="rId33" w:history="1">
        <w:r w:rsidR="001535D9" w:rsidRPr="001535D9">
          <w:rPr>
            <w:rStyle w:val="Hyperlink"/>
            <w:sz w:val="24"/>
            <w:szCs w:val="24"/>
            <w:lang w:val="en"/>
          </w:rPr>
          <w:t>More information and registration</w:t>
        </w:r>
      </w:hyperlink>
    </w:p>
    <w:p w:rsidR="00622197" w:rsidRDefault="00622197" w:rsidP="00622197">
      <w:pPr>
        <w:spacing w:after="240"/>
        <w:rPr>
          <w:b/>
          <w:color w:val="E36C0A" w:themeColor="accent6" w:themeShade="BF"/>
          <w:sz w:val="24"/>
          <w:szCs w:val="24"/>
          <w:u w:val="single"/>
          <w:lang w:val="en-GB"/>
        </w:rPr>
      </w:pPr>
      <w:r w:rsidRPr="00622197">
        <w:rPr>
          <w:b/>
          <w:bCs/>
          <w:color w:val="E36C0A" w:themeColor="accent6" w:themeShade="BF"/>
          <w:sz w:val="24"/>
          <w:szCs w:val="24"/>
          <w:u w:val="single"/>
          <w:lang w:val="en-GB"/>
        </w:rPr>
        <w:t xml:space="preserve">41st International Conference on Boundary Elements and other Mesh Reduction Methods 11–13 Sep 2018, </w:t>
      </w:r>
      <w:r w:rsidRPr="00622197">
        <w:rPr>
          <w:b/>
          <w:color w:val="E36C0A" w:themeColor="accent6" w:themeShade="BF"/>
          <w:sz w:val="24"/>
          <w:szCs w:val="24"/>
          <w:u w:val="single"/>
          <w:lang w:val="en-GB"/>
        </w:rPr>
        <w:t>Brockenhurst, United Kingdom</w:t>
      </w:r>
    </w:p>
    <w:p w:rsidR="00622197" w:rsidRPr="00622197" w:rsidRDefault="00622197" w:rsidP="00622197">
      <w:pPr>
        <w:spacing w:after="240"/>
        <w:rPr>
          <w:sz w:val="24"/>
          <w:szCs w:val="24"/>
          <w:lang w:val="en-GB"/>
        </w:rPr>
      </w:pPr>
      <w:r w:rsidRPr="00622197">
        <w:rPr>
          <w:sz w:val="24"/>
          <w:szCs w:val="24"/>
          <w:lang w:val="en-GB"/>
        </w:rPr>
        <w:t>This well-established conference acts as a forum to discuss new ideas and critically compare results before the solution and tools are released to end users.</w:t>
      </w:r>
    </w:p>
    <w:p w:rsidR="00622197" w:rsidRPr="00622197" w:rsidRDefault="00622197" w:rsidP="00EB7048">
      <w:pPr>
        <w:spacing w:before="120" w:after="120"/>
        <w:rPr>
          <w:sz w:val="24"/>
          <w:szCs w:val="24"/>
          <w:lang w:val="en-GB"/>
        </w:rPr>
      </w:pPr>
      <w:r w:rsidRPr="00622197">
        <w:rPr>
          <w:sz w:val="24"/>
          <w:szCs w:val="24"/>
          <w:lang w:val="en-GB"/>
        </w:rPr>
        <w:t>The meeting welcomes all stakeholders interested in the methods and particularly the participation of young researchers. Their new contributions have been the principal reason why the conference has continued to evolve.</w:t>
      </w:r>
    </w:p>
    <w:p w:rsidR="00622197" w:rsidRDefault="00622197" w:rsidP="00A82398">
      <w:pPr>
        <w:spacing w:after="120"/>
        <w:rPr>
          <w:sz w:val="24"/>
          <w:szCs w:val="24"/>
          <w:lang w:val="en-GB"/>
        </w:rPr>
      </w:pPr>
      <w:r w:rsidRPr="00622197">
        <w:rPr>
          <w:sz w:val="24"/>
          <w:szCs w:val="24"/>
          <w:lang w:val="en-GB"/>
        </w:rPr>
        <w:t xml:space="preserve">Theoretical advances and new foundations have been requested at the Conference for more than 40 years, helping to expand the range of applications as well as the type of materials in response to industrial and professional requirements. This ability to evolve is reflected in the history of the Conference which has ensured the success of the meetings as well as the establishment </w:t>
      </w:r>
      <w:r>
        <w:rPr>
          <w:sz w:val="24"/>
          <w:szCs w:val="24"/>
          <w:lang w:val="en-GB"/>
        </w:rPr>
        <w:t>of a community of stakeholders.</w:t>
      </w:r>
    </w:p>
    <w:p w:rsidR="00416A94" w:rsidRDefault="006C436C" w:rsidP="00622197">
      <w:pPr>
        <w:spacing w:after="240"/>
        <w:rPr>
          <w:rStyle w:val="Hyperlink"/>
          <w:sz w:val="24"/>
          <w:szCs w:val="24"/>
          <w:lang w:val="en-GB"/>
        </w:rPr>
      </w:pPr>
      <w:hyperlink r:id="rId34" w:history="1">
        <w:r w:rsidR="00622197" w:rsidRPr="00622197">
          <w:rPr>
            <w:rStyle w:val="Hyperlink"/>
            <w:sz w:val="24"/>
            <w:szCs w:val="24"/>
            <w:lang w:val="en-GB"/>
          </w:rPr>
          <w:t>More information and registration</w:t>
        </w:r>
      </w:hyperlink>
    </w:p>
    <w:p w:rsidR="00A82398" w:rsidRDefault="006736EF" w:rsidP="00FD09C7">
      <w:pPr>
        <w:spacing w:after="240"/>
        <w:rPr>
          <w:b/>
          <w:bCs/>
          <w:color w:val="E36C0A" w:themeColor="accent6" w:themeShade="BF"/>
          <w:sz w:val="24"/>
          <w:szCs w:val="24"/>
          <w:u w:val="single"/>
        </w:rPr>
      </w:pPr>
      <w:r>
        <w:rPr>
          <w:b/>
          <w:bCs/>
          <w:color w:val="E36C0A" w:themeColor="accent6" w:themeShade="BF"/>
          <w:sz w:val="24"/>
          <w:szCs w:val="24"/>
          <w:u w:val="single"/>
          <w:lang w:val="en-GB"/>
        </w:rPr>
        <w:t>ICSD 2018</w:t>
      </w:r>
      <w:r w:rsidR="00FD09C7" w:rsidRPr="00FD09C7">
        <w:rPr>
          <w:b/>
          <w:bCs/>
          <w:color w:val="E36C0A" w:themeColor="accent6" w:themeShade="BF"/>
          <w:sz w:val="24"/>
          <w:szCs w:val="24"/>
          <w:u w:val="single"/>
          <w:lang w:val="en-GB"/>
        </w:rPr>
        <w:t>: 6th International Conference on Sustainable Development, 12</w:t>
      </w:r>
      <w:r w:rsidR="00A82398">
        <w:rPr>
          <w:b/>
          <w:bCs/>
          <w:color w:val="E36C0A" w:themeColor="accent6" w:themeShade="BF"/>
          <w:sz w:val="24"/>
          <w:szCs w:val="24"/>
          <w:u w:val="single"/>
          <w:lang w:val="en-GB"/>
        </w:rPr>
        <w:t>-</w:t>
      </w:r>
      <w:r w:rsidR="00FD09C7" w:rsidRPr="00FD09C7">
        <w:rPr>
          <w:b/>
          <w:bCs/>
          <w:color w:val="E36C0A" w:themeColor="accent6" w:themeShade="BF"/>
          <w:sz w:val="24"/>
          <w:szCs w:val="24"/>
          <w:u w:val="single"/>
          <w:lang w:val="en-GB"/>
        </w:rPr>
        <w:t>13 September 2018</w:t>
      </w:r>
      <w:r w:rsidR="0077291C">
        <w:rPr>
          <w:b/>
          <w:bCs/>
          <w:color w:val="E36C0A" w:themeColor="accent6" w:themeShade="BF"/>
          <w:sz w:val="24"/>
          <w:szCs w:val="24"/>
          <w:u w:val="single"/>
          <w:lang w:val="en-GB"/>
        </w:rPr>
        <w:t>,</w:t>
      </w:r>
      <w:r w:rsidR="00FD09C7" w:rsidRPr="00FD09C7">
        <w:rPr>
          <w:b/>
          <w:bCs/>
          <w:color w:val="E36C0A" w:themeColor="accent6" w:themeShade="BF"/>
          <w:sz w:val="24"/>
          <w:szCs w:val="24"/>
          <w:u w:val="single"/>
          <w:lang w:val="en-GB"/>
        </w:rPr>
        <w:t xml:space="preserve"> Rome, Italy </w:t>
      </w:r>
    </w:p>
    <w:p w:rsidR="00FD09C7" w:rsidRPr="00FD09C7" w:rsidRDefault="00A82398" w:rsidP="00A82398">
      <w:pPr>
        <w:spacing w:after="120"/>
        <w:rPr>
          <w:sz w:val="24"/>
          <w:szCs w:val="24"/>
          <w:lang w:val="en-GB"/>
        </w:rPr>
      </w:pPr>
      <w:r>
        <w:rPr>
          <w:sz w:val="24"/>
          <w:szCs w:val="24"/>
          <w:lang w:val="en-GB"/>
        </w:rPr>
        <w:t xml:space="preserve">The </w:t>
      </w:r>
      <w:r w:rsidR="00FD09C7" w:rsidRPr="00FD09C7">
        <w:rPr>
          <w:sz w:val="24"/>
          <w:szCs w:val="24"/>
          <w:lang w:val="en-GB"/>
        </w:rPr>
        <w:t xml:space="preserve">European </w:t>
      </w:r>
      <w:proofErr w:type="spellStart"/>
      <w:r w:rsidR="00FD09C7" w:rsidRPr="00FD09C7">
        <w:rPr>
          <w:sz w:val="24"/>
          <w:szCs w:val="24"/>
          <w:lang w:val="en-GB"/>
        </w:rPr>
        <w:t>Center</w:t>
      </w:r>
      <w:proofErr w:type="spellEnd"/>
      <w:r w:rsidR="00FD09C7" w:rsidRPr="00FD09C7">
        <w:rPr>
          <w:sz w:val="24"/>
          <w:szCs w:val="24"/>
          <w:lang w:val="en-GB"/>
        </w:rPr>
        <w:t xml:space="preserve"> of Sustainable Development in collaboration with CIT University will organize the 6th ICSD 2018 </w:t>
      </w:r>
      <w:r w:rsidR="00FD09C7">
        <w:rPr>
          <w:sz w:val="24"/>
          <w:szCs w:val="24"/>
          <w:lang w:val="en-GB"/>
        </w:rPr>
        <w:t xml:space="preserve">in </w:t>
      </w:r>
      <w:r w:rsidR="00FD09C7" w:rsidRPr="00FD09C7">
        <w:rPr>
          <w:sz w:val="24"/>
          <w:szCs w:val="24"/>
          <w:lang w:val="en-GB"/>
        </w:rPr>
        <w:t>Rome</w:t>
      </w:r>
      <w:r w:rsidR="00FD09C7">
        <w:rPr>
          <w:sz w:val="24"/>
          <w:szCs w:val="24"/>
          <w:lang w:val="en-GB"/>
        </w:rPr>
        <w:t xml:space="preserve">. It </w:t>
      </w:r>
      <w:r w:rsidR="00FD09C7" w:rsidRPr="00FD09C7">
        <w:rPr>
          <w:sz w:val="24"/>
          <w:szCs w:val="24"/>
          <w:lang w:val="en-GB"/>
        </w:rPr>
        <w:t>will be an excellent opportunity to share your ideas and research findings relevant to the Sustainability Science,</w:t>
      </w:r>
      <w:r>
        <w:rPr>
          <w:sz w:val="24"/>
          <w:szCs w:val="24"/>
          <w:lang w:val="en-GB"/>
        </w:rPr>
        <w:t xml:space="preserve"> </w:t>
      </w:r>
      <w:r w:rsidR="00FD09C7" w:rsidRPr="00FD09C7">
        <w:rPr>
          <w:sz w:val="24"/>
          <w:szCs w:val="24"/>
          <w:lang w:val="en-GB"/>
        </w:rPr>
        <w:t>through the European network of academics</w:t>
      </w:r>
      <w:r>
        <w:rPr>
          <w:sz w:val="24"/>
          <w:szCs w:val="24"/>
          <w:lang w:val="en-GB"/>
        </w:rPr>
        <w:t>.</w:t>
      </w:r>
      <w:r w:rsidR="00FD09C7" w:rsidRPr="00FD09C7">
        <w:rPr>
          <w:sz w:val="24"/>
          <w:szCs w:val="24"/>
          <w:lang w:val="en-GB"/>
        </w:rPr>
        <w:t xml:space="preserve"> Papers will be published in EJSD Journal</w:t>
      </w:r>
      <w:r>
        <w:rPr>
          <w:sz w:val="24"/>
          <w:szCs w:val="24"/>
          <w:lang w:val="en-GB"/>
        </w:rPr>
        <w:t xml:space="preserve"> </w:t>
      </w:r>
      <w:r w:rsidR="00FD09C7" w:rsidRPr="00FD09C7">
        <w:rPr>
          <w:sz w:val="24"/>
          <w:szCs w:val="24"/>
          <w:lang w:val="en-GB"/>
        </w:rPr>
        <w:t>(Thompson Reuters) and Proceedings.</w:t>
      </w:r>
    </w:p>
    <w:p w:rsidR="00FD09C7" w:rsidRPr="00FD09C7" w:rsidRDefault="00FD09C7" w:rsidP="00A82398">
      <w:pPr>
        <w:spacing w:before="120" w:after="120"/>
        <w:rPr>
          <w:sz w:val="24"/>
          <w:szCs w:val="24"/>
          <w:lang w:val="en-GB"/>
        </w:rPr>
      </w:pPr>
      <w:r w:rsidRPr="00FD09C7">
        <w:rPr>
          <w:sz w:val="24"/>
          <w:szCs w:val="24"/>
          <w:lang w:val="en-GB"/>
        </w:rPr>
        <w:t xml:space="preserve">The Conference theme is: "Creating a unified foundation for the Sustainable Development: research, practice </w:t>
      </w:r>
      <w:proofErr w:type="spellStart"/>
      <w:r w:rsidRPr="00FD09C7">
        <w:rPr>
          <w:sz w:val="24"/>
          <w:szCs w:val="24"/>
          <w:lang w:val="en-GB"/>
        </w:rPr>
        <w:t>andeducation</w:t>
      </w:r>
      <w:proofErr w:type="spellEnd"/>
      <w:r w:rsidRPr="00FD09C7">
        <w:rPr>
          <w:sz w:val="24"/>
          <w:szCs w:val="24"/>
          <w:lang w:val="en-GB"/>
        </w:rPr>
        <w:t>".</w:t>
      </w:r>
    </w:p>
    <w:p w:rsidR="00622197" w:rsidRDefault="006C436C" w:rsidP="00A82398">
      <w:pPr>
        <w:spacing w:after="100" w:afterAutospacing="1"/>
        <w:rPr>
          <w:rStyle w:val="Hyperlink"/>
          <w:sz w:val="24"/>
          <w:szCs w:val="24"/>
          <w:lang w:val="en-GB"/>
        </w:rPr>
      </w:pPr>
      <w:hyperlink r:id="rId35" w:history="1">
        <w:r w:rsidR="00FD09C7" w:rsidRPr="00FD09C7">
          <w:rPr>
            <w:rStyle w:val="Hyperlink"/>
            <w:sz w:val="24"/>
            <w:szCs w:val="24"/>
            <w:lang w:val="en-GB"/>
          </w:rPr>
          <w:t>More information and registration</w:t>
        </w:r>
      </w:hyperlink>
    </w:p>
    <w:p w:rsidR="00D0176A" w:rsidRDefault="00D0176A" w:rsidP="00D0176A">
      <w:pPr>
        <w:spacing w:after="100" w:afterAutospacing="1"/>
        <w:rPr>
          <w:b/>
          <w:bCs/>
          <w:color w:val="E36C0A" w:themeColor="accent6" w:themeShade="BF"/>
          <w:sz w:val="24"/>
          <w:szCs w:val="24"/>
          <w:u w:val="single"/>
          <w:lang w:val="en"/>
        </w:rPr>
      </w:pPr>
      <w:r w:rsidRPr="00D0176A">
        <w:rPr>
          <w:b/>
          <w:bCs/>
          <w:color w:val="E36C0A" w:themeColor="accent6" w:themeShade="BF"/>
          <w:sz w:val="24"/>
          <w:szCs w:val="24"/>
          <w:u w:val="single"/>
          <w:lang w:val="en"/>
        </w:rPr>
        <w:t>HBP School - The Brain Simulation Platform of the Human Brain Project, 17-21 September 2018, Palermo, Italy</w:t>
      </w:r>
    </w:p>
    <w:p w:rsidR="00D0176A" w:rsidRPr="00D0176A" w:rsidRDefault="00D0176A" w:rsidP="00D0176A">
      <w:pPr>
        <w:spacing w:before="120" w:after="120"/>
        <w:rPr>
          <w:rFonts w:eastAsia="Times New Roman" w:cs="Times New Roman"/>
          <w:color w:val="4D4D4D"/>
          <w:sz w:val="24"/>
          <w:szCs w:val="24"/>
          <w:lang w:val="en" w:eastAsia="bg-BG"/>
        </w:rPr>
      </w:pPr>
      <w:r w:rsidRPr="00D0176A">
        <w:rPr>
          <w:rFonts w:eastAsia="Times New Roman" w:cs="Times New Roman"/>
          <w:color w:val="4D4D4D"/>
          <w:sz w:val="24"/>
          <w:szCs w:val="24"/>
          <w:lang w:val="en" w:eastAsia="bg-BG"/>
        </w:rPr>
        <w:t xml:space="preserve">This school will introduce participants to the Brain Simulation Platform (BSP) of the Human Brain Project (HBP), with the main aim to train users on how to exploit the possibilities offered by the platform to implement cellular level computational models, to use high performance analytics and computing platform systems to configure and run a simulation, and to </w:t>
      </w:r>
      <w:proofErr w:type="spellStart"/>
      <w:r w:rsidRPr="00D0176A">
        <w:rPr>
          <w:rFonts w:eastAsia="Times New Roman" w:cs="Times New Roman"/>
          <w:color w:val="4D4D4D"/>
          <w:sz w:val="24"/>
          <w:szCs w:val="24"/>
          <w:lang w:val="en" w:eastAsia="bg-BG"/>
        </w:rPr>
        <w:t>visualise</w:t>
      </w:r>
      <w:proofErr w:type="spellEnd"/>
      <w:r w:rsidRPr="00D0176A">
        <w:rPr>
          <w:rFonts w:eastAsia="Times New Roman" w:cs="Times New Roman"/>
          <w:color w:val="4D4D4D"/>
          <w:sz w:val="24"/>
          <w:szCs w:val="24"/>
          <w:lang w:val="en" w:eastAsia="bg-BG"/>
        </w:rPr>
        <w:t>/</w:t>
      </w:r>
      <w:proofErr w:type="spellStart"/>
      <w:r w:rsidRPr="00D0176A">
        <w:rPr>
          <w:rFonts w:eastAsia="Times New Roman" w:cs="Times New Roman"/>
          <w:color w:val="4D4D4D"/>
          <w:sz w:val="24"/>
          <w:szCs w:val="24"/>
          <w:lang w:val="en" w:eastAsia="bg-BG"/>
        </w:rPr>
        <w:t>analyse</w:t>
      </w:r>
      <w:proofErr w:type="spellEnd"/>
      <w:r w:rsidRPr="00D0176A">
        <w:rPr>
          <w:rFonts w:eastAsia="Times New Roman" w:cs="Times New Roman"/>
          <w:color w:val="4D4D4D"/>
          <w:sz w:val="24"/>
          <w:szCs w:val="24"/>
          <w:lang w:val="en" w:eastAsia="bg-BG"/>
        </w:rPr>
        <w:t xml:space="preserve"> the results. </w:t>
      </w:r>
    </w:p>
    <w:p w:rsidR="00D0176A" w:rsidRPr="00D0176A" w:rsidRDefault="00D0176A" w:rsidP="00F8700D">
      <w:pPr>
        <w:spacing w:before="120" w:after="120"/>
        <w:rPr>
          <w:rFonts w:eastAsia="Times New Roman" w:cs="Times New Roman"/>
          <w:color w:val="4D4D4D"/>
          <w:sz w:val="24"/>
          <w:szCs w:val="24"/>
          <w:lang w:val="en" w:eastAsia="bg-BG"/>
        </w:rPr>
      </w:pPr>
      <w:r w:rsidRPr="00D0176A">
        <w:rPr>
          <w:rFonts w:eastAsia="Times New Roman" w:cs="Times New Roman"/>
          <w:color w:val="4D4D4D"/>
          <w:sz w:val="24"/>
          <w:szCs w:val="24"/>
          <w:lang w:val="en" w:eastAsia="bg-BG"/>
        </w:rPr>
        <w:t xml:space="preserve">Both short lectures and longer afternoon activities will be delivered at a basic and intermediate level. Through tutorials and hands-on activities, attendees will learn how to interact with the BSP to carry out their own research, to set up and manage a data-driven collaborative project, or to use the BSP to interact with the HBP </w:t>
      </w:r>
      <w:proofErr w:type="spellStart"/>
      <w:r w:rsidRPr="00D0176A">
        <w:rPr>
          <w:rFonts w:eastAsia="Times New Roman" w:cs="Times New Roman"/>
          <w:color w:val="4D4D4D"/>
          <w:sz w:val="24"/>
          <w:szCs w:val="24"/>
          <w:lang w:val="en" w:eastAsia="bg-BG"/>
        </w:rPr>
        <w:t>Neuroinformatics</w:t>
      </w:r>
      <w:proofErr w:type="spellEnd"/>
      <w:r w:rsidRPr="00D0176A">
        <w:rPr>
          <w:rFonts w:eastAsia="Times New Roman" w:cs="Times New Roman"/>
          <w:color w:val="4D4D4D"/>
          <w:sz w:val="24"/>
          <w:szCs w:val="24"/>
          <w:lang w:val="en" w:eastAsia="bg-BG"/>
        </w:rPr>
        <w:t xml:space="preserve"> Platform. </w:t>
      </w:r>
    </w:p>
    <w:p w:rsidR="00F8700D" w:rsidRDefault="00D0176A" w:rsidP="00F8700D">
      <w:pPr>
        <w:spacing w:before="100" w:beforeAutospacing="1" w:after="100" w:afterAutospacing="1"/>
        <w:rPr>
          <w:rFonts w:eastAsia="Times New Roman" w:cs="Times New Roman"/>
          <w:color w:val="4D4D4D"/>
          <w:sz w:val="24"/>
          <w:szCs w:val="24"/>
          <w:lang w:val="en" w:eastAsia="bg-BG"/>
        </w:rPr>
      </w:pPr>
      <w:r w:rsidRPr="00D0176A">
        <w:rPr>
          <w:rFonts w:eastAsia="Times New Roman" w:cs="Times New Roman"/>
          <w:color w:val="4D4D4D"/>
          <w:sz w:val="24"/>
          <w:szCs w:val="24"/>
          <w:lang w:val="en" w:eastAsia="bg-BG"/>
        </w:rPr>
        <w:t xml:space="preserve">Participants will be encouraged to introduce new ideas and suggest ways to use their original experimental data/techniques to implement/use the multiscale neural model they would like to investigate. </w:t>
      </w:r>
    </w:p>
    <w:p w:rsidR="00F8700D" w:rsidRPr="00D0176A" w:rsidRDefault="006C436C" w:rsidP="00F8700D">
      <w:pPr>
        <w:spacing w:before="100" w:beforeAutospacing="1" w:after="100" w:afterAutospacing="1" w:line="240" w:lineRule="auto"/>
        <w:jc w:val="left"/>
        <w:rPr>
          <w:rFonts w:eastAsia="Times New Roman" w:cs="Times New Roman"/>
          <w:color w:val="4D4D4D"/>
          <w:sz w:val="24"/>
          <w:szCs w:val="24"/>
          <w:lang w:val="en" w:eastAsia="bg-BG"/>
        </w:rPr>
      </w:pPr>
      <w:hyperlink r:id="rId36" w:tgtFrame="_blank" w:history="1">
        <w:r w:rsidR="00F8700D" w:rsidRPr="00D0176A">
          <w:rPr>
            <w:rFonts w:eastAsia="Times New Roman" w:cs="Times New Roman"/>
            <w:color w:val="0000FF"/>
            <w:sz w:val="24"/>
            <w:szCs w:val="24"/>
            <w:u w:val="single"/>
            <w:lang w:val="en" w:eastAsia="bg-BG"/>
          </w:rPr>
          <w:t>More information and registration</w:t>
        </w:r>
      </w:hyperlink>
      <w:r w:rsidR="00F8700D" w:rsidRPr="00D0176A">
        <w:rPr>
          <w:rFonts w:eastAsia="Times New Roman" w:cs="Times New Roman"/>
          <w:color w:val="4D4D4D"/>
          <w:sz w:val="24"/>
          <w:szCs w:val="24"/>
          <w:lang w:val="en" w:eastAsia="bg-BG"/>
        </w:rPr>
        <w:t xml:space="preserve"> </w:t>
      </w:r>
    </w:p>
    <w:p w:rsidR="00F8700D" w:rsidRPr="00F8700D" w:rsidRDefault="00F8700D" w:rsidP="00F8700D">
      <w:pPr>
        <w:spacing w:after="100" w:afterAutospacing="1"/>
        <w:rPr>
          <w:rFonts w:eastAsia="Times New Roman" w:cs="Times New Roman"/>
          <w:b/>
          <w:bCs/>
          <w:color w:val="4D4D4D"/>
          <w:sz w:val="24"/>
          <w:szCs w:val="24"/>
          <w:lang w:val="en-US" w:eastAsia="bg-BG"/>
        </w:rPr>
      </w:pPr>
      <w:r w:rsidRPr="00F8700D">
        <w:rPr>
          <w:rFonts w:eastAsia="Times New Roman" w:cs="Times New Roman"/>
          <w:b/>
          <w:bCs/>
          <w:color w:val="E36C0A" w:themeColor="accent6" w:themeShade="BF"/>
          <w:sz w:val="24"/>
          <w:szCs w:val="24"/>
          <w:u w:val="single"/>
          <w:lang w:eastAsia="bg-BG"/>
        </w:rPr>
        <w:t>14th International Conference on Web Information Systems and Technologies - WEBIST 2018</w:t>
      </w:r>
      <w:r w:rsidRPr="00F8700D">
        <w:rPr>
          <w:rFonts w:eastAsia="Times New Roman" w:cs="Times New Roman"/>
          <w:b/>
          <w:bCs/>
          <w:color w:val="E36C0A" w:themeColor="accent6" w:themeShade="BF"/>
          <w:sz w:val="24"/>
          <w:szCs w:val="24"/>
          <w:u w:val="single"/>
          <w:lang w:val="en-US" w:eastAsia="bg-BG"/>
        </w:rPr>
        <w:t xml:space="preserve">, 18-20 September 2018, </w:t>
      </w:r>
      <w:r w:rsidRPr="00F8700D">
        <w:rPr>
          <w:rFonts w:eastAsia="Times New Roman" w:cs="Times New Roman"/>
          <w:b/>
          <w:color w:val="E36C0A" w:themeColor="accent6" w:themeShade="BF"/>
          <w:sz w:val="24"/>
          <w:szCs w:val="24"/>
          <w:u w:val="single"/>
          <w:lang w:eastAsia="bg-BG"/>
        </w:rPr>
        <w:t>Seville, Spain</w:t>
      </w:r>
    </w:p>
    <w:p w:rsidR="00F8700D" w:rsidRPr="00F8700D" w:rsidRDefault="00F8700D" w:rsidP="00F8700D">
      <w:pPr>
        <w:spacing w:before="120" w:after="120"/>
        <w:rPr>
          <w:rFonts w:eastAsia="Times New Roman" w:cs="Times New Roman"/>
          <w:bCs/>
          <w:iCs/>
          <w:sz w:val="24"/>
          <w:szCs w:val="24"/>
          <w:lang w:eastAsia="bg-BG"/>
        </w:rPr>
      </w:pPr>
      <w:r w:rsidRPr="00F8700D">
        <w:rPr>
          <w:rFonts w:eastAsia="Times New Roman" w:cs="Times New Roman"/>
          <w:bCs/>
          <w:iCs/>
          <w:sz w:val="24"/>
          <w:szCs w:val="24"/>
          <w:lang w:eastAsia="bg-BG"/>
        </w:rPr>
        <w:t>The purpose of the 14th International Conference on Web Information Systems and Technologies (WEBIST) is to bring together researchers, engineers and practitioners interested in the technological advances and business applications of web-based information systems.</w:t>
      </w:r>
    </w:p>
    <w:p w:rsidR="00F8700D" w:rsidRPr="00F8700D" w:rsidRDefault="00F8700D" w:rsidP="00D0176A">
      <w:pPr>
        <w:spacing w:before="120" w:after="120"/>
        <w:rPr>
          <w:rFonts w:eastAsia="Times New Roman" w:cs="Times New Roman"/>
          <w:color w:val="4D4D4D"/>
          <w:sz w:val="24"/>
          <w:szCs w:val="24"/>
          <w:lang w:eastAsia="bg-BG"/>
        </w:rPr>
      </w:pPr>
      <w:r w:rsidRPr="00F8700D">
        <w:rPr>
          <w:rFonts w:eastAsia="Times New Roman" w:cs="Times New Roman"/>
          <w:sz w:val="24"/>
          <w:szCs w:val="24"/>
          <w:lang w:val="en-US" w:eastAsia="bg-BG"/>
        </w:rPr>
        <w:t xml:space="preserve">More information: </w:t>
      </w:r>
      <w:r w:rsidRPr="00F8700D">
        <w:rPr>
          <w:rFonts w:eastAsia="Times New Roman" w:cs="Times New Roman"/>
          <w:sz w:val="24"/>
          <w:szCs w:val="24"/>
          <w:lang w:eastAsia="bg-BG"/>
        </w:rPr>
        <w:t xml:space="preserve"> </w:t>
      </w:r>
      <w:hyperlink r:id="rId37" w:history="1">
        <w:r w:rsidRPr="00F8700D">
          <w:rPr>
            <w:rStyle w:val="Hyperlink"/>
            <w:rFonts w:eastAsia="Times New Roman" w:cs="Times New Roman"/>
            <w:sz w:val="24"/>
            <w:szCs w:val="24"/>
            <w:lang w:eastAsia="bg-BG"/>
          </w:rPr>
          <w:t>http://www.webist.org/</w:t>
        </w:r>
      </w:hyperlink>
      <w:r w:rsidRPr="00F8700D">
        <w:rPr>
          <w:rFonts w:eastAsia="Times New Roman" w:cs="Times New Roman"/>
          <w:color w:val="4D4D4D"/>
          <w:sz w:val="24"/>
          <w:szCs w:val="24"/>
          <w:lang w:eastAsia="bg-BG"/>
        </w:rPr>
        <w:t xml:space="preserve"> </w:t>
      </w:r>
    </w:p>
    <w:p w:rsidR="00AD4190" w:rsidRPr="00F8700D" w:rsidRDefault="00AD4190" w:rsidP="00AD4190">
      <w:pPr>
        <w:spacing w:after="100" w:afterAutospacing="1"/>
        <w:rPr>
          <w:rFonts w:eastAsia="Times New Roman" w:cs="Times New Roman"/>
          <w:b/>
          <w:bCs/>
          <w:color w:val="4D4D4D"/>
          <w:sz w:val="24"/>
          <w:szCs w:val="24"/>
          <w:lang w:val="en-US" w:eastAsia="bg-BG"/>
        </w:rPr>
      </w:pPr>
      <w:r w:rsidRPr="00AD4190">
        <w:rPr>
          <w:rFonts w:eastAsia="Times New Roman" w:cs="Times New Roman"/>
          <w:b/>
          <w:bCs/>
          <w:color w:val="E36C0A" w:themeColor="accent6" w:themeShade="BF"/>
          <w:sz w:val="24"/>
          <w:szCs w:val="24"/>
          <w:u w:val="single"/>
          <w:lang w:eastAsia="bg-BG"/>
        </w:rPr>
        <w:t>10th International Conference on Knowledge Management and Information Sharing - KMIS 2018</w:t>
      </w:r>
      <w:r w:rsidRPr="00AD4190">
        <w:rPr>
          <w:rFonts w:eastAsia="Times New Roman" w:cs="Times New Roman"/>
          <w:b/>
          <w:bCs/>
          <w:color w:val="E36C0A" w:themeColor="accent6" w:themeShade="BF"/>
          <w:sz w:val="24"/>
          <w:szCs w:val="24"/>
          <w:u w:val="single"/>
          <w:lang w:val="en-US" w:eastAsia="bg-BG"/>
        </w:rPr>
        <w:t>, 18</w:t>
      </w:r>
      <w:r w:rsidRPr="00F8700D">
        <w:rPr>
          <w:rFonts w:eastAsia="Times New Roman" w:cs="Times New Roman"/>
          <w:b/>
          <w:bCs/>
          <w:color w:val="E36C0A" w:themeColor="accent6" w:themeShade="BF"/>
          <w:sz w:val="24"/>
          <w:szCs w:val="24"/>
          <w:u w:val="single"/>
          <w:lang w:val="en-US" w:eastAsia="bg-BG"/>
        </w:rPr>
        <w:t xml:space="preserve">-20 September 2018, </w:t>
      </w:r>
      <w:r w:rsidRPr="00F8700D">
        <w:rPr>
          <w:rFonts w:eastAsia="Times New Roman" w:cs="Times New Roman"/>
          <w:b/>
          <w:color w:val="E36C0A" w:themeColor="accent6" w:themeShade="BF"/>
          <w:sz w:val="24"/>
          <w:szCs w:val="24"/>
          <w:u w:val="single"/>
          <w:lang w:eastAsia="bg-BG"/>
        </w:rPr>
        <w:t>Seville, Spain</w:t>
      </w:r>
    </w:p>
    <w:p w:rsidR="00AD4190" w:rsidRPr="00AD4190" w:rsidRDefault="00AD4190" w:rsidP="00AD4190">
      <w:pPr>
        <w:spacing w:before="120" w:after="120"/>
        <w:rPr>
          <w:rFonts w:eastAsia="Times New Roman" w:cs="Times New Roman"/>
          <w:bCs/>
          <w:iCs/>
          <w:sz w:val="24"/>
          <w:szCs w:val="24"/>
          <w:lang w:eastAsia="bg-BG"/>
        </w:rPr>
      </w:pPr>
      <w:r w:rsidRPr="00AD4190">
        <w:rPr>
          <w:rFonts w:eastAsia="Times New Roman" w:cs="Times New Roman"/>
          <w:bCs/>
          <w:iCs/>
          <w:sz w:val="24"/>
          <w:szCs w:val="24"/>
          <w:lang w:eastAsia="bg-BG"/>
        </w:rPr>
        <w:t>Knowledge Management (KM) is a discipline concerned with the analysis and technical support of practices used in an organization to identify, create, represent, distribute and enable the adoption and leveraging of good practices embedded in collaborative settings and, in particular, in organizational processes.</w:t>
      </w:r>
    </w:p>
    <w:p w:rsidR="00F8700D" w:rsidRPr="00D0176A" w:rsidRDefault="00AD4190" w:rsidP="00D0176A">
      <w:pPr>
        <w:spacing w:before="120" w:after="120"/>
        <w:rPr>
          <w:rFonts w:eastAsia="Times New Roman" w:cs="Times New Roman"/>
          <w:color w:val="4D4D4D"/>
          <w:sz w:val="24"/>
          <w:szCs w:val="24"/>
          <w:lang w:val="en" w:eastAsia="bg-BG"/>
        </w:rPr>
      </w:pPr>
      <w:r w:rsidRPr="00AD4190">
        <w:rPr>
          <w:rFonts w:eastAsia="Times New Roman" w:cs="Times New Roman"/>
          <w:sz w:val="24"/>
          <w:szCs w:val="24"/>
          <w:lang w:val="en-US" w:eastAsia="bg-BG"/>
        </w:rPr>
        <w:t>More information</w:t>
      </w:r>
      <w:r>
        <w:rPr>
          <w:rFonts w:eastAsia="Times New Roman" w:cs="Times New Roman"/>
          <w:color w:val="4D4D4D"/>
          <w:sz w:val="24"/>
          <w:szCs w:val="24"/>
          <w:lang w:val="en-US" w:eastAsia="bg-BG"/>
        </w:rPr>
        <w:t xml:space="preserve">: </w:t>
      </w:r>
      <w:hyperlink r:id="rId38" w:history="1">
        <w:r w:rsidRPr="00AD4190">
          <w:rPr>
            <w:rStyle w:val="Hyperlink"/>
            <w:rFonts w:eastAsia="Times New Roman" w:cs="Times New Roman"/>
            <w:sz w:val="24"/>
            <w:szCs w:val="24"/>
            <w:lang w:eastAsia="bg-BG"/>
          </w:rPr>
          <w:t>http://www.kmis.ic3k.org/</w:t>
        </w:r>
      </w:hyperlink>
      <w:r w:rsidRPr="00AD4190">
        <w:rPr>
          <w:rFonts w:eastAsia="Times New Roman" w:cs="Times New Roman"/>
          <w:color w:val="4D4D4D"/>
          <w:sz w:val="24"/>
          <w:szCs w:val="24"/>
          <w:lang w:eastAsia="bg-BG"/>
        </w:rPr>
        <w:t xml:space="preserve"> </w:t>
      </w:r>
    </w:p>
    <w:p w:rsidR="009D4635" w:rsidRPr="00AE4692" w:rsidRDefault="009D4635" w:rsidP="009D4635">
      <w:pPr>
        <w:spacing w:after="0"/>
        <w:rPr>
          <w:b/>
          <w:bCs/>
          <w:color w:val="E36C0A" w:themeColor="accent6" w:themeShade="BF"/>
          <w:sz w:val="24"/>
          <w:szCs w:val="24"/>
          <w:u w:val="single"/>
          <w:lang w:val="en"/>
        </w:rPr>
      </w:pPr>
      <w:r w:rsidRPr="00AE4692">
        <w:rPr>
          <w:b/>
          <w:bCs/>
          <w:color w:val="E36C0A" w:themeColor="accent6" w:themeShade="BF"/>
          <w:sz w:val="24"/>
          <w:szCs w:val="24"/>
          <w:u w:val="single"/>
          <w:lang w:val="en"/>
        </w:rPr>
        <w:t>Life Sciences Baltics 2018, 26-27 September 2018, Vilnius, Lithuania</w:t>
      </w:r>
    </w:p>
    <w:p w:rsidR="009D4635" w:rsidRPr="009D4635" w:rsidRDefault="009D4635" w:rsidP="00AE4692">
      <w:pPr>
        <w:spacing w:before="200" w:after="0"/>
        <w:rPr>
          <w:sz w:val="24"/>
          <w:szCs w:val="24"/>
          <w:lang w:val="en"/>
        </w:rPr>
      </w:pPr>
      <w:r w:rsidRPr="009D4635">
        <w:rPr>
          <w:sz w:val="24"/>
          <w:szCs w:val="24"/>
          <w:lang w:val="en"/>
        </w:rPr>
        <w:t xml:space="preserve">Life Sciences Baltics 2018 is the only international forum in the Baltics for world-class biotechnology, pharmaceutical and medical devices experts from all around the world. </w:t>
      </w:r>
    </w:p>
    <w:p w:rsidR="009D4635" w:rsidRPr="009D4635" w:rsidRDefault="009D4635" w:rsidP="009D4635">
      <w:pPr>
        <w:spacing w:after="0"/>
        <w:rPr>
          <w:sz w:val="24"/>
          <w:szCs w:val="24"/>
          <w:lang w:val="en"/>
        </w:rPr>
      </w:pPr>
      <w:r w:rsidRPr="009D4635">
        <w:rPr>
          <w:sz w:val="24"/>
          <w:szCs w:val="24"/>
          <w:lang w:val="en"/>
        </w:rPr>
        <w:t xml:space="preserve">It provides a unique opportunity to explore the new horizons of partnerships, exchange ideas and seek progress through networking. </w:t>
      </w:r>
    </w:p>
    <w:p w:rsidR="009D4635" w:rsidRPr="009D4635" w:rsidRDefault="009D4635" w:rsidP="00AE4692">
      <w:pPr>
        <w:spacing w:before="120" w:after="120"/>
        <w:rPr>
          <w:sz w:val="24"/>
          <w:szCs w:val="24"/>
          <w:lang w:val="en"/>
        </w:rPr>
      </w:pPr>
      <w:r w:rsidRPr="009D4635">
        <w:rPr>
          <w:sz w:val="24"/>
          <w:szCs w:val="24"/>
          <w:lang w:val="en"/>
        </w:rPr>
        <w:lastRenderedPageBreak/>
        <w:t xml:space="preserve">Discover enormous potential and passion in the field of life sciences in Lithuania and the Baltics – the gateway to emerging markets. </w:t>
      </w:r>
    </w:p>
    <w:p w:rsidR="009D4635" w:rsidRDefault="006C436C" w:rsidP="00AE4692">
      <w:pPr>
        <w:spacing w:after="240"/>
        <w:rPr>
          <w:sz w:val="24"/>
          <w:szCs w:val="24"/>
          <w:lang w:val="en"/>
        </w:rPr>
      </w:pPr>
      <w:hyperlink r:id="rId39" w:tgtFrame="_blank" w:history="1">
        <w:r w:rsidR="009D4635" w:rsidRPr="009D4635">
          <w:rPr>
            <w:rStyle w:val="Hyperlink"/>
            <w:sz w:val="24"/>
            <w:szCs w:val="24"/>
            <w:lang w:val="en"/>
          </w:rPr>
          <w:t>More information and registration</w:t>
        </w:r>
      </w:hyperlink>
      <w:r w:rsidR="009D4635" w:rsidRPr="009D4635">
        <w:rPr>
          <w:sz w:val="24"/>
          <w:szCs w:val="24"/>
          <w:lang w:val="en"/>
        </w:rPr>
        <w:t xml:space="preserve"> </w:t>
      </w:r>
    </w:p>
    <w:p w:rsidR="0077291C" w:rsidRPr="0077291C" w:rsidRDefault="0077291C" w:rsidP="0077291C">
      <w:pPr>
        <w:spacing w:after="240"/>
        <w:rPr>
          <w:b/>
          <w:bCs/>
          <w:color w:val="E36C0A" w:themeColor="accent6" w:themeShade="BF"/>
          <w:sz w:val="24"/>
          <w:szCs w:val="24"/>
          <w:u w:val="single"/>
          <w:lang w:val="en"/>
        </w:rPr>
      </w:pPr>
      <w:r w:rsidRPr="0077291C">
        <w:rPr>
          <w:b/>
          <w:bCs/>
          <w:color w:val="E36C0A" w:themeColor="accent6" w:themeShade="BF"/>
          <w:sz w:val="24"/>
          <w:szCs w:val="24"/>
          <w:u w:val="single"/>
          <w:lang w:val="en"/>
        </w:rPr>
        <w:t>Human biomonitoring in Europe – science and policy for healthy citizens, 28 September 2018, Vienna, Austria</w:t>
      </w:r>
    </w:p>
    <w:p w:rsidR="0077291C" w:rsidRPr="0077291C" w:rsidRDefault="0077291C" w:rsidP="0077291C">
      <w:pPr>
        <w:spacing w:after="120"/>
        <w:rPr>
          <w:bCs/>
          <w:sz w:val="24"/>
          <w:szCs w:val="24"/>
          <w:lang w:val="en"/>
        </w:rPr>
      </w:pPr>
      <w:r w:rsidRPr="0077291C">
        <w:rPr>
          <w:bCs/>
          <w:sz w:val="24"/>
          <w:szCs w:val="24"/>
          <w:lang w:val="en"/>
        </w:rPr>
        <w:t>Co-</w:t>
      </w:r>
      <w:proofErr w:type="spellStart"/>
      <w:r w:rsidRPr="0077291C">
        <w:rPr>
          <w:bCs/>
          <w:sz w:val="24"/>
          <w:szCs w:val="24"/>
          <w:lang w:val="en"/>
        </w:rPr>
        <w:t>organised</w:t>
      </w:r>
      <w:proofErr w:type="spellEnd"/>
      <w:r w:rsidRPr="0077291C">
        <w:rPr>
          <w:bCs/>
          <w:sz w:val="24"/>
          <w:szCs w:val="24"/>
          <w:lang w:val="en"/>
        </w:rPr>
        <w:t xml:space="preserve"> with the European Commission Directorate General for Research and Innovation, this conference will demonstrate how human biomonitoring activities contribute to science, policy making and citizens' awareness raising.</w:t>
      </w:r>
    </w:p>
    <w:p w:rsidR="0077291C" w:rsidRPr="0077291C" w:rsidRDefault="0077291C" w:rsidP="0077291C">
      <w:pPr>
        <w:spacing w:before="120" w:after="120"/>
        <w:rPr>
          <w:bCs/>
          <w:sz w:val="24"/>
          <w:szCs w:val="24"/>
          <w:lang w:val="en"/>
        </w:rPr>
      </w:pPr>
      <w:r w:rsidRPr="0077291C">
        <w:rPr>
          <w:bCs/>
          <w:sz w:val="24"/>
          <w:szCs w:val="24"/>
          <w:lang w:val="en"/>
        </w:rPr>
        <w:t>Participants will see new results emerging from the Horizon 2020 co-financed European Human Biomonitoring Initiative (</w:t>
      </w:r>
      <w:hyperlink r:id="rId40" w:history="1">
        <w:r w:rsidRPr="0077291C">
          <w:rPr>
            <w:rStyle w:val="Hyperlink"/>
            <w:bCs/>
            <w:sz w:val="24"/>
            <w:szCs w:val="24"/>
            <w:lang w:val="en"/>
          </w:rPr>
          <w:t>HBM4EU</w:t>
        </w:r>
      </w:hyperlink>
      <w:r w:rsidRPr="0077291C">
        <w:rPr>
          <w:bCs/>
          <w:sz w:val="24"/>
          <w:szCs w:val="24"/>
          <w:lang w:val="en"/>
        </w:rPr>
        <w:t>) and will discuss the future of HBM in Europe.</w:t>
      </w:r>
    </w:p>
    <w:p w:rsidR="0077291C" w:rsidRPr="0077291C" w:rsidRDefault="0077291C" w:rsidP="0077291C">
      <w:pPr>
        <w:spacing w:before="120" w:after="120"/>
        <w:rPr>
          <w:bCs/>
          <w:sz w:val="24"/>
          <w:szCs w:val="24"/>
          <w:lang w:val="en"/>
        </w:rPr>
      </w:pPr>
      <w:r w:rsidRPr="0077291C">
        <w:rPr>
          <w:bCs/>
          <w:sz w:val="24"/>
          <w:szCs w:val="24"/>
          <w:lang w:val="en"/>
        </w:rPr>
        <w:t xml:space="preserve">The agenda and registration modalities, information about the venue and accommodation possibilities can be found on the </w:t>
      </w:r>
      <w:hyperlink r:id="rId41" w:history="1">
        <w:r w:rsidRPr="0077291C">
          <w:rPr>
            <w:rStyle w:val="Hyperlink"/>
            <w:bCs/>
            <w:sz w:val="24"/>
            <w:szCs w:val="24"/>
            <w:lang w:val="en"/>
          </w:rPr>
          <w:t>conference website</w:t>
        </w:r>
      </w:hyperlink>
      <w:r w:rsidRPr="0077291C">
        <w:rPr>
          <w:bCs/>
          <w:sz w:val="24"/>
          <w:szCs w:val="24"/>
          <w:lang w:val="en"/>
        </w:rPr>
        <w:t>.</w:t>
      </w:r>
    </w:p>
    <w:p w:rsidR="0077291C" w:rsidRPr="0077291C" w:rsidRDefault="0077291C" w:rsidP="0077291C">
      <w:pPr>
        <w:spacing w:before="120" w:after="120"/>
        <w:rPr>
          <w:bCs/>
          <w:sz w:val="24"/>
          <w:szCs w:val="24"/>
          <w:lang w:val="en"/>
        </w:rPr>
      </w:pPr>
      <w:r w:rsidRPr="0077291C">
        <w:rPr>
          <w:bCs/>
          <w:sz w:val="24"/>
          <w:szCs w:val="24"/>
          <w:lang w:val="en"/>
        </w:rPr>
        <w:t>Please note that due to the size of the venue the registration will close when the maximum number of participants has been reached.</w:t>
      </w:r>
    </w:p>
    <w:p w:rsidR="0077291C" w:rsidRPr="0077291C" w:rsidRDefault="0077291C" w:rsidP="0077291C">
      <w:pPr>
        <w:tabs>
          <w:tab w:val="num" w:pos="720"/>
        </w:tabs>
        <w:spacing w:after="240"/>
        <w:rPr>
          <w:bCs/>
          <w:sz w:val="24"/>
          <w:szCs w:val="24"/>
          <w:lang w:val="en"/>
        </w:rPr>
      </w:pPr>
      <w:r>
        <w:rPr>
          <w:bCs/>
          <w:sz w:val="24"/>
          <w:szCs w:val="24"/>
          <w:lang w:val="en"/>
        </w:rPr>
        <w:t xml:space="preserve">More </w:t>
      </w:r>
      <w:r w:rsidRPr="0077291C">
        <w:rPr>
          <w:bCs/>
          <w:sz w:val="24"/>
          <w:szCs w:val="24"/>
          <w:lang w:val="en"/>
        </w:rPr>
        <w:t>information</w:t>
      </w:r>
      <w:r>
        <w:rPr>
          <w:bCs/>
          <w:sz w:val="24"/>
          <w:szCs w:val="24"/>
          <w:lang w:val="en"/>
        </w:rPr>
        <w:t xml:space="preserve">: </w:t>
      </w:r>
      <w:hyperlink r:id="rId42" w:tgtFrame="_blank" w:history="1">
        <w:r w:rsidRPr="0077291C">
          <w:rPr>
            <w:rStyle w:val="Hyperlink"/>
            <w:bCs/>
            <w:sz w:val="24"/>
            <w:szCs w:val="24"/>
            <w:lang w:val="en"/>
          </w:rPr>
          <w:t>Conference website</w:t>
        </w:r>
      </w:hyperlink>
      <w:r w:rsidRPr="0077291C">
        <w:rPr>
          <w:bCs/>
          <w:sz w:val="24"/>
          <w:szCs w:val="24"/>
          <w:lang w:val="en"/>
        </w:rPr>
        <w:t xml:space="preserve"> </w:t>
      </w:r>
    </w:p>
    <w:p w:rsidR="004504AB" w:rsidRPr="00A82398" w:rsidRDefault="004504AB" w:rsidP="004504AB">
      <w:pPr>
        <w:spacing w:after="240"/>
        <w:rPr>
          <w:b/>
          <w:bCs/>
          <w:color w:val="E36C0A" w:themeColor="accent6" w:themeShade="BF"/>
          <w:sz w:val="24"/>
          <w:szCs w:val="24"/>
          <w:u w:val="single"/>
          <w:lang w:val="en"/>
        </w:rPr>
      </w:pPr>
      <w:r w:rsidRPr="00A82398">
        <w:rPr>
          <w:b/>
          <w:bCs/>
          <w:color w:val="E36C0A" w:themeColor="accent6" w:themeShade="BF"/>
          <w:sz w:val="24"/>
          <w:szCs w:val="24"/>
          <w:u w:val="single"/>
          <w:lang w:val="en"/>
        </w:rPr>
        <w:t>Ensuring Excellent Research by Investing in Researchers' Talents, Skills &amp; Career Development, 2 October 2018, Brussels, Belgium</w:t>
      </w:r>
    </w:p>
    <w:p w:rsidR="004504AB" w:rsidRPr="004504AB" w:rsidRDefault="004504AB" w:rsidP="004504AB">
      <w:pPr>
        <w:spacing w:after="240"/>
        <w:rPr>
          <w:bCs/>
          <w:sz w:val="24"/>
          <w:szCs w:val="24"/>
          <w:lang w:val="en"/>
        </w:rPr>
      </w:pPr>
      <w:r w:rsidRPr="004504AB">
        <w:rPr>
          <w:bCs/>
          <w:sz w:val="24"/>
          <w:szCs w:val="24"/>
          <w:lang w:val="en"/>
        </w:rPr>
        <w:t xml:space="preserve">INFO-DAY - Implementing the Human Resources Strategy to comply with art. 32 of the H2020 multi-beneficiary grant agreement- </w:t>
      </w:r>
    </w:p>
    <w:p w:rsidR="004504AB" w:rsidRPr="004504AB" w:rsidRDefault="004504AB" w:rsidP="004504AB">
      <w:pPr>
        <w:spacing w:after="240"/>
        <w:rPr>
          <w:bCs/>
          <w:sz w:val="24"/>
          <w:szCs w:val="24"/>
          <w:lang w:val="en"/>
        </w:rPr>
      </w:pPr>
      <w:r w:rsidRPr="004504AB">
        <w:rPr>
          <w:bCs/>
          <w:sz w:val="24"/>
          <w:szCs w:val="24"/>
          <w:lang w:val="en"/>
        </w:rPr>
        <w:t xml:space="preserve">The event addresses universities, research institutions and research funders investing in researchers’ talents, skills and career development. It also addresses beneficiaries and potential applicants of H2020 contracts/projects who have to comply with article 32 stipulating the need to take measures to implement the European Charter and Code (C &amp; C) for the benefit of all researchers and their institution. </w:t>
      </w:r>
    </w:p>
    <w:p w:rsidR="004504AB" w:rsidRPr="004504AB" w:rsidRDefault="004504AB" w:rsidP="00A82398">
      <w:pPr>
        <w:spacing w:after="120"/>
        <w:rPr>
          <w:bCs/>
          <w:sz w:val="24"/>
          <w:szCs w:val="24"/>
          <w:lang w:val="en"/>
        </w:rPr>
      </w:pPr>
      <w:r w:rsidRPr="004504AB">
        <w:rPr>
          <w:bCs/>
          <w:sz w:val="24"/>
          <w:szCs w:val="24"/>
          <w:lang w:val="en"/>
        </w:rPr>
        <w:t xml:space="preserve">It also brings forward issues related to skills and talent management in an Open Science environment closely linked to the European Framework for Research Careers. Seven invited high-level speakers from different European research or funding institutions will evidence benefits and impact, showcase improved training opportunities, career development and talents and skills management in their respective institutions. </w:t>
      </w:r>
    </w:p>
    <w:p w:rsidR="00416A94" w:rsidRDefault="006C436C" w:rsidP="004504AB">
      <w:pPr>
        <w:spacing w:after="240"/>
        <w:rPr>
          <w:bCs/>
          <w:sz w:val="24"/>
          <w:szCs w:val="24"/>
          <w:lang w:val="en"/>
        </w:rPr>
      </w:pPr>
      <w:hyperlink r:id="rId43" w:tgtFrame="_blank" w:history="1">
        <w:r w:rsidR="004504AB" w:rsidRPr="004504AB">
          <w:rPr>
            <w:rStyle w:val="Hyperlink"/>
            <w:bCs/>
            <w:sz w:val="24"/>
            <w:szCs w:val="24"/>
            <w:lang w:val="en"/>
          </w:rPr>
          <w:t>More information and registration</w:t>
        </w:r>
      </w:hyperlink>
      <w:r w:rsidR="004504AB" w:rsidRPr="004504AB">
        <w:rPr>
          <w:bCs/>
          <w:sz w:val="24"/>
          <w:szCs w:val="24"/>
          <w:lang w:val="en"/>
        </w:rPr>
        <w:t xml:space="preserve"> </w:t>
      </w:r>
    </w:p>
    <w:p w:rsidR="00061D96" w:rsidRPr="00AE4692" w:rsidRDefault="00061D96" w:rsidP="00AE4692">
      <w:pPr>
        <w:rPr>
          <w:b/>
          <w:bCs/>
          <w:color w:val="E36C0A" w:themeColor="accent6" w:themeShade="BF"/>
          <w:sz w:val="24"/>
          <w:szCs w:val="24"/>
          <w:u w:val="single"/>
          <w:lang w:val="en-GB"/>
        </w:rPr>
      </w:pPr>
      <w:r w:rsidRPr="00AE4692">
        <w:rPr>
          <w:b/>
          <w:bCs/>
          <w:color w:val="E36C0A" w:themeColor="accent6" w:themeShade="BF"/>
          <w:sz w:val="24"/>
          <w:szCs w:val="24"/>
          <w:u w:val="single"/>
          <w:lang w:val="en-GB"/>
        </w:rPr>
        <w:t xml:space="preserve">4th EUA Funding Forum: Frameworks that empower, universities that deliver, 18 - 19 October 2018, </w:t>
      </w:r>
      <w:r w:rsidRPr="00AE4692">
        <w:rPr>
          <w:b/>
          <w:color w:val="E36C0A" w:themeColor="accent6" w:themeShade="BF"/>
          <w:sz w:val="24"/>
          <w:szCs w:val="24"/>
          <w:u w:val="single"/>
          <w:lang w:val="en-GB"/>
        </w:rPr>
        <w:t>Barcelona, Spain</w:t>
      </w:r>
    </w:p>
    <w:p w:rsidR="00061D96" w:rsidRPr="00061D96" w:rsidRDefault="00061D96" w:rsidP="00AE4692">
      <w:pPr>
        <w:spacing w:before="200" w:after="0"/>
        <w:rPr>
          <w:sz w:val="24"/>
          <w:szCs w:val="24"/>
          <w:lang w:val="en-GB"/>
        </w:rPr>
      </w:pPr>
      <w:r w:rsidRPr="00061D96">
        <w:rPr>
          <w:sz w:val="24"/>
          <w:szCs w:val="24"/>
          <w:lang w:val="en-GB"/>
        </w:rPr>
        <w:t xml:space="preserve">The 2018 EUA Funding Forum will </w:t>
      </w:r>
      <w:r>
        <w:rPr>
          <w:sz w:val="24"/>
          <w:szCs w:val="24"/>
          <w:lang w:val="en-GB"/>
        </w:rPr>
        <w:t>be h</w:t>
      </w:r>
      <w:r w:rsidRPr="00061D96">
        <w:rPr>
          <w:sz w:val="24"/>
          <w:szCs w:val="24"/>
          <w:lang w:val="en-GB"/>
        </w:rPr>
        <w:t xml:space="preserve">osted by Ramon </w:t>
      </w:r>
      <w:proofErr w:type="spellStart"/>
      <w:r w:rsidRPr="00061D96">
        <w:rPr>
          <w:sz w:val="24"/>
          <w:szCs w:val="24"/>
          <w:lang w:val="en-GB"/>
        </w:rPr>
        <w:t>Llull</w:t>
      </w:r>
      <w:proofErr w:type="spellEnd"/>
      <w:r w:rsidRPr="00061D96">
        <w:rPr>
          <w:sz w:val="24"/>
          <w:szCs w:val="24"/>
          <w:lang w:val="en-GB"/>
        </w:rPr>
        <w:t xml:space="preserve"> University </w:t>
      </w:r>
      <w:r>
        <w:rPr>
          <w:sz w:val="24"/>
          <w:szCs w:val="24"/>
          <w:lang w:val="en-GB"/>
        </w:rPr>
        <w:t xml:space="preserve">and will </w:t>
      </w:r>
      <w:r w:rsidRPr="00061D96">
        <w:rPr>
          <w:sz w:val="24"/>
          <w:szCs w:val="24"/>
          <w:lang w:val="en-GB"/>
        </w:rPr>
        <w:t xml:space="preserve">focus on discussion and exchange of experiences among university leaders and managers and policy-makers. Keep yourself updated about the latest trends in university funding and governance </w:t>
      </w:r>
      <w:r w:rsidRPr="00061D96">
        <w:rPr>
          <w:sz w:val="24"/>
          <w:szCs w:val="24"/>
          <w:lang w:val="en-GB"/>
        </w:rPr>
        <w:lastRenderedPageBreak/>
        <w:t xml:space="preserve">and enjoy a highly interactive event that will give you new insights and inspiration to take home. </w:t>
      </w:r>
    </w:p>
    <w:p w:rsidR="00061D96" w:rsidRPr="00061D96" w:rsidRDefault="006C436C" w:rsidP="009A3C84">
      <w:pPr>
        <w:spacing w:after="100" w:afterAutospacing="1"/>
        <w:rPr>
          <w:sz w:val="24"/>
          <w:szCs w:val="24"/>
          <w:lang w:val="en-GB"/>
        </w:rPr>
      </w:pPr>
      <w:hyperlink r:id="rId44" w:history="1">
        <w:r w:rsidR="00061D96" w:rsidRPr="00061D96">
          <w:rPr>
            <w:rStyle w:val="Hyperlink"/>
            <w:sz w:val="24"/>
            <w:szCs w:val="24"/>
            <w:lang w:val="en-GB"/>
          </w:rPr>
          <w:t>More information</w:t>
        </w:r>
      </w:hyperlink>
    </w:p>
    <w:p w:rsidR="001E28A0" w:rsidRPr="002D21DB" w:rsidRDefault="001E28A0" w:rsidP="00FC5246">
      <w:pPr>
        <w:spacing w:after="100" w:afterAutospacing="1"/>
        <w:rPr>
          <w:b/>
          <w:color w:val="E36C0A" w:themeColor="accent6" w:themeShade="BF"/>
          <w:sz w:val="24"/>
          <w:szCs w:val="24"/>
          <w:u w:val="single"/>
          <w:lang w:val="en"/>
        </w:rPr>
      </w:pPr>
      <w:r w:rsidRPr="002D21DB">
        <w:rPr>
          <w:b/>
          <w:bCs/>
          <w:color w:val="E36C0A" w:themeColor="accent6" w:themeShade="BF"/>
          <w:sz w:val="24"/>
          <w:szCs w:val="24"/>
          <w:u w:val="single"/>
          <w:lang w:val="en-GB"/>
        </w:rPr>
        <w:t>13th European Quality Assurance Forum</w:t>
      </w:r>
      <w:r w:rsidRPr="002D21DB">
        <w:rPr>
          <w:b/>
          <w:color w:val="E36C0A" w:themeColor="accent6" w:themeShade="BF"/>
          <w:sz w:val="24"/>
          <w:szCs w:val="24"/>
          <w:u w:val="single"/>
          <w:lang w:val="en"/>
        </w:rPr>
        <w:t>, 15-17 November 2018, Vienna, Austria</w:t>
      </w:r>
    </w:p>
    <w:p w:rsidR="001E28A0" w:rsidRDefault="002D21DB" w:rsidP="00FC5246">
      <w:pPr>
        <w:spacing w:after="120"/>
        <w:rPr>
          <w:sz w:val="24"/>
          <w:szCs w:val="24"/>
          <w:lang w:val="en"/>
        </w:rPr>
      </w:pPr>
      <w:r w:rsidRPr="002D21DB">
        <w:rPr>
          <w:sz w:val="24"/>
          <w:szCs w:val="24"/>
          <w:lang w:val="en-GB"/>
        </w:rPr>
        <w:t>The 13th EQAF will explore how institutions and agencies build quality assurance systems that look at the full range of institutional activities, including learning and teaching, research, governance and administration, and service to society.</w:t>
      </w:r>
    </w:p>
    <w:p w:rsidR="001E28A0" w:rsidRPr="00AF1320" w:rsidRDefault="006C436C" w:rsidP="009A3C84">
      <w:pPr>
        <w:spacing w:after="100" w:afterAutospacing="1"/>
        <w:rPr>
          <w:sz w:val="24"/>
          <w:szCs w:val="24"/>
          <w:lang w:val="en"/>
        </w:rPr>
      </w:pPr>
      <w:hyperlink r:id="rId45" w:history="1">
        <w:r w:rsidR="002D21DB" w:rsidRPr="002D21DB">
          <w:rPr>
            <w:rStyle w:val="Hyperlink"/>
            <w:sz w:val="24"/>
            <w:szCs w:val="24"/>
            <w:lang w:val="en"/>
          </w:rPr>
          <w:t>More information and registration</w:t>
        </w:r>
      </w:hyperlink>
    </w:p>
    <w:p w:rsidR="009A3C84" w:rsidRPr="009A3C84" w:rsidRDefault="009A3C84" w:rsidP="009A3C84">
      <w:pPr>
        <w:rPr>
          <w:b/>
          <w:bCs/>
          <w:color w:val="E36C0A" w:themeColor="accent6" w:themeShade="BF"/>
          <w:sz w:val="24"/>
          <w:szCs w:val="24"/>
          <w:u w:val="single"/>
          <w:lang w:val="en"/>
        </w:rPr>
      </w:pPr>
      <w:proofErr w:type="spellStart"/>
      <w:r w:rsidRPr="009A3C84">
        <w:rPr>
          <w:b/>
          <w:bCs/>
          <w:color w:val="E36C0A" w:themeColor="accent6" w:themeShade="BF"/>
          <w:sz w:val="24"/>
          <w:szCs w:val="24"/>
          <w:u w:val="single"/>
          <w:lang w:val="en"/>
        </w:rPr>
        <w:t>ICPerMed</w:t>
      </w:r>
      <w:proofErr w:type="spellEnd"/>
      <w:r w:rsidRPr="009A3C84">
        <w:rPr>
          <w:b/>
          <w:bCs/>
          <w:color w:val="E36C0A" w:themeColor="accent6" w:themeShade="BF"/>
          <w:sz w:val="24"/>
          <w:szCs w:val="24"/>
          <w:u w:val="single"/>
          <w:lang w:val="en"/>
        </w:rPr>
        <w:t xml:space="preserve"> Conference 2018 '</w:t>
      </w:r>
      <w:proofErr w:type="spellStart"/>
      <w:r w:rsidRPr="009A3C84">
        <w:rPr>
          <w:b/>
          <w:bCs/>
          <w:color w:val="E36C0A" w:themeColor="accent6" w:themeShade="BF"/>
          <w:sz w:val="24"/>
          <w:szCs w:val="24"/>
          <w:u w:val="single"/>
          <w:lang w:val="en"/>
        </w:rPr>
        <w:t>Personalised</w:t>
      </w:r>
      <w:proofErr w:type="spellEnd"/>
      <w:r w:rsidRPr="009A3C84">
        <w:rPr>
          <w:b/>
          <w:bCs/>
          <w:color w:val="E36C0A" w:themeColor="accent6" w:themeShade="BF"/>
          <w:sz w:val="24"/>
          <w:szCs w:val="24"/>
          <w:u w:val="single"/>
          <w:lang w:val="en"/>
        </w:rPr>
        <w:t xml:space="preserve"> Medicine in Action', 20-21 November 2018, Berlin, Germany</w:t>
      </w:r>
    </w:p>
    <w:p w:rsidR="009A3C84" w:rsidRPr="009A3C84" w:rsidRDefault="009A3C84" w:rsidP="009A3C84">
      <w:pPr>
        <w:spacing w:after="120"/>
        <w:rPr>
          <w:sz w:val="24"/>
          <w:szCs w:val="24"/>
          <w:lang w:val="en"/>
        </w:rPr>
      </w:pPr>
      <w:r w:rsidRPr="009A3C84">
        <w:rPr>
          <w:sz w:val="24"/>
          <w:szCs w:val="24"/>
          <w:lang w:val="en"/>
        </w:rPr>
        <w:t xml:space="preserve">The first </w:t>
      </w:r>
      <w:proofErr w:type="spellStart"/>
      <w:r w:rsidRPr="009A3C84">
        <w:rPr>
          <w:sz w:val="24"/>
          <w:szCs w:val="24"/>
          <w:lang w:val="en"/>
        </w:rPr>
        <w:t>ICPerMed</w:t>
      </w:r>
      <w:proofErr w:type="spellEnd"/>
      <w:r w:rsidRPr="009A3C84">
        <w:rPr>
          <w:sz w:val="24"/>
          <w:szCs w:val="24"/>
          <w:lang w:val="en"/>
        </w:rPr>
        <w:t xml:space="preserve"> Conference '</w:t>
      </w:r>
      <w:proofErr w:type="spellStart"/>
      <w:r w:rsidRPr="009A3C84">
        <w:rPr>
          <w:sz w:val="24"/>
          <w:szCs w:val="24"/>
          <w:lang w:val="en"/>
        </w:rPr>
        <w:t>Personalised</w:t>
      </w:r>
      <w:proofErr w:type="spellEnd"/>
      <w:r w:rsidRPr="009A3C84">
        <w:rPr>
          <w:sz w:val="24"/>
          <w:szCs w:val="24"/>
          <w:lang w:val="en"/>
        </w:rPr>
        <w:t xml:space="preserve"> Medicine in Action' will take place on 20-21 November 2018 at the </w:t>
      </w:r>
      <w:proofErr w:type="spellStart"/>
      <w:r w:rsidRPr="009A3C84">
        <w:rPr>
          <w:sz w:val="24"/>
          <w:szCs w:val="24"/>
          <w:lang w:val="en"/>
        </w:rPr>
        <w:t>dbb</w:t>
      </w:r>
      <w:proofErr w:type="spellEnd"/>
      <w:r w:rsidRPr="009A3C84">
        <w:rPr>
          <w:sz w:val="24"/>
          <w:szCs w:val="24"/>
          <w:lang w:val="en"/>
        </w:rPr>
        <w:t xml:space="preserve"> forum in Berlin, Germany. </w:t>
      </w:r>
    </w:p>
    <w:p w:rsidR="009A3C84" w:rsidRPr="009A3C84" w:rsidRDefault="009A3C84" w:rsidP="009A3C84">
      <w:pPr>
        <w:rPr>
          <w:sz w:val="24"/>
          <w:szCs w:val="24"/>
          <w:lang w:val="en"/>
        </w:rPr>
      </w:pPr>
      <w:r w:rsidRPr="009A3C84">
        <w:rPr>
          <w:sz w:val="24"/>
          <w:szCs w:val="24"/>
          <w:lang w:val="en"/>
        </w:rPr>
        <w:t xml:space="preserve">The main focus of this conference is to present best practice examples of successful implementation of </w:t>
      </w:r>
      <w:proofErr w:type="spellStart"/>
      <w:r w:rsidRPr="009A3C84">
        <w:rPr>
          <w:sz w:val="24"/>
          <w:szCs w:val="24"/>
          <w:lang w:val="en"/>
        </w:rPr>
        <w:t>personalised</w:t>
      </w:r>
      <w:proofErr w:type="spellEnd"/>
      <w:r w:rsidRPr="009A3C84">
        <w:rPr>
          <w:sz w:val="24"/>
          <w:szCs w:val="24"/>
          <w:lang w:val="en"/>
        </w:rPr>
        <w:t xml:space="preserve"> medicine approaches. This is complemented by high-level keynote talks addressing different aspects of </w:t>
      </w:r>
      <w:proofErr w:type="spellStart"/>
      <w:r w:rsidRPr="009A3C84">
        <w:rPr>
          <w:sz w:val="24"/>
          <w:szCs w:val="24"/>
          <w:lang w:val="en"/>
        </w:rPr>
        <w:t>personalised</w:t>
      </w:r>
      <w:proofErr w:type="spellEnd"/>
      <w:r w:rsidRPr="009A3C84">
        <w:rPr>
          <w:sz w:val="24"/>
          <w:szCs w:val="24"/>
          <w:lang w:val="en"/>
        </w:rPr>
        <w:t xml:space="preserve"> medicine. </w:t>
      </w:r>
    </w:p>
    <w:p w:rsidR="009A3C84" w:rsidRPr="009A3C84" w:rsidRDefault="006C436C" w:rsidP="009A3C84">
      <w:pPr>
        <w:rPr>
          <w:sz w:val="24"/>
          <w:szCs w:val="24"/>
          <w:lang w:val="en"/>
        </w:rPr>
      </w:pPr>
      <w:hyperlink r:id="rId46" w:tgtFrame="_blank" w:history="1">
        <w:r w:rsidR="009A3C84" w:rsidRPr="009A3C84">
          <w:rPr>
            <w:rStyle w:val="Hyperlink"/>
            <w:sz w:val="24"/>
            <w:szCs w:val="24"/>
            <w:lang w:val="en"/>
          </w:rPr>
          <w:t>More information and registration</w:t>
        </w:r>
      </w:hyperlink>
      <w:r w:rsidR="009A3C84" w:rsidRPr="009A3C84">
        <w:rPr>
          <w:sz w:val="24"/>
          <w:szCs w:val="24"/>
          <w:lang w:val="en"/>
        </w:rPr>
        <w:t xml:space="preserve"> </w:t>
      </w:r>
    </w:p>
    <w:p w:rsidR="009A3C84" w:rsidRPr="002A1300" w:rsidRDefault="009A3C84" w:rsidP="00460469">
      <w:pPr>
        <w:rPr>
          <w:lang w:val="en-US"/>
        </w:rPr>
        <w:sectPr w:rsidR="009A3C84" w:rsidRPr="002A1300" w:rsidSect="002852EF">
          <w:footerReference w:type="default" r:id="rId47"/>
          <w:pgSz w:w="11906" w:h="16838"/>
          <w:pgMar w:top="1417" w:right="1417" w:bottom="1417" w:left="1417" w:header="708" w:footer="708" w:gutter="0"/>
          <w:cols w:space="708"/>
          <w:docGrid w:linePitch="360"/>
        </w:sectPr>
      </w:pPr>
    </w:p>
    <w:p w:rsidR="00912146" w:rsidRDefault="00912146" w:rsidP="00B278E8">
      <w:pPr>
        <w:pStyle w:val="Publications"/>
      </w:pPr>
      <w:bookmarkStart w:id="19" w:name="_Toc516047948"/>
      <w:r>
        <w:lastRenderedPageBreak/>
        <w:t>ПУБЛИКАЦИИ</w:t>
      </w:r>
      <w:bookmarkEnd w:id="19"/>
    </w:p>
    <w:p w:rsidR="00D70D6F" w:rsidRPr="00D70D6F" w:rsidRDefault="00D70D6F" w:rsidP="00D80D50">
      <w:pPr>
        <w:pStyle w:val="Heading2"/>
        <w:ind w:left="426"/>
      </w:pPr>
      <w:bookmarkStart w:id="20" w:name="_Toc516047949"/>
      <w:r>
        <w:rPr>
          <w:lang w:val="en-US"/>
        </w:rPr>
        <w:t>RESEARCH EU</w:t>
      </w:r>
      <w:bookmarkEnd w:id="20"/>
    </w:p>
    <w:p w:rsidR="00005D48" w:rsidRDefault="003A497A" w:rsidP="00FD0CC6">
      <w:pPr>
        <w:spacing w:after="120"/>
        <w:rPr>
          <w:rStyle w:val="Hyperlink"/>
          <w:color w:val="002060"/>
          <w:sz w:val="24"/>
          <w:szCs w:val="24"/>
          <w:u w:val="none"/>
          <w:lang w:val="en-US"/>
        </w:rPr>
      </w:pPr>
      <w:r w:rsidRPr="003A497A">
        <w:rPr>
          <w:noProof/>
          <w:color w:val="0000FF" w:themeColor="hyperlink"/>
          <w:sz w:val="24"/>
          <w:szCs w:val="24"/>
          <w:u w:val="single"/>
          <w:lang w:eastAsia="bg-BG"/>
        </w:rPr>
        <w:drawing>
          <wp:inline distT="0" distB="0" distL="0" distR="0">
            <wp:extent cx="1137600" cy="1562400"/>
            <wp:effectExtent l="0" t="0" r="5715" b="0"/>
            <wp:docPr id="10" name="Picture 10" descr="New weapons in the war against mal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eapons in the war against malaria"/>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37600" cy="1562400"/>
                    </a:xfrm>
                    <a:prstGeom prst="rect">
                      <a:avLst/>
                    </a:prstGeom>
                    <a:noFill/>
                    <a:ln>
                      <a:noFill/>
                    </a:ln>
                  </pic:spPr>
                </pic:pic>
              </a:graphicData>
            </a:graphic>
          </wp:inline>
        </w:drawing>
      </w:r>
      <w:r>
        <w:rPr>
          <w:rStyle w:val="Hyperlink"/>
          <w:sz w:val="24"/>
          <w:szCs w:val="24"/>
        </w:rPr>
        <w:t xml:space="preserve"> </w:t>
      </w:r>
      <w:r w:rsidR="00140554">
        <w:rPr>
          <w:rStyle w:val="Hyperlink"/>
          <w:color w:val="002060"/>
          <w:sz w:val="24"/>
          <w:szCs w:val="24"/>
          <w:u w:val="none"/>
          <w:lang w:val="en-US"/>
        </w:rPr>
        <w:t>May</w:t>
      </w:r>
      <w:r w:rsidRPr="003A497A">
        <w:rPr>
          <w:rStyle w:val="Hyperlink"/>
          <w:color w:val="002060"/>
          <w:sz w:val="24"/>
          <w:szCs w:val="24"/>
          <w:u w:val="none"/>
          <w:lang w:val="en-US"/>
        </w:rPr>
        <w:t xml:space="preserve"> 2018</w:t>
      </w:r>
    </w:p>
    <w:p w:rsidR="00FD0CC6" w:rsidRDefault="006C436C" w:rsidP="00FD0CC6">
      <w:pPr>
        <w:spacing w:after="0"/>
        <w:rPr>
          <w:rStyle w:val="Hyperlink"/>
          <w:color w:val="002060"/>
          <w:sz w:val="24"/>
          <w:szCs w:val="24"/>
          <w:u w:val="none"/>
          <w:lang w:val="en-US"/>
        </w:rPr>
      </w:pPr>
      <w:hyperlink r:id="rId49" w:history="1">
        <w:r w:rsidR="00FD0CC6" w:rsidRPr="00FD0CC6">
          <w:rPr>
            <w:rStyle w:val="Hyperlink"/>
            <w:sz w:val="24"/>
            <w:szCs w:val="24"/>
            <w:lang w:val="en-US"/>
          </w:rPr>
          <w:t>Read more</w:t>
        </w:r>
      </w:hyperlink>
    </w:p>
    <w:p w:rsidR="003A497A" w:rsidRPr="003A497A" w:rsidRDefault="003A497A" w:rsidP="00FD0CC6">
      <w:pPr>
        <w:spacing w:before="240" w:after="120"/>
        <w:rPr>
          <w:b/>
          <w:bCs/>
          <w:sz w:val="24"/>
          <w:szCs w:val="24"/>
        </w:rPr>
      </w:pPr>
      <w:r w:rsidRPr="003A497A">
        <w:rPr>
          <w:sz w:val="24"/>
          <w:szCs w:val="24"/>
        </w:rPr>
        <w:t>Special feature</w:t>
      </w:r>
      <w:r w:rsidRPr="003A497A">
        <w:rPr>
          <w:sz w:val="24"/>
          <w:szCs w:val="24"/>
          <w:lang w:val="en-US"/>
        </w:rPr>
        <w:t xml:space="preserve">: </w:t>
      </w:r>
      <w:r w:rsidRPr="003A497A">
        <w:rPr>
          <w:b/>
          <w:bCs/>
          <w:sz w:val="24"/>
          <w:szCs w:val="24"/>
        </w:rPr>
        <w:t>New weapons in the war against malaria</w:t>
      </w:r>
    </w:p>
    <w:p w:rsidR="003A497A" w:rsidRDefault="003A497A" w:rsidP="003A497A">
      <w:pPr>
        <w:spacing w:after="480"/>
        <w:rPr>
          <w:sz w:val="24"/>
          <w:szCs w:val="24"/>
          <w:lang w:val="en-US"/>
        </w:rPr>
      </w:pPr>
      <w:r w:rsidRPr="003A497A">
        <w:rPr>
          <w:sz w:val="24"/>
          <w:szCs w:val="24"/>
        </w:rPr>
        <w:t xml:space="preserve">The 25th of April will be World Malaria Day – an event organised by the World Health Organization (WHO) to remind us that, although the disease is only plaguing tropical and sub-tropical regions of the world, we should all feel concerned about it. The projects </w:t>
      </w:r>
      <w:proofErr w:type="spellStart"/>
      <w:r w:rsidRPr="003A497A">
        <w:rPr>
          <w:sz w:val="24"/>
          <w:szCs w:val="24"/>
        </w:rPr>
        <w:t>selected</w:t>
      </w:r>
      <w:proofErr w:type="spellEnd"/>
      <w:r w:rsidRPr="003A497A">
        <w:rPr>
          <w:sz w:val="24"/>
          <w:szCs w:val="24"/>
        </w:rPr>
        <w:t xml:space="preserve"> </w:t>
      </w:r>
      <w:proofErr w:type="spellStart"/>
      <w:r w:rsidRPr="003A497A">
        <w:rPr>
          <w:sz w:val="24"/>
          <w:szCs w:val="24"/>
        </w:rPr>
        <w:t>for</w:t>
      </w:r>
      <w:proofErr w:type="spellEnd"/>
      <w:r w:rsidRPr="003A497A">
        <w:rPr>
          <w:sz w:val="24"/>
          <w:szCs w:val="24"/>
        </w:rPr>
        <w:t xml:space="preserve"> </w:t>
      </w:r>
      <w:proofErr w:type="spellStart"/>
      <w:r w:rsidRPr="003A497A">
        <w:rPr>
          <w:sz w:val="24"/>
          <w:szCs w:val="24"/>
        </w:rPr>
        <w:t>this</w:t>
      </w:r>
      <w:proofErr w:type="spellEnd"/>
      <w:r w:rsidRPr="003A497A">
        <w:rPr>
          <w:sz w:val="24"/>
          <w:szCs w:val="24"/>
        </w:rPr>
        <w:t xml:space="preserve"> </w:t>
      </w:r>
      <w:proofErr w:type="spellStart"/>
      <w:r w:rsidRPr="003A497A">
        <w:rPr>
          <w:sz w:val="24"/>
          <w:szCs w:val="24"/>
        </w:rPr>
        <w:t>month’s</w:t>
      </w:r>
      <w:proofErr w:type="spellEnd"/>
      <w:r w:rsidRPr="003A497A">
        <w:rPr>
          <w:sz w:val="24"/>
          <w:szCs w:val="24"/>
        </w:rPr>
        <w:t xml:space="preserve"> </w:t>
      </w:r>
      <w:proofErr w:type="spellStart"/>
      <w:r w:rsidRPr="003A497A">
        <w:rPr>
          <w:sz w:val="24"/>
          <w:szCs w:val="24"/>
        </w:rPr>
        <w:t>special</w:t>
      </w:r>
      <w:proofErr w:type="spellEnd"/>
      <w:r w:rsidRPr="003A497A">
        <w:rPr>
          <w:sz w:val="24"/>
          <w:szCs w:val="24"/>
        </w:rPr>
        <w:t xml:space="preserve"> </w:t>
      </w:r>
      <w:proofErr w:type="spellStart"/>
      <w:r w:rsidRPr="003A497A">
        <w:rPr>
          <w:sz w:val="24"/>
          <w:szCs w:val="24"/>
        </w:rPr>
        <w:t>feature</w:t>
      </w:r>
      <w:proofErr w:type="spellEnd"/>
      <w:r w:rsidRPr="003A497A">
        <w:rPr>
          <w:sz w:val="24"/>
          <w:szCs w:val="24"/>
        </w:rPr>
        <w:t xml:space="preserve"> </w:t>
      </w:r>
      <w:proofErr w:type="spellStart"/>
      <w:r w:rsidRPr="003A497A">
        <w:rPr>
          <w:sz w:val="24"/>
          <w:szCs w:val="24"/>
        </w:rPr>
        <w:t>section</w:t>
      </w:r>
      <w:proofErr w:type="spellEnd"/>
      <w:r w:rsidRPr="003A497A">
        <w:rPr>
          <w:sz w:val="24"/>
          <w:szCs w:val="24"/>
        </w:rPr>
        <w:t xml:space="preserve"> bridge long-standing knowledge gaps or lend a much needed hand to populations at risk.</w:t>
      </w:r>
    </w:p>
    <w:p w:rsidR="003F5C7D" w:rsidRPr="003F5C7D" w:rsidRDefault="003F5C7D" w:rsidP="003F5C7D">
      <w:pPr>
        <w:pStyle w:val="Heading2"/>
        <w:ind w:left="426"/>
        <w:rPr>
          <w:rFonts w:eastAsia="Times New Roman"/>
          <w:lang w:val="en" w:eastAsia="bg-BG"/>
        </w:rPr>
      </w:pPr>
      <w:bookmarkStart w:id="21" w:name="_Toc516047950"/>
      <w:r w:rsidRPr="003F5C7D">
        <w:rPr>
          <w:rFonts w:eastAsia="Times New Roman"/>
          <w:lang w:val="en" w:eastAsia="bg-BG"/>
        </w:rPr>
        <w:t>Network Coding and Subspace Designs</w:t>
      </w:r>
      <w:bookmarkEnd w:id="21"/>
    </w:p>
    <w:p w:rsidR="00B26EAE" w:rsidRDefault="0073440F" w:rsidP="00B26EAE">
      <w:pPr>
        <w:spacing w:before="100" w:beforeAutospacing="1" w:after="100" w:afterAutospacing="1"/>
        <w:rPr>
          <w:rFonts w:eastAsia="Times New Roman" w:cs="Times New Roman"/>
          <w:sz w:val="24"/>
          <w:szCs w:val="24"/>
          <w:lang w:val="en" w:eastAsia="bg-BG"/>
        </w:rPr>
      </w:pPr>
      <w:r w:rsidRPr="0073440F">
        <w:rPr>
          <w:rFonts w:eastAsia="Times New Roman" w:cs="Times New Roman"/>
          <w:noProof/>
          <w:sz w:val="24"/>
          <w:szCs w:val="24"/>
          <w:lang w:eastAsia="bg-BG"/>
        </w:rPr>
        <w:drawing>
          <wp:inline distT="0" distB="0" distL="0" distR="0" wp14:anchorId="18CF0916" wp14:editId="599C4E48">
            <wp:extent cx="1191600" cy="1789200"/>
            <wp:effectExtent l="0" t="0" r="8890" b="1905"/>
            <wp:docPr id="1" name="Picture 1" descr="http://www.cost.eu/var/ezwebin_site/storage/images/medialib/images/library/publications/network-coding-and-subspace-designs/1920317-1-eng-GB/Network-Coding-and-Subspace-Design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network-coding-and-subspace-designs/1920317-1-eng-GB/Network-Coding-and-Subspace-Designs_publication.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91600" cy="1789200"/>
                    </a:xfrm>
                    <a:prstGeom prst="rect">
                      <a:avLst/>
                    </a:prstGeom>
                    <a:noFill/>
                    <a:ln>
                      <a:noFill/>
                    </a:ln>
                  </pic:spPr>
                </pic:pic>
              </a:graphicData>
            </a:graphic>
          </wp:inline>
        </w:drawing>
      </w:r>
      <w:r w:rsidRPr="0073440F">
        <w:rPr>
          <w:rFonts w:eastAsia="Times New Roman" w:cs="Times New Roman"/>
          <w:sz w:val="24"/>
          <w:szCs w:val="24"/>
          <w:lang w:val="en" w:eastAsia="bg-BG"/>
        </w:rPr>
        <w:t xml:space="preserve">This book, written by experts from universities and major research laboratories, addresses the hot topic of network coding, a powerful scheme for information transmission in networks that yields near-optimal throughput. It introduces readers to this striking new approach to network coding, in which the network is not simply viewed as a mechanism for delivering packets, but rather an algebraic structure named the subspace, which these packets span. This leads to a new kind of coding theory, employing what are called subspace codes. The book presents selected, highly relevant advanced research output on: Subspace Codes and Rank Metric Codes; Finite Geometries and Subspace Designs; Application of Network Coding; Codes for Distributed Storage Systems. </w:t>
      </w:r>
    </w:p>
    <w:p w:rsidR="0073440F" w:rsidRPr="0073440F" w:rsidRDefault="0073440F" w:rsidP="00B26EAE">
      <w:pPr>
        <w:spacing w:before="120" w:after="120"/>
        <w:rPr>
          <w:rFonts w:eastAsia="Times New Roman" w:cs="Times New Roman"/>
          <w:sz w:val="24"/>
          <w:szCs w:val="24"/>
          <w:lang w:val="en" w:eastAsia="bg-BG"/>
        </w:rPr>
      </w:pPr>
      <w:r w:rsidRPr="0073440F">
        <w:rPr>
          <w:rFonts w:eastAsia="Times New Roman" w:cs="Times New Roman"/>
          <w:sz w:val="24"/>
          <w:szCs w:val="24"/>
          <w:lang w:val="en" w:eastAsia="bg-BG"/>
        </w:rPr>
        <w:lastRenderedPageBreak/>
        <w:t>The outcomes reflect research conducted within the framework of the European COST Action IC1104: Random Network Coding and Designs over GF(q). Taken together, they offer communications engineers, R&amp;D engineers, researchers and graduate students in Mathematics, Computer Science, and Electrical Engineering a comprehensive reference guide to the construction of optimal network codes, as well as efficient encoding and decoding schemes for a given network code.</w:t>
      </w:r>
    </w:p>
    <w:p w:rsidR="003F5C7D" w:rsidRPr="0073440F" w:rsidRDefault="003F5C7D" w:rsidP="00B26EAE">
      <w:pPr>
        <w:spacing w:before="120" w:after="120"/>
        <w:jc w:val="left"/>
        <w:rPr>
          <w:rFonts w:eastAsia="Times New Roman" w:cs="Times New Roman"/>
          <w:sz w:val="24"/>
          <w:szCs w:val="24"/>
          <w:lang w:val="en" w:eastAsia="bg-BG"/>
        </w:rPr>
      </w:pPr>
      <w:r w:rsidRPr="0073440F">
        <w:rPr>
          <w:rFonts w:eastAsia="Times New Roman" w:cs="Times New Roman"/>
          <w:sz w:val="24"/>
          <w:szCs w:val="24"/>
          <w:lang w:val="en" w:eastAsia="bg-BG"/>
        </w:rPr>
        <w:t xml:space="preserve">Author(s): </w:t>
      </w:r>
      <w:proofErr w:type="spellStart"/>
      <w:r w:rsidRPr="0073440F">
        <w:rPr>
          <w:rFonts w:eastAsia="Times New Roman" w:cs="Times New Roman"/>
          <w:sz w:val="24"/>
          <w:szCs w:val="24"/>
          <w:lang w:val="en" w:eastAsia="bg-BG"/>
        </w:rPr>
        <w:t>Greferath</w:t>
      </w:r>
      <w:proofErr w:type="spellEnd"/>
      <w:r w:rsidRPr="0073440F">
        <w:rPr>
          <w:rFonts w:eastAsia="Times New Roman" w:cs="Times New Roman"/>
          <w:sz w:val="24"/>
          <w:szCs w:val="24"/>
          <w:lang w:val="en" w:eastAsia="bg-BG"/>
        </w:rPr>
        <w:t xml:space="preserve">, M., </w:t>
      </w:r>
      <w:proofErr w:type="spellStart"/>
      <w:r w:rsidRPr="0073440F">
        <w:rPr>
          <w:rFonts w:eastAsia="Times New Roman" w:cs="Times New Roman"/>
          <w:sz w:val="24"/>
          <w:szCs w:val="24"/>
          <w:lang w:val="en" w:eastAsia="bg-BG"/>
        </w:rPr>
        <w:t>Pavčević</w:t>
      </w:r>
      <w:proofErr w:type="spellEnd"/>
      <w:r w:rsidRPr="0073440F">
        <w:rPr>
          <w:rFonts w:eastAsia="Times New Roman" w:cs="Times New Roman"/>
          <w:sz w:val="24"/>
          <w:szCs w:val="24"/>
          <w:lang w:val="en" w:eastAsia="bg-BG"/>
        </w:rPr>
        <w:t>, M.O., Silberstein, N., Vázquez-Castro, M.Á. (Eds.)</w:t>
      </w:r>
    </w:p>
    <w:p w:rsidR="003F5C7D" w:rsidRPr="0073440F" w:rsidRDefault="006C436C" w:rsidP="00B26EAE">
      <w:pPr>
        <w:spacing w:before="120" w:after="100" w:afterAutospacing="1"/>
        <w:jc w:val="left"/>
        <w:rPr>
          <w:rFonts w:eastAsia="Times New Roman" w:cs="Times New Roman"/>
          <w:sz w:val="24"/>
          <w:szCs w:val="24"/>
          <w:lang w:val="en" w:eastAsia="bg-BG"/>
        </w:rPr>
      </w:pPr>
      <w:hyperlink r:id="rId51" w:history="1">
        <w:r w:rsidR="003F5C7D" w:rsidRPr="0073440F">
          <w:rPr>
            <w:rFonts w:eastAsia="Times New Roman" w:cs="Times New Roman"/>
            <w:color w:val="0000FF"/>
            <w:sz w:val="24"/>
            <w:szCs w:val="24"/>
            <w:u w:val="single"/>
            <w:lang w:val="en" w:eastAsia="bg-BG"/>
          </w:rPr>
          <w:t>https://www.springer.com/gp/book/9783319702926</w:t>
        </w:r>
      </w:hyperlink>
    </w:p>
    <w:p w:rsidR="00B26EAE" w:rsidRPr="00B26EAE" w:rsidRDefault="00B26EAE" w:rsidP="00B26EAE">
      <w:pPr>
        <w:pStyle w:val="Heading2"/>
        <w:ind w:left="426"/>
        <w:rPr>
          <w:rFonts w:eastAsia="Times New Roman"/>
          <w:lang w:val="en" w:eastAsia="bg-BG"/>
        </w:rPr>
      </w:pPr>
      <w:bookmarkStart w:id="22" w:name="_Toc516047951"/>
      <w:r>
        <w:rPr>
          <w:rFonts w:eastAsia="Times New Roman"/>
          <w:lang w:val="en" w:eastAsia="bg-BG"/>
        </w:rPr>
        <w:t>Femicide across Europe:</w:t>
      </w:r>
      <w:r w:rsidRPr="00B26EAE">
        <w:rPr>
          <w:rFonts w:eastAsia="Times New Roman"/>
          <w:lang w:val="en" w:eastAsia="bg-BG"/>
        </w:rPr>
        <w:t xml:space="preserve"> Theory, research and prevention</w:t>
      </w:r>
      <w:bookmarkEnd w:id="22"/>
    </w:p>
    <w:p w:rsidR="00ED2D81" w:rsidRPr="00ED2D81" w:rsidRDefault="00ED2D81" w:rsidP="00B26EAE">
      <w:pPr>
        <w:spacing w:before="100" w:beforeAutospacing="1" w:after="120"/>
        <w:rPr>
          <w:rFonts w:eastAsia="Times New Roman" w:cs="Times New Roman"/>
          <w:sz w:val="24"/>
          <w:szCs w:val="24"/>
          <w:lang w:val="en" w:eastAsia="bg-BG"/>
        </w:rPr>
      </w:pPr>
      <w:r w:rsidRPr="00ED2D81">
        <w:rPr>
          <w:rFonts w:eastAsia="Times New Roman" w:cs="Times New Roman"/>
          <w:noProof/>
          <w:sz w:val="24"/>
          <w:szCs w:val="24"/>
          <w:lang w:eastAsia="bg-BG"/>
        </w:rPr>
        <w:drawing>
          <wp:inline distT="0" distB="0" distL="0" distR="0" wp14:anchorId="2FA57B66" wp14:editId="7A7BBC3C">
            <wp:extent cx="1195200" cy="1821600"/>
            <wp:effectExtent l="0" t="0" r="5080" b="7620"/>
            <wp:docPr id="6" name="Picture 6" descr="http://www.cost.eu/var/ezwebin_site/storage/images/medialib/images/library/publications/femicide-across-europe-book/1920286-1-eng-GB/Femicide-Across-Europe-boo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images/library/publications/femicide-across-europe-book/1920286-1-eng-GB/Femicide-Across-Europe-book_publication.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95200" cy="1821600"/>
                    </a:xfrm>
                    <a:prstGeom prst="rect">
                      <a:avLst/>
                    </a:prstGeom>
                    <a:noFill/>
                    <a:ln>
                      <a:noFill/>
                    </a:ln>
                  </pic:spPr>
                </pic:pic>
              </a:graphicData>
            </a:graphic>
          </wp:inline>
        </w:drawing>
      </w:r>
      <w:r w:rsidRPr="00ED2D81">
        <w:rPr>
          <w:rFonts w:eastAsia="Times New Roman" w:cs="Times New Roman"/>
          <w:sz w:val="24"/>
          <w:szCs w:val="24"/>
          <w:lang w:val="en" w:eastAsia="bg-BG"/>
        </w:rPr>
        <w:t>Femicide, the killing of women and girls because of their gender, was until recently included in the category ‘homicide’, obscuring the special features of this social and gendered phenomenon. However, the majority of murders of women are perpetrated by men whom they know from family ties and are the result of intimate partner violence or so-called '</w:t>
      </w:r>
      <w:proofErr w:type="spellStart"/>
      <w:r w:rsidRPr="00ED2D81">
        <w:rPr>
          <w:rFonts w:eastAsia="Times New Roman" w:cs="Times New Roman"/>
          <w:sz w:val="24"/>
          <w:szCs w:val="24"/>
          <w:lang w:val="en" w:eastAsia="bg-BG"/>
        </w:rPr>
        <w:t>honour</w:t>
      </w:r>
      <w:proofErr w:type="spellEnd"/>
      <w:r w:rsidRPr="00ED2D81">
        <w:rPr>
          <w:rFonts w:eastAsia="Times New Roman" w:cs="Times New Roman"/>
          <w:sz w:val="24"/>
          <w:szCs w:val="24"/>
          <w:lang w:val="en" w:eastAsia="bg-BG"/>
        </w:rPr>
        <w:t>' killings.</w:t>
      </w:r>
    </w:p>
    <w:p w:rsidR="00ED2D81" w:rsidRPr="00ED2D81" w:rsidRDefault="00ED2D81" w:rsidP="00B26EAE">
      <w:pPr>
        <w:spacing w:before="120" w:after="120"/>
        <w:rPr>
          <w:rFonts w:eastAsia="Times New Roman" w:cs="Times New Roman"/>
          <w:sz w:val="24"/>
          <w:szCs w:val="24"/>
          <w:lang w:val="en" w:eastAsia="bg-BG"/>
        </w:rPr>
      </w:pPr>
      <w:r w:rsidRPr="00ED2D81">
        <w:rPr>
          <w:rFonts w:eastAsia="Times New Roman" w:cs="Times New Roman"/>
          <w:sz w:val="24"/>
          <w:szCs w:val="24"/>
          <w:lang w:val="en" w:eastAsia="bg-BG"/>
        </w:rPr>
        <w:t xml:space="preserve">This book is the first one on femicide in Europe and presents the findings of a four-year project discussing various aspects of femicide. Written by leading international scholars with an </w:t>
      </w:r>
      <w:proofErr w:type="spellStart"/>
      <w:r w:rsidRPr="00ED2D81">
        <w:rPr>
          <w:rFonts w:eastAsia="Times New Roman" w:cs="Times New Roman"/>
          <w:sz w:val="24"/>
          <w:szCs w:val="24"/>
          <w:lang w:val="en" w:eastAsia="bg-BG"/>
        </w:rPr>
        <w:t>interdiscplinary</w:t>
      </w:r>
      <w:proofErr w:type="spellEnd"/>
      <w:r w:rsidRPr="00ED2D81">
        <w:rPr>
          <w:rFonts w:eastAsia="Times New Roman" w:cs="Times New Roman"/>
          <w:sz w:val="24"/>
          <w:szCs w:val="24"/>
          <w:lang w:val="en" w:eastAsia="bg-BG"/>
        </w:rPr>
        <w:t xml:space="preserve"> perspective, it looks at the prevention programmes and comparative quantitative and qualitative data collection, as well as the impact of culture. It proposes the establishment of </w:t>
      </w:r>
      <w:proofErr w:type="gramStart"/>
      <w:r w:rsidRPr="00ED2D81">
        <w:rPr>
          <w:rFonts w:eastAsia="Times New Roman" w:cs="Times New Roman"/>
          <w:sz w:val="24"/>
          <w:szCs w:val="24"/>
          <w:lang w:val="en" w:eastAsia="bg-BG"/>
        </w:rPr>
        <w:t>an</w:t>
      </w:r>
      <w:proofErr w:type="gramEnd"/>
      <w:r w:rsidRPr="00ED2D81">
        <w:rPr>
          <w:rFonts w:eastAsia="Times New Roman" w:cs="Times New Roman"/>
          <w:sz w:val="24"/>
          <w:szCs w:val="24"/>
          <w:lang w:val="en" w:eastAsia="bg-BG"/>
        </w:rPr>
        <w:t xml:space="preserve"> European Observatory on Femicide as a new direction for the future, showing the benefits of cross-national collaboration, united to prevent the murder of women and girls.</w:t>
      </w:r>
    </w:p>
    <w:p w:rsidR="00B26EAE" w:rsidRPr="00ED2D81" w:rsidRDefault="00B26EAE" w:rsidP="00B26EAE">
      <w:pPr>
        <w:spacing w:before="120" w:after="120"/>
        <w:rPr>
          <w:rFonts w:eastAsia="Times New Roman" w:cs="Times New Roman"/>
          <w:sz w:val="24"/>
          <w:szCs w:val="24"/>
          <w:lang w:val="en" w:eastAsia="bg-BG"/>
        </w:rPr>
      </w:pPr>
      <w:r w:rsidRPr="00ED2D81">
        <w:rPr>
          <w:rFonts w:eastAsia="Times New Roman" w:cs="Times New Roman"/>
          <w:sz w:val="24"/>
          <w:szCs w:val="24"/>
          <w:lang w:val="en" w:eastAsia="bg-BG"/>
        </w:rPr>
        <w:t xml:space="preserve">Author(s): </w:t>
      </w:r>
      <w:proofErr w:type="spellStart"/>
      <w:r w:rsidRPr="00ED2D81">
        <w:rPr>
          <w:rFonts w:eastAsia="Times New Roman" w:cs="Times New Roman"/>
          <w:sz w:val="24"/>
          <w:szCs w:val="24"/>
          <w:lang w:val="en" w:eastAsia="bg-BG"/>
        </w:rPr>
        <w:t>Shalva</w:t>
      </w:r>
      <w:proofErr w:type="spellEnd"/>
      <w:r w:rsidRPr="00ED2D81">
        <w:rPr>
          <w:rFonts w:eastAsia="Times New Roman" w:cs="Times New Roman"/>
          <w:sz w:val="24"/>
          <w:szCs w:val="24"/>
          <w:lang w:val="en" w:eastAsia="bg-BG"/>
        </w:rPr>
        <w:t xml:space="preserve"> Weil, Consuelo </w:t>
      </w:r>
      <w:proofErr w:type="spellStart"/>
      <w:r w:rsidRPr="00ED2D81">
        <w:rPr>
          <w:rFonts w:eastAsia="Times New Roman" w:cs="Times New Roman"/>
          <w:sz w:val="24"/>
          <w:szCs w:val="24"/>
          <w:lang w:val="en" w:eastAsia="bg-BG"/>
        </w:rPr>
        <w:t>Corradi</w:t>
      </w:r>
      <w:proofErr w:type="spellEnd"/>
      <w:r w:rsidRPr="00ED2D81">
        <w:rPr>
          <w:rFonts w:eastAsia="Times New Roman" w:cs="Times New Roman"/>
          <w:sz w:val="24"/>
          <w:szCs w:val="24"/>
          <w:lang w:val="en" w:eastAsia="bg-BG"/>
        </w:rPr>
        <w:t xml:space="preserve"> and Marceline </w:t>
      </w:r>
      <w:proofErr w:type="spellStart"/>
      <w:r w:rsidRPr="00ED2D81">
        <w:rPr>
          <w:rFonts w:eastAsia="Times New Roman" w:cs="Times New Roman"/>
          <w:sz w:val="24"/>
          <w:szCs w:val="24"/>
          <w:lang w:val="en" w:eastAsia="bg-BG"/>
        </w:rPr>
        <w:t>Naudi</w:t>
      </w:r>
      <w:proofErr w:type="spellEnd"/>
    </w:p>
    <w:p w:rsidR="0073440F" w:rsidRPr="00ED2D81" w:rsidRDefault="006C436C" w:rsidP="00B26EAE">
      <w:pPr>
        <w:spacing w:after="480"/>
        <w:rPr>
          <w:sz w:val="24"/>
          <w:szCs w:val="24"/>
          <w:lang w:val="en"/>
        </w:rPr>
      </w:pPr>
      <w:hyperlink r:id="rId53" w:history="1">
        <w:r w:rsidR="00B26EAE" w:rsidRPr="00ED2D81">
          <w:rPr>
            <w:rFonts w:eastAsia="Times New Roman" w:cs="Times New Roman"/>
            <w:color w:val="0000FF"/>
            <w:sz w:val="24"/>
            <w:szCs w:val="24"/>
            <w:u w:val="single"/>
            <w:lang w:val="en" w:eastAsia="bg-BG"/>
          </w:rPr>
          <w:t>https://policypress.co.uk/femicide-across-europe</w:t>
        </w:r>
      </w:hyperlink>
    </w:p>
    <w:p w:rsidR="00A458E2" w:rsidRDefault="00A458E2" w:rsidP="00A458E2">
      <w:pPr>
        <w:pStyle w:val="Heading2"/>
        <w:ind w:left="426"/>
        <w:rPr>
          <w:lang w:val="en-GB"/>
        </w:rPr>
      </w:pPr>
      <w:bookmarkStart w:id="23" w:name="_Toc516047952"/>
      <w:r>
        <w:rPr>
          <w:lang w:val="en-GB"/>
        </w:rPr>
        <w:t>Publication of the European University Association</w:t>
      </w:r>
      <w:bookmarkEnd w:id="23"/>
    </w:p>
    <w:p w:rsidR="00A458E2" w:rsidRDefault="006C436C" w:rsidP="00FF1B30">
      <w:pPr>
        <w:spacing w:after="480"/>
        <w:rPr>
          <w:rStyle w:val="Hyperlink"/>
          <w:sz w:val="24"/>
          <w:szCs w:val="24"/>
          <w:lang w:val="en-GB"/>
        </w:rPr>
      </w:pPr>
      <w:hyperlink r:id="rId54" w:tooltip="EUA Big Deals Survey Report - The First Mapping of Major Scientific Publishing Contracts in Europe" w:history="1">
        <w:r w:rsidR="00A458E2" w:rsidRPr="00772C4E">
          <w:rPr>
            <w:rStyle w:val="Hyperlink"/>
            <w:sz w:val="24"/>
            <w:szCs w:val="24"/>
            <w:lang w:val="en-GB"/>
          </w:rPr>
          <w:t>EUA Big Deals Survey Report - The First Mapping of Major Scientific Publishing Contracts in Europe</w:t>
        </w:r>
      </w:hyperlink>
    </w:p>
    <w:p w:rsidR="00025E65" w:rsidRDefault="00025E65" w:rsidP="00FF1B30">
      <w:pPr>
        <w:spacing w:after="480"/>
        <w:rPr>
          <w:rStyle w:val="Hyperlink"/>
          <w:sz w:val="24"/>
          <w:szCs w:val="24"/>
          <w:lang w:val="en-GB"/>
        </w:rPr>
      </w:pPr>
    </w:p>
    <w:p w:rsidR="00025E65" w:rsidRDefault="00025E65" w:rsidP="00025E65">
      <w:pPr>
        <w:pStyle w:val="Heading2"/>
        <w:ind w:left="426"/>
        <w:rPr>
          <w:lang w:val="en-GB"/>
        </w:rPr>
      </w:pPr>
      <w:bookmarkStart w:id="24" w:name="_Toc516047953"/>
      <w:r w:rsidRPr="00025E65">
        <w:rPr>
          <w:lang w:val="en-GB"/>
        </w:rPr>
        <w:lastRenderedPageBreak/>
        <w:t>CERN Courier</w:t>
      </w:r>
      <w:bookmarkEnd w:id="24"/>
    </w:p>
    <w:p w:rsidR="00025E65" w:rsidRDefault="00025E65" w:rsidP="00025E65">
      <w:pPr>
        <w:spacing w:after="480"/>
        <w:rPr>
          <w:b/>
          <w:bCs/>
          <w:sz w:val="24"/>
          <w:szCs w:val="24"/>
          <w:lang w:val="en-GB"/>
        </w:rPr>
      </w:pPr>
      <w:r w:rsidRPr="00025E65">
        <w:rPr>
          <w:noProof/>
          <w:sz w:val="24"/>
          <w:szCs w:val="24"/>
        </w:rPr>
        <w:drawing>
          <wp:inline distT="0" distB="0" distL="0" distR="0">
            <wp:extent cx="1368000" cy="1818000"/>
            <wp:effectExtent l="0" t="0" r="3810" b="0"/>
            <wp:docPr id="2" name="Picture 2" descr="http://images.iop.org/objects/ccr/cern/58/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8/5/cover.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68000" cy="1818000"/>
                    </a:xfrm>
                    <a:prstGeom prst="rect">
                      <a:avLst/>
                    </a:prstGeom>
                    <a:noFill/>
                    <a:ln>
                      <a:noFill/>
                    </a:ln>
                  </pic:spPr>
                </pic:pic>
              </a:graphicData>
            </a:graphic>
          </wp:inline>
        </w:drawing>
      </w:r>
      <w:r>
        <w:rPr>
          <w:b/>
          <w:bCs/>
          <w:sz w:val="24"/>
          <w:szCs w:val="24"/>
          <w:lang w:val="en-GB"/>
        </w:rPr>
        <w:t>J</w:t>
      </w:r>
      <w:r w:rsidRPr="00025E65">
        <w:rPr>
          <w:b/>
          <w:bCs/>
          <w:sz w:val="24"/>
          <w:szCs w:val="24"/>
          <w:lang w:val="en-GB"/>
        </w:rPr>
        <w:t>une 2018</w:t>
      </w:r>
      <w:r>
        <w:rPr>
          <w:b/>
          <w:bCs/>
          <w:sz w:val="24"/>
          <w:szCs w:val="24"/>
          <w:lang w:val="en-GB"/>
        </w:rPr>
        <w:t xml:space="preserve">, </w:t>
      </w:r>
      <w:r w:rsidRPr="00025E65">
        <w:rPr>
          <w:b/>
          <w:bCs/>
          <w:sz w:val="24"/>
          <w:szCs w:val="24"/>
          <w:lang w:val="en-GB"/>
        </w:rPr>
        <w:t>Volume 58 Issue 5</w:t>
      </w:r>
    </w:p>
    <w:p w:rsidR="00025E65" w:rsidRPr="00025E65" w:rsidRDefault="006C436C" w:rsidP="00025E65">
      <w:pPr>
        <w:spacing w:after="480"/>
        <w:rPr>
          <w:bCs/>
          <w:sz w:val="24"/>
          <w:szCs w:val="24"/>
          <w:lang w:val="en-GB"/>
        </w:rPr>
      </w:pPr>
      <w:hyperlink r:id="rId56" w:history="1">
        <w:r w:rsidR="00025E65" w:rsidRPr="00025E65">
          <w:rPr>
            <w:rStyle w:val="Hyperlink"/>
            <w:bCs/>
            <w:sz w:val="24"/>
            <w:szCs w:val="24"/>
            <w:lang w:val="en-GB"/>
          </w:rPr>
          <w:t>Download digital edition</w:t>
        </w:r>
      </w:hyperlink>
    </w:p>
    <w:sectPr w:rsidR="00025E65" w:rsidRPr="00025E65" w:rsidSect="002852EF">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36C" w:rsidRDefault="006C436C" w:rsidP="003B2D94">
      <w:pPr>
        <w:spacing w:after="0" w:line="240" w:lineRule="auto"/>
      </w:pPr>
      <w:r>
        <w:separator/>
      </w:r>
    </w:p>
  </w:endnote>
  <w:endnote w:type="continuationSeparator" w:id="0">
    <w:p w:rsidR="006C436C" w:rsidRDefault="006C436C"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F5C7D">
      <w:tc>
        <w:tcPr>
          <w:tcW w:w="4500" w:type="pct"/>
          <w:tcBorders>
            <w:top w:val="single" w:sz="4" w:space="0" w:color="000000" w:themeColor="text1"/>
          </w:tcBorders>
        </w:tcPr>
        <w:p w:rsidR="003F5C7D" w:rsidRPr="00D22505" w:rsidRDefault="003F5C7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F5C7D" w:rsidRDefault="003F5C7D">
          <w:pPr>
            <w:pStyle w:val="Header"/>
            <w:rPr>
              <w:color w:val="FFFFFF" w:themeColor="background1"/>
            </w:rPr>
          </w:pPr>
          <w:r>
            <w:fldChar w:fldCharType="begin"/>
          </w:r>
          <w:r>
            <w:instrText xml:space="preserve"> PAGE   \* MERGEFORMAT </w:instrText>
          </w:r>
          <w:r>
            <w:fldChar w:fldCharType="separate"/>
          </w:r>
          <w:r w:rsidR="007F3C94" w:rsidRPr="007F3C94">
            <w:rPr>
              <w:noProof/>
              <w:color w:val="FFFFFF" w:themeColor="background1"/>
            </w:rPr>
            <w:t>2</w:t>
          </w:r>
          <w:r>
            <w:rPr>
              <w:noProof/>
              <w:color w:val="FFFFFF" w:themeColor="background1"/>
            </w:rPr>
            <w:fldChar w:fldCharType="end"/>
          </w:r>
        </w:p>
      </w:tc>
    </w:tr>
  </w:tbl>
  <w:p w:rsidR="003F5C7D" w:rsidRDefault="003F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3F5C7D">
      <w:tc>
        <w:tcPr>
          <w:tcW w:w="4500" w:type="pct"/>
          <w:tcBorders>
            <w:top w:val="single" w:sz="4" w:space="0" w:color="000000" w:themeColor="text1"/>
          </w:tcBorders>
        </w:tcPr>
        <w:p w:rsidR="003F5C7D" w:rsidRPr="00D22505" w:rsidRDefault="003F5C7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F5C7D" w:rsidRDefault="003F5C7D">
          <w:pPr>
            <w:pStyle w:val="Header"/>
            <w:rPr>
              <w:color w:val="FFFFFF" w:themeColor="background1"/>
            </w:rPr>
          </w:pPr>
          <w:r>
            <w:fldChar w:fldCharType="begin"/>
          </w:r>
          <w:r>
            <w:instrText xml:space="preserve"> PAGE   \* MERGEFORMAT </w:instrText>
          </w:r>
          <w:r>
            <w:fldChar w:fldCharType="separate"/>
          </w:r>
          <w:r w:rsidR="007F3C94" w:rsidRPr="007F3C94">
            <w:rPr>
              <w:noProof/>
              <w:color w:val="FFFFFF" w:themeColor="background1"/>
            </w:rPr>
            <w:t>4</w:t>
          </w:r>
          <w:r>
            <w:rPr>
              <w:noProof/>
              <w:color w:val="FFFFFF" w:themeColor="background1"/>
            </w:rPr>
            <w:fldChar w:fldCharType="end"/>
          </w:r>
        </w:p>
      </w:tc>
    </w:tr>
  </w:tbl>
  <w:p w:rsidR="003F5C7D" w:rsidRDefault="003F5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3F5C7D" w:rsidTr="00D22505">
      <w:tc>
        <w:tcPr>
          <w:tcW w:w="4500" w:type="pct"/>
          <w:tcBorders>
            <w:top w:val="single" w:sz="4" w:space="0" w:color="000000" w:themeColor="text1"/>
          </w:tcBorders>
        </w:tcPr>
        <w:p w:rsidR="003F5C7D" w:rsidRPr="00D22505" w:rsidRDefault="003F5C7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3F5C7D" w:rsidRDefault="003F5C7D">
          <w:pPr>
            <w:pStyle w:val="Header"/>
            <w:rPr>
              <w:color w:val="FFFFFF" w:themeColor="background1"/>
            </w:rPr>
          </w:pPr>
          <w:r>
            <w:fldChar w:fldCharType="begin"/>
          </w:r>
          <w:r>
            <w:instrText xml:space="preserve"> PAGE   \* MERGEFORMAT </w:instrText>
          </w:r>
          <w:r>
            <w:fldChar w:fldCharType="separate"/>
          </w:r>
          <w:r w:rsidR="007F3C94" w:rsidRPr="007F3C94">
            <w:rPr>
              <w:noProof/>
              <w:color w:val="FFFFFF" w:themeColor="background1"/>
            </w:rPr>
            <w:t>12</w:t>
          </w:r>
          <w:r>
            <w:rPr>
              <w:noProof/>
              <w:color w:val="FFFFFF" w:themeColor="background1"/>
            </w:rPr>
            <w:fldChar w:fldCharType="end"/>
          </w:r>
        </w:p>
      </w:tc>
    </w:tr>
  </w:tbl>
  <w:p w:rsidR="003F5C7D" w:rsidRDefault="003F5C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F5C7D" w:rsidTr="00D22505">
      <w:tc>
        <w:tcPr>
          <w:tcW w:w="4500" w:type="pct"/>
          <w:tcBorders>
            <w:top w:val="single" w:sz="4" w:space="0" w:color="000000" w:themeColor="text1"/>
          </w:tcBorders>
        </w:tcPr>
        <w:p w:rsidR="003F5C7D" w:rsidRPr="00D22505" w:rsidRDefault="003F5C7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3F5C7D" w:rsidRDefault="003F5C7D">
          <w:pPr>
            <w:pStyle w:val="Header"/>
            <w:rPr>
              <w:color w:val="FFFFFF" w:themeColor="background1"/>
            </w:rPr>
          </w:pPr>
          <w:r>
            <w:fldChar w:fldCharType="begin"/>
          </w:r>
          <w:r>
            <w:instrText xml:space="preserve"> PAGE   \* MERGEFORMAT </w:instrText>
          </w:r>
          <w:r>
            <w:fldChar w:fldCharType="separate"/>
          </w:r>
          <w:r w:rsidR="007F3C94" w:rsidRPr="007F3C94">
            <w:rPr>
              <w:noProof/>
              <w:color w:val="FFFFFF" w:themeColor="background1"/>
            </w:rPr>
            <w:t>18</w:t>
          </w:r>
          <w:r>
            <w:rPr>
              <w:noProof/>
              <w:color w:val="FFFFFF" w:themeColor="background1"/>
            </w:rPr>
            <w:fldChar w:fldCharType="end"/>
          </w:r>
        </w:p>
      </w:tc>
    </w:tr>
  </w:tbl>
  <w:p w:rsidR="003F5C7D" w:rsidRDefault="003F5C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F5C7D" w:rsidTr="00413D6F">
      <w:tc>
        <w:tcPr>
          <w:tcW w:w="4500" w:type="pct"/>
          <w:tcBorders>
            <w:top w:val="single" w:sz="4" w:space="0" w:color="000000" w:themeColor="text1"/>
          </w:tcBorders>
        </w:tcPr>
        <w:p w:rsidR="003F5C7D" w:rsidRPr="00D22505" w:rsidRDefault="003F5C7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3F5C7D" w:rsidRDefault="003F5C7D">
          <w:pPr>
            <w:pStyle w:val="Header"/>
            <w:rPr>
              <w:color w:val="FFFFFF" w:themeColor="background1"/>
            </w:rPr>
          </w:pPr>
          <w:r>
            <w:fldChar w:fldCharType="begin"/>
          </w:r>
          <w:r>
            <w:instrText xml:space="preserve"> PAGE   \* MERGEFORMAT </w:instrText>
          </w:r>
          <w:r>
            <w:fldChar w:fldCharType="separate"/>
          </w:r>
          <w:r w:rsidR="007F3C94" w:rsidRPr="007F3C94">
            <w:rPr>
              <w:noProof/>
              <w:color w:val="FFFFFF" w:themeColor="background1"/>
            </w:rPr>
            <w:t>21</w:t>
          </w:r>
          <w:r>
            <w:rPr>
              <w:noProof/>
              <w:color w:val="FFFFFF" w:themeColor="background1"/>
            </w:rPr>
            <w:fldChar w:fldCharType="end"/>
          </w:r>
        </w:p>
      </w:tc>
    </w:tr>
  </w:tbl>
  <w:p w:rsidR="003F5C7D" w:rsidRDefault="003F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36C" w:rsidRDefault="006C436C" w:rsidP="003B2D94">
      <w:pPr>
        <w:spacing w:after="0" w:line="240" w:lineRule="auto"/>
      </w:pPr>
      <w:r>
        <w:separator/>
      </w:r>
    </w:p>
  </w:footnote>
  <w:footnote w:type="continuationSeparator" w:id="0">
    <w:p w:rsidR="006C436C" w:rsidRDefault="006C436C"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77314"/>
    <w:multiLevelType w:val="hybridMultilevel"/>
    <w:tmpl w:val="D5909150"/>
    <w:lvl w:ilvl="0" w:tplc="7FC8A26C">
      <w:start w:val="1"/>
      <w:numFmt w:val="bullet"/>
      <w:pStyle w:val="Heading2"/>
      <w:lvlText w:val=""/>
      <w:lvlJc w:val="left"/>
      <w:pPr>
        <w:ind w:left="6598"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AA73890"/>
    <w:multiLevelType w:val="multilevel"/>
    <w:tmpl w:val="63A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F3AF4"/>
    <w:multiLevelType w:val="multilevel"/>
    <w:tmpl w:val="C48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72C0D"/>
    <w:multiLevelType w:val="hybridMultilevel"/>
    <w:tmpl w:val="40B491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0F97F33"/>
    <w:multiLevelType w:val="hybridMultilevel"/>
    <w:tmpl w:val="292862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C93446"/>
    <w:multiLevelType w:val="hybridMultilevel"/>
    <w:tmpl w:val="5468AC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C9725D6"/>
    <w:multiLevelType w:val="hybridMultilevel"/>
    <w:tmpl w:val="67C66D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DC370E4"/>
    <w:multiLevelType w:val="hybridMultilevel"/>
    <w:tmpl w:val="6526ED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F7E6D85"/>
    <w:multiLevelType w:val="multilevel"/>
    <w:tmpl w:val="A064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F7398"/>
    <w:multiLevelType w:val="hybridMultilevel"/>
    <w:tmpl w:val="C41021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65F3BDA"/>
    <w:multiLevelType w:val="hybridMultilevel"/>
    <w:tmpl w:val="A460A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8C82B6F"/>
    <w:multiLevelType w:val="hybridMultilevel"/>
    <w:tmpl w:val="F37466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1210BE8"/>
    <w:multiLevelType w:val="multilevel"/>
    <w:tmpl w:val="D0BE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3222F4"/>
    <w:multiLevelType w:val="multilevel"/>
    <w:tmpl w:val="3E0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7480F"/>
    <w:multiLevelType w:val="hybridMultilevel"/>
    <w:tmpl w:val="43F0A324"/>
    <w:lvl w:ilvl="0" w:tplc="433EFA36">
      <w:numFmt w:val="bullet"/>
      <w:lvlText w:val="-"/>
      <w:lvlJc w:val="left"/>
      <w:pPr>
        <w:ind w:left="1800" w:hanging="360"/>
      </w:pPr>
      <w:rPr>
        <w:rFonts w:ascii="Times New Roman" w:eastAsiaTheme="minorHAnsi"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7" w15:restartNumberingAfterBreak="0">
    <w:nsid w:val="7B775821"/>
    <w:multiLevelType w:val="hybridMultilevel"/>
    <w:tmpl w:val="4B42A0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2"/>
  </w:num>
  <w:num w:numId="5">
    <w:abstractNumId w:val="11"/>
  </w:num>
  <w:num w:numId="6">
    <w:abstractNumId w:val="6"/>
  </w:num>
  <w:num w:numId="7">
    <w:abstractNumId w:val="7"/>
  </w:num>
  <w:num w:numId="8">
    <w:abstractNumId w:val="17"/>
  </w:num>
  <w:num w:numId="9">
    <w:abstractNumId w:val="5"/>
  </w:num>
  <w:num w:numId="10">
    <w:abstractNumId w:val="15"/>
  </w:num>
  <w:num w:numId="11">
    <w:abstractNumId w:val="10"/>
  </w:num>
  <w:num w:numId="12">
    <w:abstractNumId w:val="0"/>
  </w:num>
  <w:num w:numId="13">
    <w:abstractNumId w:val="9"/>
  </w:num>
  <w:num w:numId="14">
    <w:abstractNumId w:val="14"/>
  </w:num>
  <w:num w:numId="15">
    <w:abstractNumId w:val="4"/>
  </w:num>
  <w:num w:numId="16">
    <w:abstractNumId w:val="16"/>
  </w:num>
  <w:num w:numId="17">
    <w:abstractNumId w:val="13"/>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B66"/>
    <w:rsid w:val="00062E84"/>
    <w:rsid w:val="00063258"/>
    <w:rsid w:val="000632AE"/>
    <w:rsid w:val="00063305"/>
    <w:rsid w:val="00063F9D"/>
    <w:rsid w:val="0006473F"/>
    <w:rsid w:val="00065049"/>
    <w:rsid w:val="00065080"/>
    <w:rsid w:val="00065342"/>
    <w:rsid w:val="00066E9F"/>
    <w:rsid w:val="0006717A"/>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CC7"/>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2CF7"/>
    <w:rsid w:val="00253BC9"/>
    <w:rsid w:val="002541A5"/>
    <w:rsid w:val="00254606"/>
    <w:rsid w:val="002549DE"/>
    <w:rsid w:val="00254B2A"/>
    <w:rsid w:val="00254E3F"/>
    <w:rsid w:val="00254FF1"/>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59F"/>
    <w:rsid w:val="0029564F"/>
    <w:rsid w:val="00295ECF"/>
    <w:rsid w:val="00296397"/>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C7D"/>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104"/>
    <w:rsid w:val="00404A07"/>
    <w:rsid w:val="00404D98"/>
    <w:rsid w:val="0040510A"/>
    <w:rsid w:val="00407101"/>
    <w:rsid w:val="004074B2"/>
    <w:rsid w:val="00407855"/>
    <w:rsid w:val="00410177"/>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57162"/>
    <w:rsid w:val="005602B7"/>
    <w:rsid w:val="00560B2B"/>
    <w:rsid w:val="0056114E"/>
    <w:rsid w:val="005620B2"/>
    <w:rsid w:val="00562A11"/>
    <w:rsid w:val="00562F39"/>
    <w:rsid w:val="005636D6"/>
    <w:rsid w:val="0056397F"/>
    <w:rsid w:val="005639C2"/>
    <w:rsid w:val="00564FF4"/>
    <w:rsid w:val="00565405"/>
    <w:rsid w:val="00565704"/>
    <w:rsid w:val="00565895"/>
    <w:rsid w:val="005658D6"/>
    <w:rsid w:val="0056592B"/>
    <w:rsid w:val="00565BF9"/>
    <w:rsid w:val="00565E22"/>
    <w:rsid w:val="0056646D"/>
    <w:rsid w:val="00566C00"/>
    <w:rsid w:val="005671A7"/>
    <w:rsid w:val="00567387"/>
    <w:rsid w:val="005677BA"/>
    <w:rsid w:val="00567EB8"/>
    <w:rsid w:val="005710CC"/>
    <w:rsid w:val="00572CA6"/>
    <w:rsid w:val="00573516"/>
    <w:rsid w:val="005739E6"/>
    <w:rsid w:val="00573A3E"/>
    <w:rsid w:val="005744BB"/>
    <w:rsid w:val="00574AEA"/>
    <w:rsid w:val="005753B6"/>
    <w:rsid w:val="00575B88"/>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48A"/>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54D9"/>
    <w:rsid w:val="00615DE6"/>
    <w:rsid w:val="006163BC"/>
    <w:rsid w:val="00616409"/>
    <w:rsid w:val="006167D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AB7"/>
    <w:rsid w:val="00631CE1"/>
    <w:rsid w:val="0063281F"/>
    <w:rsid w:val="006335D4"/>
    <w:rsid w:val="00633CCE"/>
    <w:rsid w:val="00633F01"/>
    <w:rsid w:val="006348D2"/>
    <w:rsid w:val="00634A3F"/>
    <w:rsid w:val="006355E1"/>
    <w:rsid w:val="0063585E"/>
    <w:rsid w:val="00635897"/>
    <w:rsid w:val="006364DB"/>
    <w:rsid w:val="006366CD"/>
    <w:rsid w:val="00636A45"/>
    <w:rsid w:val="00640196"/>
    <w:rsid w:val="00640D6B"/>
    <w:rsid w:val="006413CD"/>
    <w:rsid w:val="00642724"/>
    <w:rsid w:val="00642A23"/>
    <w:rsid w:val="00643AA6"/>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39C"/>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71C"/>
    <w:rsid w:val="006C3A8B"/>
    <w:rsid w:val="006C3F1F"/>
    <w:rsid w:val="006C436C"/>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071"/>
    <w:rsid w:val="00703403"/>
    <w:rsid w:val="00703950"/>
    <w:rsid w:val="00704202"/>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2B6B"/>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77A"/>
    <w:rsid w:val="007B7190"/>
    <w:rsid w:val="007B729B"/>
    <w:rsid w:val="007B7829"/>
    <w:rsid w:val="007B795B"/>
    <w:rsid w:val="007C02FA"/>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3D1A"/>
    <w:rsid w:val="00814178"/>
    <w:rsid w:val="0081427B"/>
    <w:rsid w:val="008142C6"/>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3B9B"/>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8E2"/>
    <w:rsid w:val="00A45C52"/>
    <w:rsid w:val="00A468E0"/>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81"/>
    <w:rsid w:val="00AD36C0"/>
    <w:rsid w:val="00AD4097"/>
    <w:rsid w:val="00AD40B7"/>
    <w:rsid w:val="00AD4190"/>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006"/>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0B1"/>
    <w:rsid w:val="00B04117"/>
    <w:rsid w:val="00B04404"/>
    <w:rsid w:val="00B0444E"/>
    <w:rsid w:val="00B046AF"/>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FBB"/>
    <w:rsid w:val="00B70203"/>
    <w:rsid w:val="00B7023A"/>
    <w:rsid w:val="00B70609"/>
    <w:rsid w:val="00B709B2"/>
    <w:rsid w:val="00B71313"/>
    <w:rsid w:val="00B7134C"/>
    <w:rsid w:val="00B71AA2"/>
    <w:rsid w:val="00B71E13"/>
    <w:rsid w:val="00B72277"/>
    <w:rsid w:val="00B723C9"/>
    <w:rsid w:val="00B72C6E"/>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1D6"/>
    <w:rsid w:val="00BF2401"/>
    <w:rsid w:val="00BF2916"/>
    <w:rsid w:val="00BF36B8"/>
    <w:rsid w:val="00BF3DAC"/>
    <w:rsid w:val="00BF4191"/>
    <w:rsid w:val="00BF41EF"/>
    <w:rsid w:val="00BF452D"/>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36C"/>
    <w:rsid w:val="00C075E1"/>
    <w:rsid w:val="00C07804"/>
    <w:rsid w:val="00C07826"/>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4EA6"/>
    <w:rsid w:val="00C3563C"/>
    <w:rsid w:val="00C3571D"/>
    <w:rsid w:val="00C36139"/>
    <w:rsid w:val="00C36A11"/>
    <w:rsid w:val="00C36CD1"/>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22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4E67"/>
    <w:rsid w:val="00C950B8"/>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D00854"/>
    <w:rsid w:val="00D00941"/>
    <w:rsid w:val="00D00A91"/>
    <w:rsid w:val="00D00D58"/>
    <w:rsid w:val="00D01348"/>
    <w:rsid w:val="00D0148E"/>
    <w:rsid w:val="00D0176A"/>
    <w:rsid w:val="00D01978"/>
    <w:rsid w:val="00D0259D"/>
    <w:rsid w:val="00D02875"/>
    <w:rsid w:val="00D02C25"/>
    <w:rsid w:val="00D0354B"/>
    <w:rsid w:val="00D03C1A"/>
    <w:rsid w:val="00D03DC5"/>
    <w:rsid w:val="00D03E4B"/>
    <w:rsid w:val="00D043E1"/>
    <w:rsid w:val="00D0519F"/>
    <w:rsid w:val="00D058FF"/>
    <w:rsid w:val="00D05E43"/>
    <w:rsid w:val="00D07746"/>
    <w:rsid w:val="00D078A7"/>
    <w:rsid w:val="00D07C26"/>
    <w:rsid w:val="00D10455"/>
    <w:rsid w:val="00D10C72"/>
    <w:rsid w:val="00D11188"/>
    <w:rsid w:val="00D1199D"/>
    <w:rsid w:val="00D12DBB"/>
    <w:rsid w:val="00D130C3"/>
    <w:rsid w:val="00D13287"/>
    <w:rsid w:val="00D13E8D"/>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51E"/>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A2"/>
    <w:rsid w:val="00D3570B"/>
    <w:rsid w:val="00D35C89"/>
    <w:rsid w:val="00D35DD2"/>
    <w:rsid w:val="00D35F88"/>
    <w:rsid w:val="00D36148"/>
    <w:rsid w:val="00D3628E"/>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607"/>
    <w:rsid w:val="00E968FC"/>
    <w:rsid w:val="00E96A02"/>
    <w:rsid w:val="00E9742A"/>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E38"/>
    <w:rsid w:val="00F47171"/>
    <w:rsid w:val="00F47B0C"/>
    <w:rsid w:val="00F50587"/>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533A"/>
    <w:rsid w:val="00F75BDF"/>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61537C-1CF6-4AAA-8697-A974E750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recruitment.wto.org/public/hrd-cl-vac-view.asp?jobinfo_uid_c=3475&amp;vaclng=en" TargetMode="External"/><Relationship Id="rId18" Type="http://schemas.openxmlformats.org/officeDocument/2006/relationships/footer" Target="footer2.xml"/><Relationship Id="rId26" Type="http://schemas.openxmlformats.org/officeDocument/2006/relationships/hyperlink" Target="http://ec.europa.eu/research/participants/portal/desktop/en/opportunities/h2020/" TargetMode="External"/><Relationship Id="rId39" Type="http://schemas.openxmlformats.org/officeDocument/2006/relationships/hyperlink" Target="http://lsb2018.com/" TargetMode="External"/><Relationship Id="rId21" Type="http://schemas.openxmlformats.org/officeDocument/2006/relationships/hyperlink" Target="mailto:fni-konkursi@mon.bg" TargetMode="External"/><Relationship Id="rId34" Type="http://schemas.openxmlformats.org/officeDocument/2006/relationships/hyperlink" Target="http://www.wessex.ac.uk/conferences/2018/bem-41" TargetMode="External"/><Relationship Id="rId42" Type="http://schemas.openxmlformats.org/officeDocument/2006/relationships/hyperlink" Target="http://www.hbm4eu-vienna2018.com/" TargetMode="External"/><Relationship Id="rId47" Type="http://schemas.openxmlformats.org/officeDocument/2006/relationships/footer" Target="footer4.xml"/><Relationship Id="rId50" Type="http://schemas.openxmlformats.org/officeDocument/2006/relationships/image" Target="media/image3.jpeg"/><Relationship Id="rId55"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www.mastersportal.com/pages/the-global-study-awards/" TargetMode="External"/><Relationship Id="rId17" Type="http://schemas.openxmlformats.org/officeDocument/2006/relationships/hyperlink" Target="http://www.nurembergacademy.org/about-us/job-offers/detail/3-months-internship-14/" TargetMode="External"/><Relationship Id="rId25" Type="http://schemas.openxmlformats.org/officeDocument/2006/relationships/hyperlink" Target="https://projects.uni-sofia.bg/" TargetMode="External"/><Relationship Id="rId33" Type="http://schemas.openxmlformats.org/officeDocument/2006/relationships/hyperlink" Target="https://acupuncture.euroscicon.com/" TargetMode="External"/><Relationship Id="rId38" Type="http://schemas.openxmlformats.org/officeDocument/2006/relationships/hyperlink" Target="http://www.kmis.ic3k.org/" TargetMode="External"/><Relationship Id="rId46" Type="http://schemas.openxmlformats.org/officeDocument/2006/relationships/hyperlink" Target="https://www.icpermed.eu/en/ICPerMed-Conference-2018.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o.org/employment/opportunities-for-young-talents/internship-programme/en/" TargetMode="External"/><Relationship Id="rId20" Type="http://schemas.openxmlformats.org/officeDocument/2006/relationships/hyperlink" Target="https://www.fni.bg/sites/default/files/competition/10_2016/Procedura_COST_nac_finansirane%E2%80%9329012016.pdf" TargetMode="External"/><Relationship Id="rId29" Type="http://schemas.openxmlformats.org/officeDocument/2006/relationships/hyperlink" Target="http://scientificfederation.com/atomic-nuclear-physics-2018/" TargetMode="External"/><Relationship Id="rId41" Type="http://schemas.openxmlformats.org/officeDocument/2006/relationships/hyperlink" Target="http://www.hbm4eu-vienna2018.com/" TargetMode="External"/><Relationship Id="rId54" Type="http://schemas.openxmlformats.org/officeDocument/2006/relationships/hyperlink" Target="http://www.eua.be/Libraries/publications-homepage-list/eua-big-deals-survey-report---the-first-mapping-of-major-scientific-publishing-contracts-in-euro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tersportal.com/pages/the-global-study-awards/" TargetMode="External"/><Relationship Id="rId24" Type="http://schemas.openxmlformats.org/officeDocument/2006/relationships/hyperlink" Target="http://www.polarcenter-bg.com/10501086108510821091108810891080.html" TargetMode="External"/><Relationship Id="rId32" Type="http://schemas.openxmlformats.org/officeDocument/2006/relationships/hyperlink" Target="https://www.ares-conference.eu/workshops/secpid-2018/" TargetMode="External"/><Relationship Id="rId37" Type="http://schemas.openxmlformats.org/officeDocument/2006/relationships/hyperlink" Target="http://www.webist.org/" TargetMode="External"/><Relationship Id="rId40" Type="http://schemas.openxmlformats.org/officeDocument/2006/relationships/hyperlink" Target="https://www.hbm4eu.eu/" TargetMode="External"/><Relationship Id="rId45" Type="http://schemas.openxmlformats.org/officeDocument/2006/relationships/hyperlink" Target="http://www.eua.be/activities-services/events/event/2018/11/15/default-calendar/13th-european-quality-assurance-forum" TargetMode="External"/><Relationship Id="rId53" Type="http://schemas.openxmlformats.org/officeDocument/2006/relationships/hyperlink" Target="https://policypress.co.uk/femicide-across-europe"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ternship@unicreditgroup.bg" TargetMode="External"/><Relationship Id="rId23" Type="http://schemas.openxmlformats.org/officeDocument/2006/relationships/hyperlink" Target="http://www.fni.bg/" TargetMode="External"/><Relationship Id="rId28" Type="http://schemas.openxmlformats.org/officeDocument/2006/relationships/hyperlink" Target="http://www.esof.eu/" TargetMode="External"/><Relationship Id="rId36" Type="http://schemas.openxmlformats.org/officeDocument/2006/relationships/hyperlink" Target="https://education.humanbrainproject.eu/web/hbp-school-the-brain-simulation-platform/home" TargetMode="External"/><Relationship Id="rId49" Type="http://schemas.openxmlformats.org/officeDocument/2006/relationships/hyperlink" Target="https://cordis.europa.eu/research-eu/home_en.html" TargetMode="External"/><Relationship Id="rId57"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fni.bg/?q=node/527" TargetMode="External"/><Relationship Id="rId31" Type="http://schemas.openxmlformats.org/officeDocument/2006/relationships/hyperlink" Target="http://www.dcnet.icete.org/" TargetMode="External"/><Relationship Id="rId44" Type="http://schemas.openxmlformats.org/officeDocument/2006/relationships/hyperlink" Target="http://www.eua.be/activities-services/events/event/2018/10/18/default-calendar/4th-eua-funding-forum" TargetMode="External"/><Relationship Id="rId52"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unicreditbulbank.bg/bg/index.htm" TargetMode="External"/><Relationship Id="rId22" Type="http://schemas.openxmlformats.org/officeDocument/2006/relationships/hyperlink" Target="http://www.eeagrants.bg/bg/2014-2021/%D0%BD%D0%BE%D0%B2%D0%B8%D0%BD%D0%B82/%D1%81%D1%82%D0%B0%D1%80%D1%82%D0%B8%D1%80%D0%B0-%D1%84%D0%BE%D0%BD%D0%B4%D1%8A%D1%82-%D0%B7%D0%B0-%D1%80%D0%B5%D0%B3%D0%B8%D0%BE%D0%BD%D0%B0%D0%BB%D0%BD%D0%BE-%D1%81%D1%8A%D1%82%D1%80%D1%83%D0%B4%D0%BD%D0%B8%D1%87%D0%B5%D1%81%D1%82%D0%B2%D0%BE,-%D1%84%D0%B8%D0%BD%D0%B0%D0%BD%D1%81%D0%B8%D1%80%D0%B0%D0%BD-%D0%BF%D0%BE-%D1%84%D0%BC-%D0%BD%D0%B0-%D0%B5%D0%B8%D0%BF-%D0%B8-%D0%BD%D1%84%D0%BC-2014-2021-%D0%B3.html" TargetMode="External"/><Relationship Id="rId27" Type="http://schemas.openxmlformats.org/officeDocument/2006/relationships/footer" Target="footer3.xml"/><Relationship Id="rId30" Type="http://schemas.openxmlformats.org/officeDocument/2006/relationships/hyperlink" Target="http://www.ice-b.icete.org/" TargetMode="External"/><Relationship Id="rId35" Type="http://schemas.openxmlformats.org/officeDocument/2006/relationships/hyperlink" Target="https://ecsdev.org/index.php/conference" TargetMode="External"/><Relationship Id="rId43" Type="http://schemas.openxmlformats.org/officeDocument/2006/relationships/hyperlink" Target="https://euraxess.ec.europa.eu/euraxess/events/ensuring-excellent-research-investing-researchers%E2%80%99-talents-skills-career-development" TargetMode="External"/><Relationship Id="rId48" Type="http://schemas.openxmlformats.org/officeDocument/2006/relationships/image" Target="media/image2.jpeg"/><Relationship Id="rId56" Type="http://schemas.openxmlformats.org/officeDocument/2006/relationships/hyperlink" Target="http://cerncourier.com/cws/Pages/digital-edition.do" TargetMode="External"/><Relationship Id="rId8" Type="http://schemas.openxmlformats.org/officeDocument/2006/relationships/endnotes" Target="endnotes.xml"/><Relationship Id="rId51" Type="http://schemas.openxmlformats.org/officeDocument/2006/relationships/hyperlink" Target="https://www.springer.com/gp/book/9783319702926"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1A0949-F685-4954-8DF6-C5E4DEA9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6423</Words>
  <Characters>36615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2018-06-06T19:19:00Z</dcterms:created>
  <dcterms:modified xsi:type="dcterms:W3CDTF">2018-06-06T19:19:00Z</dcterms:modified>
</cp:coreProperties>
</file>