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952" w:rsidRPr="00DC58A3" w:rsidRDefault="00AC75D6" w:rsidP="00DC58A3">
      <w:pPr>
        <w:jc w:val="left"/>
        <w:rPr>
          <w:rFonts w:ascii="Comic Sans MS" w:hAnsi="Comic Sans MS"/>
          <w:b/>
          <w:color w:val="FF0000"/>
          <w:sz w:val="28"/>
          <w:szCs w:val="28"/>
          <w:lang w:val="en-US"/>
        </w:rPr>
      </w:pPr>
      <w:bookmarkStart w:id="0" w:name="_GoBack"/>
      <w:bookmarkEnd w:id="0"/>
      <w:r>
        <w:rPr>
          <w:b/>
          <w:color w:val="FF0000"/>
        </w:rPr>
        <w:t xml:space="preserve">  </w:t>
      </w:r>
      <w:sdt>
        <w:sdtPr>
          <w:rPr>
            <w:b/>
            <w:color w:val="FF0000"/>
          </w:rPr>
          <w:id w:val="25731550"/>
          <w:docPartObj>
            <w:docPartGallery w:val="Cover Pages"/>
            <w:docPartUnique/>
          </w:docPartObj>
        </w:sdtPr>
        <w:sdtEndPr>
          <w:rPr>
            <w:sz w:val="28"/>
            <w:szCs w:val="28"/>
          </w:rPr>
        </w:sdtEndPr>
        <w:sdtContent>
          <w:r w:rsidR="005C086E" w:rsidRPr="00E848D9">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64B4E98D" wp14:editId="0B70B9D7">
                    <wp:simplePos x="0" y="0"/>
                    <wp:positionH relativeFrom="column">
                      <wp:posOffset>-893445</wp:posOffset>
                    </wp:positionH>
                    <wp:positionV relativeFrom="paragraph">
                      <wp:posOffset>-899795</wp:posOffset>
                    </wp:positionV>
                    <wp:extent cx="7553960" cy="10690860"/>
                    <wp:effectExtent l="6350" t="0" r="254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675494" w:rsidRPr="00015B3F" w:rsidRDefault="00675494">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675494" w:rsidRPr="00015B3F" w:rsidRDefault="00675494"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675494" w:rsidRPr="00015B3F" w:rsidRDefault="00675494">
                                  <w:pPr>
                                    <w:pStyle w:val="NoSpacing"/>
                                    <w:spacing w:line="360" w:lineRule="auto"/>
                                    <w:rPr>
                                      <w:color w:val="FFFFFF" w:themeColor="background1"/>
                                      <w:sz w:val="28"/>
                                      <w:szCs w:val="28"/>
                                    </w:rPr>
                                  </w:pPr>
                                </w:p>
                                <w:p w:rsidR="00675494" w:rsidRPr="00015B3F" w:rsidRDefault="00675494">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0"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675494" w:rsidRPr="00D00941" w:rsidRDefault="00675494">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4B4E98D"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kngUAAM4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675494" w:rsidRPr="00015B3F" w:rsidRDefault="00675494">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ЮНИ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9</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rsidR="00675494" w:rsidRPr="00015B3F" w:rsidRDefault="00675494"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675494" w:rsidRPr="00015B3F" w:rsidRDefault="00675494">
                            <w:pPr>
                              <w:pStyle w:val="NoSpacing"/>
                              <w:spacing w:line="360" w:lineRule="auto"/>
                              <w:rPr>
                                <w:color w:val="FFFFFF" w:themeColor="background1"/>
                                <w:sz w:val="28"/>
                                <w:szCs w:val="28"/>
                              </w:rPr>
                            </w:pPr>
                          </w:p>
                          <w:p w:rsidR="00675494" w:rsidRPr="00015B3F" w:rsidRDefault="00675494">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551580673"/>
                              <w:dataBinding w:prefixMappings="xmlns:ns0='http://schemas.openxmlformats.org/package/2006/metadata/core-properties' xmlns:ns1='http://purl.org/dc/elements/1.1/'" w:xpath="/ns0:coreProperties[1]/ns1:title[1]" w:storeItemID="{6C3C8BC8-F283-45AE-878A-BAB7291924A1}"/>
                              <w:text/>
                            </w:sdtPr>
                            <w:sdtEndPr/>
                            <w:sdtContent>
                              <w:p w:rsidR="00675494" w:rsidRPr="00D00941" w:rsidRDefault="00675494">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Default="006D7E8D" w:rsidP="00E848D9">
      <w:pPr>
        <w:tabs>
          <w:tab w:val="left" w:pos="1452"/>
        </w:tabs>
        <w:rPr>
          <w:sz w:val="28"/>
          <w:szCs w:val="28"/>
        </w:rPr>
      </w:pPr>
    </w:p>
    <w:p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rsidR="006D7E8D" w:rsidRDefault="006D7E8D" w:rsidP="00E848D9">
      <w:pPr>
        <w:tabs>
          <w:tab w:val="left" w:pos="1452"/>
        </w:tabs>
        <w:rPr>
          <w:sz w:val="28"/>
          <w:szCs w:val="28"/>
        </w:rPr>
      </w:pPr>
    </w:p>
    <w:p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4E357A" w:rsidRDefault="00704518">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11064646" w:history="1">
            <w:r w:rsidR="004E357A" w:rsidRPr="009A3364">
              <w:rPr>
                <w:rStyle w:val="Hyperlink"/>
                <w:rFonts w:cs="Times New Roman"/>
                <w:noProof/>
              </w:rPr>
              <w:t>КОНКУРСИ, СТИПЕНДИИ, СТАЖОВЕ</w:t>
            </w:r>
            <w:r w:rsidR="004E357A">
              <w:rPr>
                <w:noProof/>
                <w:webHidden/>
              </w:rPr>
              <w:tab/>
            </w:r>
            <w:r w:rsidR="004E357A">
              <w:rPr>
                <w:noProof/>
                <w:webHidden/>
              </w:rPr>
              <w:fldChar w:fldCharType="begin"/>
            </w:r>
            <w:r w:rsidR="004E357A">
              <w:rPr>
                <w:noProof/>
                <w:webHidden/>
              </w:rPr>
              <w:instrText xml:space="preserve"> PAGEREF _Toc11064646 \h </w:instrText>
            </w:r>
            <w:r w:rsidR="004E357A">
              <w:rPr>
                <w:noProof/>
                <w:webHidden/>
              </w:rPr>
            </w:r>
            <w:r w:rsidR="004E357A">
              <w:rPr>
                <w:noProof/>
                <w:webHidden/>
              </w:rPr>
              <w:fldChar w:fldCharType="separate"/>
            </w:r>
            <w:r w:rsidR="004E357A">
              <w:rPr>
                <w:noProof/>
                <w:webHidden/>
              </w:rPr>
              <w:t>3</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47"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Стипендиантска програма на АЕЦ "Козлодуй"</w:t>
            </w:r>
            <w:r w:rsidR="004E357A">
              <w:rPr>
                <w:noProof/>
                <w:webHidden/>
              </w:rPr>
              <w:tab/>
            </w:r>
            <w:r w:rsidR="004E357A">
              <w:rPr>
                <w:noProof/>
                <w:webHidden/>
              </w:rPr>
              <w:fldChar w:fldCharType="begin"/>
            </w:r>
            <w:r w:rsidR="004E357A">
              <w:rPr>
                <w:noProof/>
                <w:webHidden/>
              </w:rPr>
              <w:instrText xml:space="preserve"> PAGEREF _Toc11064647 \h </w:instrText>
            </w:r>
            <w:r w:rsidR="004E357A">
              <w:rPr>
                <w:noProof/>
                <w:webHidden/>
              </w:rPr>
            </w:r>
            <w:r w:rsidR="004E357A">
              <w:rPr>
                <w:noProof/>
                <w:webHidden/>
              </w:rPr>
              <w:fldChar w:fldCharType="separate"/>
            </w:r>
            <w:r w:rsidR="004E357A">
              <w:rPr>
                <w:noProof/>
                <w:webHidden/>
              </w:rPr>
              <w:t>3</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48"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Конкурс за стипендии на образователната платформа ARC Academy</w:t>
            </w:r>
            <w:r w:rsidR="004E357A">
              <w:rPr>
                <w:noProof/>
                <w:webHidden/>
              </w:rPr>
              <w:tab/>
            </w:r>
            <w:r w:rsidR="004E357A">
              <w:rPr>
                <w:noProof/>
                <w:webHidden/>
              </w:rPr>
              <w:fldChar w:fldCharType="begin"/>
            </w:r>
            <w:r w:rsidR="004E357A">
              <w:rPr>
                <w:noProof/>
                <w:webHidden/>
              </w:rPr>
              <w:instrText xml:space="preserve"> PAGEREF _Toc11064648 \h </w:instrText>
            </w:r>
            <w:r w:rsidR="004E357A">
              <w:rPr>
                <w:noProof/>
                <w:webHidden/>
              </w:rPr>
            </w:r>
            <w:r w:rsidR="004E357A">
              <w:rPr>
                <w:noProof/>
                <w:webHidden/>
              </w:rPr>
              <w:fldChar w:fldCharType="separate"/>
            </w:r>
            <w:r w:rsidR="004E357A">
              <w:rPr>
                <w:noProof/>
                <w:webHidden/>
              </w:rPr>
              <w:t>3</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49"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Стажантска програма за ИТ специалисти</w:t>
            </w:r>
            <w:r w:rsidR="004E357A">
              <w:rPr>
                <w:noProof/>
                <w:webHidden/>
              </w:rPr>
              <w:tab/>
            </w:r>
            <w:r w:rsidR="004E357A">
              <w:rPr>
                <w:noProof/>
                <w:webHidden/>
              </w:rPr>
              <w:fldChar w:fldCharType="begin"/>
            </w:r>
            <w:r w:rsidR="004E357A">
              <w:rPr>
                <w:noProof/>
                <w:webHidden/>
              </w:rPr>
              <w:instrText xml:space="preserve"> PAGEREF _Toc11064649 \h </w:instrText>
            </w:r>
            <w:r w:rsidR="004E357A">
              <w:rPr>
                <w:noProof/>
                <w:webHidden/>
              </w:rPr>
            </w:r>
            <w:r w:rsidR="004E357A">
              <w:rPr>
                <w:noProof/>
                <w:webHidden/>
              </w:rPr>
              <w:fldChar w:fldCharType="separate"/>
            </w:r>
            <w:r w:rsidR="004E357A">
              <w:rPr>
                <w:noProof/>
                <w:webHidden/>
              </w:rPr>
              <w:t>4</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50" w:history="1">
            <w:r w:rsidR="004E357A" w:rsidRPr="009A3364">
              <w:rPr>
                <w:rStyle w:val="Hyperlink"/>
                <w:rFonts w:ascii="Wingdings" w:hAnsi="Wingdings"/>
                <w:noProof/>
                <w:lang w:val="ru-RU"/>
              </w:rPr>
              <w:t></w:t>
            </w:r>
            <w:r w:rsidR="004E357A">
              <w:rPr>
                <w:rFonts w:asciiTheme="minorHAnsi" w:eastAsiaTheme="minorEastAsia" w:hAnsiTheme="minorHAnsi"/>
                <w:noProof/>
                <w:lang w:eastAsia="bg-BG"/>
              </w:rPr>
              <w:tab/>
            </w:r>
            <w:r w:rsidR="004E357A" w:rsidRPr="009A3364">
              <w:rPr>
                <w:rStyle w:val="Hyperlink"/>
                <w:noProof/>
              </w:rPr>
              <w:t>Стажантска програма на VMware България</w:t>
            </w:r>
            <w:r w:rsidR="004E357A">
              <w:rPr>
                <w:noProof/>
                <w:webHidden/>
              </w:rPr>
              <w:tab/>
            </w:r>
            <w:r w:rsidR="004E357A">
              <w:rPr>
                <w:noProof/>
                <w:webHidden/>
              </w:rPr>
              <w:fldChar w:fldCharType="begin"/>
            </w:r>
            <w:r w:rsidR="004E357A">
              <w:rPr>
                <w:noProof/>
                <w:webHidden/>
              </w:rPr>
              <w:instrText xml:space="preserve"> PAGEREF _Toc11064650 \h </w:instrText>
            </w:r>
            <w:r w:rsidR="004E357A">
              <w:rPr>
                <w:noProof/>
                <w:webHidden/>
              </w:rPr>
            </w:r>
            <w:r w:rsidR="004E357A">
              <w:rPr>
                <w:noProof/>
                <w:webHidden/>
              </w:rPr>
              <w:fldChar w:fldCharType="separate"/>
            </w:r>
            <w:r w:rsidR="004E357A">
              <w:rPr>
                <w:noProof/>
                <w:webHidden/>
              </w:rPr>
              <w:t>4</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51"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Стаж в BMW Bulgaria</w:t>
            </w:r>
            <w:r w:rsidR="004E357A">
              <w:rPr>
                <w:noProof/>
                <w:webHidden/>
              </w:rPr>
              <w:tab/>
            </w:r>
            <w:r w:rsidR="004E357A">
              <w:rPr>
                <w:noProof/>
                <w:webHidden/>
              </w:rPr>
              <w:fldChar w:fldCharType="begin"/>
            </w:r>
            <w:r w:rsidR="004E357A">
              <w:rPr>
                <w:noProof/>
                <w:webHidden/>
              </w:rPr>
              <w:instrText xml:space="preserve"> PAGEREF _Toc11064651 \h </w:instrText>
            </w:r>
            <w:r w:rsidR="004E357A">
              <w:rPr>
                <w:noProof/>
                <w:webHidden/>
              </w:rPr>
            </w:r>
            <w:r w:rsidR="004E357A">
              <w:rPr>
                <w:noProof/>
                <w:webHidden/>
              </w:rPr>
              <w:fldChar w:fldCharType="separate"/>
            </w:r>
            <w:r w:rsidR="004E357A">
              <w:rPr>
                <w:noProof/>
                <w:webHidden/>
              </w:rPr>
              <w:t>4</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52" w:history="1">
            <w:r w:rsidR="004E357A" w:rsidRPr="009A3364">
              <w:rPr>
                <w:rStyle w:val="Hyperlink"/>
                <w:rFonts w:ascii="Wingdings" w:hAnsi="Wingdings"/>
                <w:noProof/>
                <w:lang w:val="ru-RU"/>
              </w:rPr>
              <w:t></w:t>
            </w:r>
            <w:r w:rsidR="004E357A">
              <w:rPr>
                <w:rFonts w:asciiTheme="minorHAnsi" w:eastAsiaTheme="minorEastAsia" w:hAnsiTheme="minorHAnsi"/>
                <w:noProof/>
                <w:lang w:eastAsia="bg-BG"/>
              </w:rPr>
              <w:tab/>
            </w:r>
            <w:r w:rsidR="004E357A" w:rsidRPr="009A3364">
              <w:rPr>
                <w:rStyle w:val="Hyperlink"/>
                <w:noProof/>
              </w:rPr>
              <w:t>Платен стаж в Световната търговска организация</w:t>
            </w:r>
            <w:r w:rsidR="004E357A">
              <w:rPr>
                <w:noProof/>
                <w:webHidden/>
              </w:rPr>
              <w:tab/>
            </w:r>
            <w:r w:rsidR="004E357A">
              <w:rPr>
                <w:noProof/>
                <w:webHidden/>
              </w:rPr>
              <w:fldChar w:fldCharType="begin"/>
            </w:r>
            <w:r w:rsidR="004E357A">
              <w:rPr>
                <w:noProof/>
                <w:webHidden/>
              </w:rPr>
              <w:instrText xml:space="preserve"> PAGEREF _Toc11064652 \h </w:instrText>
            </w:r>
            <w:r w:rsidR="004E357A">
              <w:rPr>
                <w:noProof/>
                <w:webHidden/>
              </w:rPr>
            </w:r>
            <w:r w:rsidR="004E357A">
              <w:rPr>
                <w:noProof/>
                <w:webHidden/>
              </w:rPr>
              <w:fldChar w:fldCharType="separate"/>
            </w:r>
            <w:r w:rsidR="004E357A">
              <w:rPr>
                <w:noProof/>
                <w:webHidden/>
              </w:rPr>
              <w:t>5</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53"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Стажантска програма на УниКредит Булбанк</w:t>
            </w:r>
            <w:r w:rsidR="004E357A">
              <w:rPr>
                <w:noProof/>
                <w:webHidden/>
              </w:rPr>
              <w:tab/>
            </w:r>
            <w:r w:rsidR="004E357A">
              <w:rPr>
                <w:noProof/>
                <w:webHidden/>
              </w:rPr>
              <w:fldChar w:fldCharType="begin"/>
            </w:r>
            <w:r w:rsidR="004E357A">
              <w:rPr>
                <w:noProof/>
                <w:webHidden/>
              </w:rPr>
              <w:instrText xml:space="preserve"> PAGEREF _Toc11064653 \h </w:instrText>
            </w:r>
            <w:r w:rsidR="004E357A">
              <w:rPr>
                <w:noProof/>
                <w:webHidden/>
              </w:rPr>
            </w:r>
            <w:r w:rsidR="004E357A">
              <w:rPr>
                <w:noProof/>
                <w:webHidden/>
              </w:rPr>
              <w:fldChar w:fldCharType="separate"/>
            </w:r>
            <w:r w:rsidR="004E357A">
              <w:rPr>
                <w:noProof/>
                <w:webHidden/>
              </w:rPr>
              <w:t>5</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54"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Стаж в Организацията по прехрана и земеделие (FAO) към ООН</w:t>
            </w:r>
            <w:r w:rsidR="004E357A">
              <w:rPr>
                <w:noProof/>
                <w:webHidden/>
              </w:rPr>
              <w:tab/>
            </w:r>
            <w:r w:rsidR="004E357A">
              <w:rPr>
                <w:noProof/>
                <w:webHidden/>
              </w:rPr>
              <w:fldChar w:fldCharType="begin"/>
            </w:r>
            <w:r w:rsidR="004E357A">
              <w:rPr>
                <w:noProof/>
                <w:webHidden/>
              </w:rPr>
              <w:instrText xml:space="preserve"> PAGEREF _Toc11064654 \h </w:instrText>
            </w:r>
            <w:r w:rsidR="004E357A">
              <w:rPr>
                <w:noProof/>
                <w:webHidden/>
              </w:rPr>
            </w:r>
            <w:r w:rsidR="004E357A">
              <w:rPr>
                <w:noProof/>
                <w:webHidden/>
              </w:rPr>
              <w:fldChar w:fldCharType="separate"/>
            </w:r>
            <w:r w:rsidR="004E357A">
              <w:rPr>
                <w:noProof/>
                <w:webHidden/>
              </w:rPr>
              <w:t>5</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55"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Стажове в Международната академия на нюрнбергските принципи</w:t>
            </w:r>
            <w:r w:rsidR="004E357A">
              <w:rPr>
                <w:noProof/>
                <w:webHidden/>
              </w:rPr>
              <w:tab/>
            </w:r>
            <w:r w:rsidR="004E357A">
              <w:rPr>
                <w:noProof/>
                <w:webHidden/>
              </w:rPr>
              <w:fldChar w:fldCharType="begin"/>
            </w:r>
            <w:r w:rsidR="004E357A">
              <w:rPr>
                <w:noProof/>
                <w:webHidden/>
              </w:rPr>
              <w:instrText xml:space="preserve"> PAGEREF _Toc11064655 \h </w:instrText>
            </w:r>
            <w:r w:rsidR="004E357A">
              <w:rPr>
                <w:noProof/>
                <w:webHidden/>
              </w:rPr>
            </w:r>
            <w:r w:rsidR="004E357A">
              <w:rPr>
                <w:noProof/>
                <w:webHidden/>
              </w:rPr>
              <w:fldChar w:fldCharType="separate"/>
            </w:r>
            <w:r w:rsidR="004E357A">
              <w:rPr>
                <w:noProof/>
                <w:webHidden/>
              </w:rPr>
              <w:t>6</w:t>
            </w:r>
            <w:r w:rsidR="004E357A">
              <w:rPr>
                <w:noProof/>
                <w:webHidden/>
              </w:rPr>
              <w:fldChar w:fldCharType="end"/>
            </w:r>
          </w:hyperlink>
        </w:p>
        <w:p w:rsidR="004E357A" w:rsidRDefault="008E0A6B">
          <w:pPr>
            <w:pStyle w:val="TOC1"/>
            <w:tabs>
              <w:tab w:val="right" w:leader="dot" w:pos="9062"/>
            </w:tabs>
            <w:rPr>
              <w:rFonts w:asciiTheme="minorHAnsi" w:eastAsiaTheme="minorEastAsia" w:hAnsiTheme="minorHAnsi"/>
              <w:noProof/>
              <w:lang w:eastAsia="bg-BG"/>
            </w:rPr>
          </w:pPr>
          <w:hyperlink w:anchor="_Toc11064656" w:history="1">
            <w:r w:rsidR="004E357A" w:rsidRPr="009A3364">
              <w:rPr>
                <w:rStyle w:val="Hyperlink"/>
                <w:noProof/>
              </w:rPr>
              <w:t>ПРОГРАМИ</w:t>
            </w:r>
            <w:r w:rsidR="004E357A">
              <w:rPr>
                <w:noProof/>
                <w:webHidden/>
              </w:rPr>
              <w:tab/>
            </w:r>
            <w:r w:rsidR="004E357A">
              <w:rPr>
                <w:noProof/>
                <w:webHidden/>
              </w:rPr>
              <w:fldChar w:fldCharType="begin"/>
            </w:r>
            <w:r w:rsidR="004E357A">
              <w:rPr>
                <w:noProof/>
                <w:webHidden/>
              </w:rPr>
              <w:instrText xml:space="preserve"> PAGEREF _Toc11064656 \h </w:instrText>
            </w:r>
            <w:r w:rsidR="004E357A">
              <w:rPr>
                <w:noProof/>
                <w:webHidden/>
              </w:rPr>
            </w:r>
            <w:r w:rsidR="004E357A">
              <w:rPr>
                <w:noProof/>
                <w:webHidden/>
              </w:rPr>
              <w:fldChar w:fldCharType="separate"/>
            </w:r>
            <w:r w:rsidR="004E357A">
              <w:rPr>
                <w:noProof/>
                <w:webHidden/>
              </w:rPr>
              <w:t>7</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57"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Покана за участие в конкурс по Програма M-ERA</w:t>
            </w:r>
            <w:r w:rsidR="004E357A">
              <w:rPr>
                <w:noProof/>
                <w:webHidden/>
              </w:rPr>
              <w:tab/>
            </w:r>
            <w:r w:rsidR="004E357A">
              <w:rPr>
                <w:noProof/>
                <w:webHidden/>
              </w:rPr>
              <w:fldChar w:fldCharType="begin"/>
            </w:r>
            <w:r w:rsidR="004E357A">
              <w:rPr>
                <w:noProof/>
                <w:webHidden/>
              </w:rPr>
              <w:instrText xml:space="preserve"> PAGEREF _Toc11064657 \h </w:instrText>
            </w:r>
            <w:r w:rsidR="004E357A">
              <w:rPr>
                <w:noProof/>
                <w:webHidden/>
              </w:rPr>
            </w:r>
            <w:r w:rsidR="004E357A">
              <w:rPr>
                <w:noProof/>
                <w:webHidden/>
              </w:rPr>
              <w:fldChar w:fldCharType="separate"/>
            </w:r>
            <w:r w:rsidR="004E357A">
              <w:rPr>
                <w:noProof/>
                <w:webHidden/>
              </w:rPr>
              <w:t>7</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58"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rFonts w:eastAsia="Times New Roman"/>
                <w:noProof/>
                <w:lang w:eastAsia="bg-BG"/>
              </w:rPr>
              <w:t>Конкурс на Френския институт в България за п</w:t>
            </w:r>
            <w:r w:rsidR="004E357A" w:rsidRPr="009A3364">
              <w:rPr>
                <w:rStyle w:val="Hyperlink"/>
                <w:noProof/>
              </w:rPr>
              <w:t>одкрепа за университетски и научни дейности</w:t>
            </w:r>
            <w:r w:rsidR="004E357A">
              <w:rPr>
                <w:noProof/>
                <w:webHidden/>
              </w:rPr>
              <w:tab/>
            </w:r>
            <w:r w:rsidR="004E357A">
              <w:rPr>
                <w:noProof/>
                <w:webHidden/>
              </w:rPr>
              <w:fldChar w:fldCharType="begin"/>
            </w:r>
            <w:r w:rsidR="004E357A">
              <w:rPr>
                <w:noProof/>
                <w:webHidden/>
              </w:rPr>
              <w:instrText xml:space="preserve"> PAGEREF _Toc11064658 \h </w:instrText>
            </w:r>
            <w:r w:rsidR="004E357A">
              <w:rPr>
                <w:noProof/>
                <w:webHidden/>
              </w:rPr>
            </w:r>
            <w:r w:rsidR="004E357A">
              <w:rPr>
                <w:noProof/>
                <w:webHidden/>
              </w:rPr>
              <w:fldChar w:fldCharType="separate"/>
            </w:r>
            <w:r w:rsidR="004E357A">
              <w:rPr>
                <w:noProof/>
                <w:webHidden/>
              </w:rPr>
              <w:t>8</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59"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Предстоящ конкурс по програма Southeast Asia - Europe</w:t>
            </w:r>
            <w:r w:rsidR="004E357A">
              <w:rPr>
                <w:noProof/>
                <w:webHidden/>
              </w:rPr>
              <w:tab/>
            </w:r>
            <w:r w:rsidR="004E357A">
              <w:rPr>
                <w:noProof/>
                <w:webHidden/>
              </w:rPr>
              <w:fldChar w:fldCharType="begin"/>
            </w:r>
            <w:r w:rsidR="004E357A">
              <w:rPr>
                <w:noProof/>
                <w:webHidden/>
              </w:rPr>
              <w:instrText xml:space="preserve"> PAGEREF _Toc11064659 \h </w:instrText>
            </w:r>
            <w:r w:rsidR="004E357A">
              <w:rPr>
                <w:noProof/>
                <w:webHidden/>
              </w:rPr>
            </w:r>
            <w:r w:rsidR="004E357A">
              <w:rPr>
                <w:noProof/>
                <w:webHidden/>
              </w:rPr>
              <w:fldChar w:fldCharType="separate"/>
            </w:r>
            <w:r w:rsidR="004E357A">
              <w:rPr>
                <w:noProof/>
                <w:webHidden/>
              </w:rPr>
              <w:t>9</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60" w:history="1">
            <w:r w:rsidR="004E357A" w:rsidRPr="009A3364">
              <w:rPr>
                <w:rStyle w:val="Hyperlink"/>
                <w:rFonts w:ascii="Wingdings" w:eastAsia="Times New Roman" w:hAnsi="Wingdings"/>
                <w:noProof/>
                <w:lang w:eastAsia="bg-BG"/>
              </w:rPr>
              <w:t></w:t>
            </w:r>
            <w:r w:rsidR="004E357A">
              <w:rPr>
                <w:rFonts w:asciiTheme="minorHAnsi" w:eastAsiaTheme="minorEastAsia" w:hAnsiTheme="minorHAnsi"/>
                <w:noProof/>
                <w:lang w:eastAsia="bg-BG"/>
              </w:rPr>
              <w:tab/>
            </w:r>
            <w:r w:rsidR="004E357A" w:rsidRPr="009A3364">
              <w:rPr>
                <w:rStyle w:val="Hyperlink"/>
                <w:rFonts w:eastAsia="Times New Roman"/>
                <w:noProof/>
                <w:lang w:eastAsia="bg-BG"/>
              </w:rPr>
              <w:t>Подкрепа на международни научни форуми, провеждани в Република България</w:t>
            </w:r>
            <w:r w:rsidR="004E357A">
              <w:rPr>
                <w:noProof/>
                <w:webHidden/>
              </w:rPr>
              <w:tab/>
            </w:r>
            <w:r w:rsidR="004E357A">
              <w:rPr>
                <w:noProof/>
                <w:webHidden/>
              </w:rPr>
              <w:fldChar w:fldCharType="begin"/>
            </w:r>
            <w:r w:rsidR="004E357A">
              <w:rPr>
                <w:noProof/>
                <w:webHidden/>
              </w:rPr>
              <w:instrText xml:space="preserve"> PAGEREF _Toc11064660 \h </w:instrText>
            </w:r>
            <w:r w:rsidR="004E357A">
              <w:rPr>
                <w:noProof/>
                <w:webHidden/>
              </w:rPr>
            </w:r>
            <w:r w:rsidR="004E357A">
              <w:rPr>
                <w:noProof/>
                <w:webHidden/>
              </w:rPr>
              <w:fldChar w:fldCharType="separate"/>
            </w:r>
            <w:r w:rsidR="004E357A">
              <w:rPr>
                <w:noProof/>
                <w:webHidden/>
              </w:rPr>
              <w:t>10</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61" w:history="1">
            <w:r w:rsidR="004E357A" w:rsidRPr="009A3364">
              <w:rPr>
                <w:rStyle w:val="Hyperlink"/>
                <w:rFonts w:ascii="Wingdings" w:eastAsia="Times New Roman" w:hAnsi="Wingdings"/>
                <w:noProof/>
                <w:lang w:val="en-US" w:eastAsia="bg-BG"/>
              </w:rPr>
              <w:t></w:t>
            </w:r>
            <w:r w:rsidR="004E357A">
              <w:rPr>
                <w:rFonts w:asciiTheme="minorHAnsi" w:eastAsiaTheme="minorEastAsia" w:hAnsiTheme="minorHAnsi"/>
                <w:noProof/>
                <w:lang w:eastAsia="bg-BG"/>
              </w:rPr>
              <w:tab/>
            </w:r>
            <w:r w:rsidR="004E357A" w:rsidRPr="009A3364">
              <w:rPr>
                <w:rStyle w:val="Hyperlink"/>
                <w:rFonts w:eastAsia="Times New Roman"/>
                <w:noProof/>
                <w:lang w:val="en-US" w:eastAsia="bg-BG"/>
              </w:rPr>
              <w:t>Call for COST Action proposals</w:t>
            </w:r>
            <w:r w:rsidR="004E357A">
              <w:rPr>
                <w:noProof/>
                <w:webHidden/>
              </w:rPr>
              <w:tab/>
            </w:r>
            <w:r w:rsidR="004E357A">
              <w:rPr>
                <w:noProof/>
                <w:webHidden/>
              </w:rPr>
              <w:fldChar w:fldCharType="begin"/>
            </w:r>
            <w:r w:rsidR="004E357A">
              <w:rPr>
                <w:noProof/>
                <w:webHidden/>
              </w:rPr>
              <w:instrText xml:space="preserve"> PAGEREF _Toc11064661 \h </w:instrText>
            </w:r>
            <w:r w:rsidR="004E357A">
              <w:rPr>
                <w:noProof/>
                <w:webHidden/>
              </w:rPr>
            </w:r>
            <w:r w:rsidR="004E357A">
              <w:rPr>
                <w:noProof/>
                <w:webHidden/>
              </w:rPr>
              <w:fldChar w:fldCharType="separate"/>
            </w:r>
            <w:r w:rsidR="004E357A">
              <w:rPr>
                <w:noProof/>
                <w:webHidden/>
              </w:rPr>
              <w:t>11</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62" w:history="1">
            <w:r w:rsidR="004E357A" w:rsidRPr="009A3364">
              <w:rPr>
                <w:rStyle w:val="Hyperlink"/>
                <w:rFonts w:ascii="Wingdings" w:eastAsia="Times New Roman" w:hAnsi="Wingdings"/>
                <w:noProof/>
                <w:lang w:eastAsia="bg-BG"/>
              </w:rPr>
              <w:t></w:t>
            </w:r>
            <w:r w:rsidR="004E357A">
              <w:rPr>
                <w:rFonts w:asciiTheme="minorHAnsi" w:eastAsiaTheme="minorEastAsia" w:hAnsiTheme="minorHAnsi"/>
                <w:noProof/>
                <w:lang w:eastAsia="bg-BG"/>
              </w:rPr>
              <w:tab/>
            </w:r>
            <w:r w:rsidR="004E357A" w:rsidRPr="009A3364">
              <w:rPr>
                <w:rStyle w:val="Hyperlink"/>
                <w:rFonts w:eastAsia="Times New Roman"/>
                <w:noProof/>
                <w:lang w:eastAsia="bg-BG"/>
              </w:rPr>
              <w:t>Национално съфинансиране за участие на български колективи в утвърдени проекти по COST</w:t>
            </w:r>
            <w:r w:rsidR="004E357A">
              <w:rPr>
                <w:noProof/>
                <w:webHidden/>
              </w:rPr>
              <w:tab/>
            </w:r>
            <w:r w:rsidR="004E357A">
              <w:rPr>
                <w:noProof/>
                <w:webHidden/>
              </w:rPr>
              <w:fldChar w:fldCharType="begin"/>
            </w:r>
            <w:r w:rsidR="004E357A">
              <w:rPr>
                <w:noProof/>
                <w:webHidden/>
              </w:rPr>
              <w:instrText xml:space="preserve"> PAGEREF _Toc11064662 \h </w:instrText>
            </w:r>
            <w:r w:rsidR="004E357A">
              <w:rPr>
                <w:noProof/>
                <w:webHidden/>
              </w:rPr>
            </w:r>
            <w:r w:rsidR="004E357A">
              <w:rPr>
                <w:noProof/>
                <w:webHidden/>
              </w:rPr>
              <w:fldChar w:fldCharType="separate"/>
            </w:r>
            <w:r w:rsidR="004E357A">
              <w:rPr>
                <w:noProof/>
                <w:webHidden/>
              </w:rPr>
              <w:t>12</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63"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Програма: „Америка за България”</w:t>
            </w:r>
            <w:r w:rsidR="004E357A">
              <w:rPr>
                <w:noProof/>
                <w:webHidden/>
              </w:rPr>
              <w:tab/>
            </w:r>
            <w:r w:rsidR="004E357A">
              <w:rPr>
                <w:noProof/>
                <w:webHidden/>
              </w:rPr>
              <w:fldChar w:fldCharType="begin"/>
            </w:r>
            <w:r w:rsidR="004E357A">
              <w:rPr>
                <w:noProof/>
                <w:webHidden/>
              </w:rPr>
              <w:instrText xml:space="preserve"> PAGEREF _Toc11064663 \h </w:instrText>
            </w:r>
            <w:r w:rsidR="004E357A">
              <w:rPr>
                <w:noProof/>
                <w:webHidden/>
              </w:rPr>
            </w:r>
            <w:r w:rsidR="004E357A">
              <w:rPr>
                <w:noProof/>
                <w:webHidden/>
              </w:rPr>
              <w:fldChar w:fldCharType="separate"/>
            </w:r>
            <w:r w:rsidR="004E357A">
              <w:rPr>
                <w:noProof/>
                <w:webHidden/>
              </w:rPr>
              <w:t>13</w:t>
            </w:r>
            <w:r w:rsidR="004E357A">
              <w:rPr>
                <w:noProof/>
                <w:webHidden/>
              </w:rPr>
              <w:fldChar w:fldCharType="end"/>
            </w:r>
          </w:hyperlink>
        </w:p>
        <w:p w:rsidR="004E357A" w:rsidRDefault="008E0A6B">
          <w:pPr>
            <w:pStyle w:val="TOC1"/>
            <w:tabs>
              <w:tab w:val="right" w:leader="dot" w:pos="9062"/>
            </w:tabs>
            <w:rPr>
              <w:rFonts w:asciiTheme="minorHAnsi" w:eastAsiaTheme="minorEastAsia" w:hAnsiTheme="minorHAnsi"/>
              <w:noProof/>
              <w:lang w:eastAsia="bg-BG"/>
            </w:rPr>
          </w:pPr>
          <w:hyperlink w:anchor="_Toc11064664" w:history="1">
            <w:r w:rsidR="004E357A" w:rsidRPr="009A3364">
              <w:rPr>
                <w:rStyle w:val="Hyperlink"/>
                <w:noProof/>
              </w:rPr>
              <w:t>СЪБИТИЯ</w:t>
            </w:r>
            <w:r w:rsidR="004E357A">
              <w:rPr>
                <w:noProof/>
                <w:webHidden/>
              </w:rPr>
              <w:tab/>
            </w:r>
            <w:r w:rsidR="004E357A">
              <w:rPr>
                <w:noProof/>
                <w:webHidden/>
              </w:rPr>
              <w:fldChar w:fldCharType="begin"/>
            </w:r>
            <w:r w:rsidR="004E357A">
              <w:rPr>
                <w:noProof/>
                <w:webHidden/>
              </w:rPr>
              <w:instrText xml:space="preserve"> PAGEREF _Toc11064664 \h </w:instrText>
            </w:r>
            <w:r w:rsidR="004E357A">
              <w:rPr>
                <w:noProof/>
                <w:webHidden/>
              </w:rPr>
            </w:r>
            <w:r w:rsidR="004E357A">
              <w:rPr>
                <w:noProof/>
                <w:webHidden/>
              </w:rPr>
              <w:fldChar w:fldCharType="separate"/>
            </w:r>
            <w:r w:rsidR="004E357A">
              <w:rPr>
                <w:noProof/>
                <w:webHidden/>
              </w:rPr>
              <w:t>15</w:t>
            </w:r>
            <w:r w:rsidR="004E357A">
              <w:rPr>
                <w:noProof/>
                <w:webHidden/>
              </w:rPr>
              <w:fldChar w:fldCharType="end"/>
            </w:r>
          </w:hyperlink>
        </w:p>
        <w:p w:rsidR="004E357A" w:rsidRDefault="008E0A6B">
          <w:pPr>
            <w:pStyle w:val="TOC1"/>
            <w:tabs>
              <w:tab w:val="right" w:leader="dot" w:pos="9062"/>
            </w:tabs>
            <w:rPr>
              <w:rFonts w:asciiTheme="minorHAnsi" w:eastAsiaTheme="minorEastAsia" w:hAnsiTheme="minorHAnsi"/>
              <w:noProof/>
              <w:lang w:eastAsia="bg-BG"/>
            </w:rPr>
          </w:pPr>
          <w:hyperlink w:anchor="_Toc11064665" w:history="1">
            <w:r w:rsidR="004E357A" w:rsidRPr="009A3364">
              <w:rPr>
                <w:rStyle w:val="Hyperlink"/>
                <w:noProof/>
              </w:rPr>
              <w:t>ПУБЛИКАЦИИ</w:t>
            </w:r>
            <w:r w:rsidR="004E357A">
              <w:rPr>
                <w:noProof/>
                <w:webHidden/>
              </w:rPr>
              <w:tab/>
            </w:r>
            <w:r w:rsidR="004E357A">
              <w:rPr>
                <w:noProof/>
                <w:webHidden/>
              </w:rPr>
              <w:fldChar w:fldCharType="begin"/>
            </w:r>
            <w:r w:rsidR="004E357A">
              <w:rPr>
                <w:noProof/>
                <w:webHidden/>
              </w:rPr>
              <w:instrText xml:space="preserve"> PAGEREF _Toc11064665 \h </w:instrText>
            </w:r>
            <w:r w:rsidR="004E357A">
              <w:rPr>
                <w:noProof/>
                <w:webHidden/>
              </w:rPr>
            </w:r>
            <w:r w:rsidR="004E357A">
              <w:rPr>
                <w:noProof/>
                <w:webHidden/>
              </w:rPr>
              <w:fldChar w:fldCharType="separate"/>
            </w:r>
            <w:r w:rsidR="004E357A">
              <w:rPr>
                <w:noProof/>
                <w:webHidden/>
              </w:rPr>
              <w:t>20</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66" w:history="1">
            <w:r w:rsidR="004E357A" w:rsidRPr="009A3364">
              <w:rPr>
                <w:rStyle w:val="Hyperlink"/>
                <w:rFonts w:ascii="Wingdings" w:hAnsi="Wingdings"/>
                <w:noProof/>
                <w:lang w:val="en-US"/>
              </w:rPr>
              <w:t></w:t>
            </w:r>
            <w:r w:rsidR="004E357A">
              <w:rPr>
                <w:rFonts w:asciiTheme="minorHAnsi" w:eastAsiaTheme="minorEastAsia" w:hAnsiTheme="minorHAnsi"/>
                <w:noProof/>
                <w:lang w:eastAsia="bg-BG"/>
              </w:rPr>
              <w:tab/>
            </w:r>
            <w:r w:rsidR="004E357A" w:rsidRPr="009A3364">
              <w:rPr>
                <w:rStyle w:val="Hyperlink"/>
                <w:noProof/>
                <w:lang w:val="en-US"/>
              </w:rPr>
              <w:t>RESEARCH EU</w:t>
            </w:r>
            <w:r w:rsidR="004E357A">
              <w:rPr>
                <w:noProof/>
                <w:webHidden/>
              </w:rPr>
              <w:tab/>
            </w:r>
            <w:r w:rsidR="004E357A">
              <w:rPr>
                <w:noProof/>
                <w:webHidden/>
              </w:rPr>
              <w:fldChar w:fldCharType="begin"/>
            </w:r>
            <w:r w:rsidR="004E357A">
              <w:rPr>
                <w:noProof/>
                <w:webHidden/>
              </w:rPr>
              <w:instrText xml:space="preserve"> PAGEREF _Toc11064666 \h </w:instrText>
            </w:r>
            <w:r w:rsidR="004E357A">
              <w:rPr>
                <w:noProof/>
                <w:webHidden/>
              </w:rPr>
            </w:r>
            <w:r w:rsidR="004E357A">
              <w:rPr>
                <w:noProof/>
                <w:webHidden/>
              </w:rPr>
              <w:fldChar w:fldCharType="separate"/>
            </w:r>
            <w:r w:rsidR="004E357A">
              <w:rPr>
                <w:noProof/>
                <w:webHidden/>
              </w:rPr>
              <w:t>20</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67" w:history="1">
            <w:r w:rsidR="004E357A" w:rsidRPr="009A3364">
              <w:rPr>
                <w:rStyle w:val="Hyperlink"/>
                <w:rFonts w:ascii="Wingdings" w:hAnsi="Wingdings"/>
                <w:noProof/>
                <w:lang w:val="en-GB" w:eastAsia="bg-BG"/>
              </w:rPr>
              <w:t></w:t>
            </w:r>
            <w:r w:rsidR="004E357A">
              <w:rPr>
                <w:rFonts w:asciiTheme="minorHAnsi" w:eastAsiaTheme="minorEastAsia" w:hAnsiTheme="minorHAnsi"/>
                <w:noProof/>
                <w:lang w:eastAsia="bg-BG"/>
              </w:rPr>
              <w:tab/>
            </w:r>
            <w:r w:rsidR="004E357A" w:rsidRPr="009A3364">
              <w:rPr>
                <w:rStyle w:val="Hyperlink"/>
                <w:noProof/>
                <w:lang w:val="en-GB" w:eastAsia="bg-BG"/>
              </w:rPr>
              <w:t>Reassembling the Republic of Letters in the Digital Age</w:t>
            </w:r>
            <w:r w:rsidR="004E357A">
              <w:rPr>
                <w:noProof/>
                <w:webHidden/>
              </w:rPr>
              <w:tab/>
            </w:r>
            <w:r w:rsidR="004E357A">
              <w:rPr>
                <w:noProof/>
                <w:webHidden/>
              </w:rPr>
              <w:fldChar w:fldCharType="begin"/>
            </w:r>
            <w:r w:rsidR="004E357A">
              <w:rPr>
                <w:noProof/>
                <w:webHidden/>
              </w:rPr>
              <w:instrText xml:space="preserve"> PAGEREF _Toc11064667 \h </w:instrText>
            </w:r>
            <w:r w:rsidR="004E357A">
              <w:rPr>
                <w:noProof/>
                <w:webHidden/>
              </w:rPr>
            </w:r>
            <w:r w:rsidR="004E357A">
              <w:rPr>
                <w:noProof/>
                <w:webHidden/>
              </w:rPr>
              <w:fldChar w:fldCharType="separate"/>
            </w:r>
            <w:r w:rsidR="004E357A">
              <w:rPr>
                <w:noProof/>
                <w:webHidden/>
              </w:rPr>
              <w:t>20</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68" w:history="1">
            <w:r w:rsidR="004E357A" w:rsidRPr="009A3364">
              <w:rPr>
                <w:rStyle w:val="Hyperlink"/>
                <w:rFonts w:ascii="Wingdings" w:hAnsi="Wingdings"/>
                <w:noProof/>
              </w:rPr>
              <w:t></w:t>
            </w:r>
            <w:r w:rsidR="004E357A">
              <w:rPr>
                <w:rFonts w:asciiTheme="minorHAnsi" w:eastAsiaTheme="minorEastAsia" w:hAnsiTheme="minorHAnsi"/>
                <w:noProof/>
                <w:lang w:eastAsia="bg-BG"/>
              </w:rPr>
              <w:tab/>
            </w:r>
            <w:r w:rsidR="004E357A" w:rsidRPr="009A3364">
              <w:rPr>
                <w:rStyle w:val="Hyperlink"/>
                <w:noProof/>
              </w:rPr>
              <w:t>European University Association: University Mergers in Europe</w:t>
            </w:r>
            <w:r w:rsidR="004E357A">
              <w:rPr>
                <w:noProof/>
                <w:webHidden/>
              </w:rPr>
              <w:tab/>
            </w:r>
            <w:r w:rsidR="004E357A">
              <w:rPr>
                <w:noProof/>
                <w:webHidden/>
              </w:rPr>
              <w:fldChar w:fldCharType="begin"/>
            </w:r>
            <w:r w:rsidR="004E357A">
              <w:rPr>
                <w:noProof/>
                <w:webHidden/>
              </w:rPr>
              <w:instrText xml:space="preserve"> PAGEREF _Toc11064668 \h </w:instrText>
            </w:r>
            <w:r w:rsidR="004E357A">
              <w:rPr>
                <w:noProof/>
                <w:webHidden/>
              </w:rPr>
            </w:r>
            <w:r w:rsidR="004E357A">
              <w:rPr>
                <w:noProof/>
                <w:webHidden/>
              </w:rPr>
              <w:fldChar w:fldCharType="separate"/>
            </w:r>
            <w:r w:rsidR="004E357A">
              <w:rPr>
                <w:noProof/>
                <w:webHidden/>
              </w:rPr>
              <w:t>21</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69" w:history="1">
            <w:r w:rsidR="004E357A" w:rsidRPr="009A3364">
              <w:rPr>
                <w:rStyle w:val="Hyperlink"/>
                <w:rFonts w:ascii="Wingdings" w:eastAsia="Times New Roman" w:hAnsi="Wingdings"/>
                <w:noProof/>
                <w:lang w:val="en-GB" w:eastAsia="bg-BG"/>
              </w:rPr>
              <w:t></w:t>
            </w:r>
            <w:r w:rsidR="004E357A">
              <w:rPr>
                <w:rFonts w:asciiTheme="minorHAnsi" w:eastAsiaTheme="minorEastAsia" w:hAnsiTheme="minorHAnsi"/>
                <w:noProof/>
                <w:lang w:eastAsia="bg-BG"/>
              </w:rPr>
              <w:tab/>
            </w:r>
            <w:r w:rsidR="004E357A" w:rsidRPr="009A3364">
              <w:rPr>
                <w:rStyle w:val="Hyperlink"/>
                <w:rFonts w:eastAsia="Times New Roman"/>
                <w:noProof/>
                <w:lang w:val="en-GB" w:eastAsia="bg-BG"/>
              </w:rPr>
              <w:t>European University Association: Reflections on University Research Assessment: key concepts, issues and actors</w:t>
            </w:r>
            <w:r w:rsidR="004E357A">
              <w:rPr>
                <w:noProof/>
                <w:webHidden/>
              </w:rPr>
              <w:tab/>
            </w:r>
            <w:r w:rsidR="004E357A">
              <w:rPr>
                <w:noProof/>
                <w:webHidden/>
              </w:rPr>
              <w:fldChar w:fldCharType="begin"/>
            </w:r>
            <w:r w:rsidR="004E357A">
              <w:rPr>
                <w:noProof/>
                <w:webHidden/>
              </w:rPr>
              <w:instrText xml:space="preserve"> PAGEREF _Toc11064669 \h </w:instrText>
            </w:r>
            <w:r w:rsidR="004E357A">
              <w:rPr>
                <w:noProof/>
                <w:webHidden/>
              </w:rPr>
            </w:r>
            <w:r w:rsidR="004E357A">
              <w:rPr>
                <w:noProof/>
                <w:webHidden/>
              </w:rPr>
              <w:fldChar w:fldCharType="separate"/>
            </w:r>
            <w:r w:rsidR="004E357A">
              <w:rPr>
                <w:noProof/>
                <w:webHidden/>
              </w:rPr>
              <w:t>21</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70" w:history="1">
            <w:r w:rsidR="004E357A" w:rsidRPr="009A3364">
              <w:rPr>
                <w:rStyle w:val="Hyperlink"/>
                <w:rFonts w:ascii="Wingdings" w:hAnsi="Wingdings"/>
                <w:noProof/>
                <w:lang w:val="en-GB"/>
              </w:rPr>
              <w:t></w:t>
            </w:r>
            <w:r w:rsidR="004E357A">
              <w:rPr>
                <w:rFonts w:asciiTheme="minorHAnsi" w:eastAsiaTheme="minorEastAsia" w:hAnsiTheme="minorHAnsi"/>
                <w:noProof/>
                <w:lang w:eastAsia="bg-BG"/>
              </w:rPr>
              <w:tab/>
            </w:r>
            <w:r w:rsidR="004E357A" w:rsidRPr="009A3364">
              <w:rPr>
                <w:rStyle w:val="Hyperlink"/>
                <w:noProof/>
              </w:rPr>
              <w:t>European University Association</w:t>
            </w:r>
            <w:r w:rsidR="004E357A" w:rsidRPr="009A3364">
              <w:rPr>
                <w:rStyle w:val="Hyperlink"/>
                <w:noProof/>
                <w:lang w:val="en-US"/>
              </w:rPr>
              <w:t xml:space="preserve"> Study: </w:t>
            </w:r>
            <w:r w:rsidR="004E357A" w:rsidRPr="009A3364">
              <w:rPr>
                <w:rStyle w:val="Hyperlink"/>
                <w:noProof/>
                <w:lang w:val="en-GB"/>
              </w:rPr>
              <w:t>The Role of Universities in Regional Innovation Ecosystems</w:t>
            </w:r>
            <w:r w:rsidR="004E357A">
              <w:rPr>
                <w:noProof/>
                <w:webHidden/>
              </w:rPr>
              <w:tab/>
            </w:r>
            <w:r w:rsidR="004E357A">
              <w:rPr>
                <w:noProof/>
                <w:webHidden/>
              </w:rPr>
              <w:fldChar w:fldCharType="begin"/>
            </w:r>
            <w:r w:rsidR="004E357A">
              <w:rPr>
                <w:noProof/>
                <w:webHidden/>
              </w:rPr>
              <w:instrText xml:space="preserve"> PAGEREF _Toc11064670 \h </w:instrText>
            </w:r>
            <w:r w:rsidR="004E357A">
              <w:rPr>
                <w:noProof/>
                <w:webHidden/>
              </w:rPr>
            </w:r>
            <w:r w:rsidR="004E357A">
              <w:rPr>
                <w:noProof/>
                <w:webHidden/>
              </w:rPr>
              <w:fldChar w:fldCharType="separate"/>
            </w:r>
            <w:r w:rsidR="004E357A">
              <w:rPr>
                <w:noProof/>
                <w:webHidden/>
              </w:rPr>
              <w:t>22</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71" w:history="1">
            <w:r w:rsidR="004E357A" w:rsidRPr="009A3364">
              <w:rPr>
                <w:rStyle w:val="Hyperlink"/>
                <w:rFonts w:ascii="Wingdings" w:eastAsia="Times New Roman" w:hAnsi="Wingdings"/>
                <w:noProof/>
                <w:lang w:eastAsia="bg-BG"/>
              </w:rPr>
              <w:t></w:t>
            </w:r>
            <w:r w:rsidR="004E357A">
              <w:rPr>
                <w:rFonts w:asciiTheme="minorHAnsi" w:eastAsiaTheme="minorEastAsia" w:hAnsiTheme="minorHAnsi"/>
                <w:noProof/>
                <w:lang w:eastAsia="bg-BG"/>
              </w:rPr>
              <w:tab/>
            </w:r>
            <w:r w:rsidR="004E357A" w:rsidRPr="009A3364">
              <w:rPr>
                <w:rStyle w:val="Hyperlink"/>
                <w:rFonts w:eastAsia="Times New Roman"/>
                <w:noProof/>
                <w:lang w:val="en-GB" w:eastAsia="bg-BG"/>
              </w:rPr>
              <w:t>Ultrascale Computing Systems</w:t>
            </w:r>
            <w:r w:rsidR="004E357A">
              <w:rPr>
                <w:noProof/>
                <w:webHidden/>
              </w:rPr>
              <w:tab/>
            </w:r>
            <w:r w:rsidR="004E357A">
              <w:rPr>
                <w:noProof/>
                <w:webHidden/>
              </w:rPr>
              <w:fldChar w:fldCharType="begin"/>
            </w:r>
            <w:r w:rsidR="004E357A">
              <w:rPr>
                <w:noProof/>
                <w:webHidden/>
              </w:rPr>
              <w:instrText xml:space="preserve"> PAGEREF _Toc11064671 \h </w:instrText>
            </w:r>
            <w:r w:rsidR="004E357A">
              <w:rPr>
                <w:noProof/>
                <w:webHidden/>
              </w:rPr>
            </w:r>
            <w:r w:rsidR="004E357A">
              <w:rPr>
                <w:noProof/>
                <w:webHidden/>
              </w:rPr>
              <w:fldChar w:fldCharType="separate"/>
            </w:r>
            <w:r w:rsidR="004E357A">
              <w:rPr>
                <w:noProof/>
                <w:webHidden/>
              </w:rPr>
              <w:t>22</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72" w:history="1">
            <w:r w:rsidR="004E357A" w:rsidRPr="009A3364">
              <w:rPr>
                <w:rStyle w:val="Hyperlink"/>
                <w:rFonts w:ascii="Wingdings" w:eastAsia="Times New Roman" w:hAnsi="Wingdings"/>
                <w:noProof/>
                <w:lang w:val="en-US" w:eastAsia="bg-BG"/>
              </w:rPr>
              <w:t></w:t>
            </w:r>
            <w:r w:rsidR="004E357A">
              <w:rPr>
                <w:rFonts w:asciiTheme="minorHAnsi" w:eastAsiaTheme="minorEastAsia" w:hAnsiTheme="minorHAnsi"/>
                <w:noProof/>
                <w:lang w:eastAsia="bg-BG"/>
              </w:rPr>
              <w:tab/>
            </w:r>
            <w:r w:rsidR="004E357A" w:rsidRPr="009A3364">
              <w:rPr>
                <w:rStyle w:val="Hyperlink"/>
                <w:rFonts w:eastAsia="Times New Roman"/>
                <w:noProof/>
                <w:lang w:val="en-US" w:eastAsia="bg-BG"/>
              </w:rPr>
              <w:t>CERN COURIER</w:t>
            </w:r>
            <w:r w:rsidR="004E357A">
              <w:rPr>
                <w:noProof/>
                <w:webHidden/>
              </w:rPr>
              <w:tab/>
            </w:r>
            <w:r w:rsidR="004E357A">
              <w:rPr>
                <w:noProof/>
                <w:webHidden/>
              </w:rPr>
              <w:fldChar w:fldCharType="begin"/>
            </w:r>
            <w:r w:rsidR="004E357A">
              <w:rPr>
                <w:noProof/>
                <w:webHidden/>
              </w:rPr>
              <w:instrText xml:space="preserve"> PAGEREF _Toc11064672 \h </w:instrText>
            </w:r>
            <w:r w:rsidR="004E357A">
              <w:rPr>
                <w:noProof/>
                <w:webHidden/>
              </w:rPr>
            </w:r>
            <w:r w:rsidR="004E357A">
              <w:rPr>
                <w:noProof/>
                <w:webHidden/>
              </w:rPr>
              <w:fldChar w:fldCharType="separate"/>
            </w:r>
            <w:r w:rsidR="004E357A">
              <w:rPr>
                <w:noProof/>
                <w:webHidden/>
              </w:rPr>
              <w:t>23</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73" w:history="1">
            <w:r w:rsidR="004E357A" w:rsidRPr="009A3364">
              <w:rPr>
                <w:rStyle w:val="Hyperlink"/>
                <w:rFonts w:ascii="Wingdings" w:eastAsia="Times New Roman" w:hAnsi="Wingdings"/>
                <w:noProof/>
                <w:lang w:val="en" w:eastAsia="bg-BG"/>
              </w:rPr>
              <w:t></w:t>
            </w:r>
            <w:r w:rsidR="004E357A">
              <w:rPr>
                <w:rFonts w:asciiTheme="minorHAnsi" w:eastAsiaTheme="minorEastAsia" w:hAnsiTheme="minorHAnsi"/>
                <w:noProof/>
                <w:lang w:eastAsia="bg-BG"/>
              </w:rPr>
              <w:tab/>
            </w:r>
            <w:r w:rsidR="004E357A" w:rsidRPr="009A3364">
              <w:rPr>
                <w:rStyle w:val="Hyperlink"/>
                <w:rFonts w:eastAsia="Times New Roman"/>
                <w:noProof/>
                <w:lang w:val="en" w:eastAsia="bg-BG"/>
              </w:rPr>
              <w:t>Икономика на "Възродителния процес"</w:t>
            </w:r>
            <w:r w:rsidR="004E357A">
              <w:rPr>
                <w:noProof/>
                <w:webHidden/>
              </w:rPr>
              <w:tab/>
            </w:r>
            <w:r w:rsidR="004E357A">
              <w:rPr>
                <w:noProof/>
                <w:webHidden/>
              </w:rPr>
              <w:fldChar w:fldCharType="begin"/>
            </w:r>
            <w:r w:rsidR="004E357A">
              <w:rPr>
                <w:noProof/>
                <w:webHidden/>
              </w:rPr>
              <w:instrText xml:space="preserve"> PAGEREF _Toc11064673 \h </w:instrText>
            </w:r>
            <w:r w:rsidR="004E357A">
              <w:rPr>
                <w:noProof/>
                <w:webHidden/>
              </w:rPr>
            </w:r>
            <w:r w:rsidR="004E357A">
              <w:rPr>
                <w:noProof/>
                <w:webHidden/>
              </w:rPr>
              <w:fldChar w:fldCharType="separate"/>
            </w:r>
            <w:r w:rsidR="004E357A">
              <w:rPr>
                <w:noProof/>
                <w:webHidden/>
              </w:rPr>
              <w:t>23</w:t>
            </w:r>
            <w:r w:rsidR="004E357A">
              <w:rPr>
                <w:noProof/>
                <w:webHidden/>
              </w:rPr>
              <w:fldChar w:fldCharType="end"/>
            </w:r>
          </w:hyperlink>
        </w:p>
        <w:p w:rsidR="004E357A" w:rsidRDefault="008E0A6B">
          <w:pPr>
            <w:pStyle w:val="TOC2"/>
            <w:tabs>
              <w:tab w:val="left" w:pos="660"/>
              <w:tab w:val="right" w:leader="dot" w:pos="9062"/>
            </w:tabs>
            <w:rPr>
              <w:rFonts w:asciiTheme="minorHAnsi" w:eastAsiaTheme="minorEastAsia" w:hAnsiTheme="minorHAnsi"/>
              <w:noProof/>
              <w:lang w:eastAsia="bg-BG"/>
            </w:rPr>
          </w:pPr>
          <w:hyperlink w:anchor="_Toc11064674" w:history="1">
            <w:r w:rsidR="004E357A" w:rsidRPr="009A3364">
              <w:rPr>
                <w:rStyle w:val="Hyperlink"/>
                <w:rFonts w:ascii="Wingdings" w:eastAsia="Times New Roman" w:hAnsi="Wingdings"/>
                <w:noProof/>
                <w:lang w:val="ru-RU" w:eastAsia="bg-BG"/>
              </w:rPr>
              <w:t></w:t>
            </w:r>
            <w:r w:rsidR="004E357A">
              <w:rPr>
                <w:rFonts w:asciiTheme="minorHAnsi" w:eastAsiaTheme="minorEastAsia" w:hAnsiTheme="minorHAnsi"/>
                <w:noProof/>
                <w:lang w:eastAsia="bg-BG"/>
              </w:rPr>
              <w:tab/>
            </w:r>
            <w:r w:rsidR="004E357A" w:rsidRPr="009A3364">
              <w:rPr>
                <w:rStyle w:val="Hyperlink"/>
                <w:rFonts w:eastAsia="Times New Roman"/>
                <w:noProof/>
                <w:lang w:val="ru-RU" w:eastAsia="bg-BG"/>
              </w:rPr>
              <w:t>Тялото при социализма - режими и репрезентации</w:t>
            </w:r>
            <w:r w:rsidR="004E357A">
              <w:rPr>
                <w:noProof/>
                <w:webHidden/>
              </w:rPr>
              <w:tab/>
            </w:r>
            <w:r w:rsidR="004E357A">
              <w:rPr>
                <w:noProof/>
                <w:webHidden/>
              </w:rPr>
              <w:fldChar w:fldCharType="begin"/>
            </w:r>
            <w:r w:rsidR="004E357A">
              <w:rPr>
                <w:noProof/>
                <w:webHidden/>
              </w:rPr>
              <w:instrText xml:space="preserve"> PAGEREF _Toc11064674 \h </w:instrText>
            </w:r>
            <w:r w:rsidR="004E357A">
              <w:rPr>
                <w:noProof/>
                <w:webHidden/>
              </w:rPr>
            </w:r>
            <w:r w:rsidR="004E357A">
              <w:rPr>
                <w:noProof/>
                <w:webHidden/>
              </w:rPr>
              <w:fldChar w:fldCharType="separate"/>
            </w:r>
            <w:r w:rsidR="004E357A">
              <w:rPr>
                <w:noProof/>
                <w:webHidden/>
              </w:rPr>
              <w:t>24</w:t>
            </w:r>
            <w:r w:rsidR="004E357A">
              <w:rPr>
                <w:noProof/>
                <w:webHidden/>
              </w:rPr>
              <w:fldChar w:fldCharType="end"/>
            </w:r>
          </w:hyperlink>
        </w:p>
        <w:p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E3073C" w:rsidRDefault="001126B8" w:rsidP="00703403">
      <w:pPr>
        <w:pStyle w:val="Master-scholarship-internship"/>
        <w:rPr>
          <w:rFonts w:ascii="Times New Roman" w:hAnsi="Times New Roman" w:cs="Times New Roman"/>
        </w:rPr>
      </w:pPr>
      <w:bookmarkStart w:id="1" w:name="_Toc11064646"/>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1"/>
    </w:p>
    <w:p w:rsidR="00865287" w:rsidRPr="00E7683C" w:rsidRDefault="00E7683C" w:rsidP="00E7683C">
      <w:pPr>
        <w:pStyle w:val="Heading2"/>
      </w:pPr>
      <w:bookmarkStart w:id="2" w:name="_Toc11064647"/>
      <w:r w:rsidRPr="00E7683C">
        <w:t>Стипендиантска програма на АЕЦ "Козлодуй"</w:t>
      </w:r>
      <w:bookmarkEnd w:id="2"/>
    </w:p>
    <w:p w:rsidR="00E7683C" w:rsidRDefault="00845AAE" w:rsidP="00865287">
      <w:pPr>
        <w:rPr>
          <w:sz w:val="24"/>
          <w:szCs w:val="24"/>
        </w:rPr>
      </w:pPr>
      <w:r w:rsidRPr="007F17E0">
        <w:rPr>
          <w:bCs/>
          <w:sz w:val="24"/>
          <w:szCs w:val="24"/>
        </w:rPr>
        <w:t>АЕЦ "Козлодуй" обявява прием на студенти и ученици в своята стипендиантска програма.</w:t>
      </w:r>
      <w:r w:rsidRPr="00171CDF">
        <w:rPr>
          <w:sz w:val="24"/>
          <w:szCs w:val="24"/>
        </w:rPr>
        <w:t xml:space="preserve"> За включване в програмата могат да кандидатстват студенти, обучаващи се в бакалавърска и магистърска степен от Технически университет - София и от Софийски университет "Св. Климент Охридски" по специалности, свързани с ядрената енергетика. </w:t>
      </w:r>
    </w:p>
    <w:p w:rsidR="00E7683C" w:rsidRDefault="00845AAE" w:rsidP="00E7683C">
      <w:pPr>
        <w:spacing w:before="120" w:after="120"/>
        <w:rPr>
          <w:sz w:val="24"/>
          <w:szCs w:val="24"/>
        </w:rPr>
      </w:pPr>
      <w:r w:rsidRPr="00171CDF">
        <w:rPr>
          <w:sz w:val="24"/>
          <w:szCs w:val="24"/>
        </w:rPr>
        <w:t xml:space="preserve">На одобрените кандидати ще бъде осигурено заплащане на семестриалната такса в размер на стойността за държавна поръчка, както и стипендия от 1000 лева за семестър до завършване на съответната степен на обучение. Стипендиантите на АЕЦ "Козлодуй" ще имат възможност да провеждат платен стаж в атомната централа. На успешно дипломираните ще бъде предложен трудов договор за работа по придобитата специалност. </w:t>
      </w:r>
    </w:p>
    <w:p w:rsidR="00865287" w:rsidRDefault="00845AAE" w:rsidP="00341C15">
      <w:pPr>
        <w:spacing w:before="120" w:after="120"/>
        <w:rPr>
          <w:sz w:val="24"/>
          <w:szCs w:val="24"/>
        </w:rPr>
      </w:pPr>
      <w:r w:rsidRPr="00171CDF">
        <w:rPr>
          <w:sz w:val="24"/>
          <w:szCs w:val="24"/>
        </w:rPr>
        <w:t xml:space="preserve">Конкретните изисквания към кандидатите са публикувани на сайта на централата – www.kznpp.org, в секция </w:t>
      </w:r>
      <w:hyperlink r:id="rId11" w:tgtFrame="_blank" w:history="1">
        <w:r w:rsidRPr="00171CDF">
          <w:rPr>
            <w:rStyle w:val="Hyperlink"/>
            <w:sz w:val="24"/>
            <w:szCs w:val="24"/>
          </w:rPr>
          <w:t>"Кариери"</w:t>
        </w:r>
      </w:hyperlink>
      <w:r w:rsidRPr="00171CDF">
        <w:rPr>
          <w:sz w:val="24"/>
          <w:szCs w:val="24"/>
        </w:rPr>
        <w:t>.</w:t>
      </w:r>
    </w:p>
    <w:p w:rsidR="00341C15" w:rsidRDefault="00341C15" w:rsidP="000C5833">
      <w:pPr>
        <w:spacing w:after="480"/>
        <w:rPr>
          <w:b/>
          <w:sz w:val="24"/>
          <w:szCs w:val="24"/>
          <w:lang w:val="en-US"/>
        </w:rPr>
      </w:pPr>
      <w:r w:rsidRPr="00341C15">
        <w:rPr>
          <w:b/>
          <w:sz w:val="24"/>
          <w:szCs w:val="24"/>
        </w:rPr>
        <w:t>Краен срок: не е посочен</w:t>
      </w:r>
    </w:p>
    <w:p w:rsidR="000C5833" w:rsidRPr="00395100" w:rsidRDefault="000C5833" w:rsidP="000C5833">
      <w:pPr>
        <w:pStyle w:val="Heading2"/>
      </w:pPr>
      <w:bookmarkStart w:id="3" w:name="_Toc11064648"/>
      <w:r>
        <w:t>Конкурс за стипендии на о</w:t>
      </w:r>
      <w:r w:rsidRPr="00395100">
        <w:t>бразователната платформа ARC Academy</w:t>
      </w:r>
      <w:bookmarkEnd w:id="3"/>
    </w:p>
    <w:p w:rsidR="000C5833" w:rsidRDefault="000C5833" w:rsidP="000C5833">
      <w:pPr>
        <w:spacing w:before="120" w:after="120"/>
        <w:rPr>
          <w:sz w:val="24"/>
          <w:szCs w:val="24"/>
        </w:rPr>
      </w:pPr>
      <w:r w:rsidRPr="00395100">
        <w:rPr>
          <w:bCs/>
          <w:sz w:val="24"/>
          <w:szCs w:val="24"/>
        </w:rPr>
        <w:t>Образователната платформа ARC Academy обявява конкурс на тема "Как ще превърна хобито си в бизнес".</w:t>
      </w:r>
      <w:r w:rsidRPr="00672806">
        <w:rPr>
          <w:sz w:val="24"/>
          <w:szCs w:val="24"/>
        </w:rPr>
        <w:t xml:space="preserve"> Авторите на петте най-интересни и вдъхновяващи идеи ще получат 50% от стипендията за магистърската програма "Реклама и бранд мениджмънт", създадена съвместно със Saatchi&amp;Saatchi и Висшето училище по мениджмънт (ВУМ). Стипендиите се предоставят от ЕКОНТ. </w:t>
      </w:r>
    </w:p>
    <w:p w:rsidR="000C5833" w:rsidRDefault="000C5833" w:rsidP="000C5833">
      <w:pPr>
        <w:spacing w:before="120" w:after="120"/>
        <w:rPr>
          <w:sz w:val="24"/>
          <w:szCs w:val="24"/>
        </w:rPr>
      </w:pPr>
      <w:r w:rsidRPr="00672806">
        <w:rPr>
          <w:sz w:val="24"/>
          <w:szCs w:val="24"/>
        </w:rPr>
        <w:t>Разкажете за своето хоби и как бихте направили от него реален продукт или услуга; кои ще бъдат вашите потребители и партньори; как ще стигнете до тях (лично и онлайн); как ще се казва брандът ви и какво искате да означава той за хората; с кои брандове ще се конкурира и какво повече ще предложи от тях? Можете да направите всичко, което ще помогне на журито да разбере по-добре как ще превърнете хобито си в бизнес - от презентация през интерактивно видео до изпращане на реален проект в избран от вас формат. Важното е да покажете идеята си в пълния ѝ и последователен вид. За да участвате в конкурса, изпратете представяне на branding@arc.academy или по пощата на адрес: София 1124, ж.к. "Яворов", ул. "Мизия" 23, ARC Academy. Петимата финалисти ще бъдат определени от жури в състав</w:t>
      </w:r>
      <w:r w:rsidRPr="00672806">
        <w:rPr>
          <w:b/>
          <w:bCs/>
          <w:sz w:val="24"/>
          <w:szCs w:val="24"/>
        </w:rPr>
        <w:t>:</w:t>
      </w:r>
      <w:r w:rsidRPr="00672806">
        <w:rPr>
          <w:sz w:val="24"/>
          <w:szCs w:val="24"/>
        </w:rPr>
        <w:t xml:space="preserve"> Станимир Андонов и Петя Григорова от АRC Academy, Донка Илиева от Econt, Иглика Филипова и Кирил Кирчев, редактори в "Капитал" и "Кариери". Победителите ще бъдат уведомени лично до 30 юни 2019 г., а имената им ще бъдат обявени официално на сайта на </w:t>
      </w:r>
      <w:hyperlink r:id="rId12" w:tgtFrame="_blank" w:history="1">
        <w:r w:rsidRPr="00672806">
          <w:rPr>
            <w:rStyle w:val="Hyperlink"/>
            <w:sz w:val="24"/>
            <w:szCs w:val="24"/>
          </w:rPr>
          <w:t xml:space="preserve">Karieri.bg </w:t>
        </w:r>
      </w:hyperlink>
      <w:r w:rsidRPr="00672806">
        <w:rPr>
          <w:sz w:val="24"/>
          <w:szCs w:val="24"/>
        </w:rPr>
        <w:t xml:space="preserve">и на </w:t>
      </w:r>
      <w:hyperlink r:id="rId13" w:tgtFrame="_blank" w:history="1">
        <w:r w:rsidRPr="00672806">
          <w:rPr>
            <w:rStyle w:val="Hyperlink"/>
            <w:sz w:val="24"/>
            <w:szCs w:val="24"/>
          </w:rPr>
          <w:t>ARC Academy</w:t>
        </w:r>
      </w:hyperlink>
      <w:r w:rsidRPr="00672806">
        <w:rPr>
          <w:sz w:val="24"/>
          <w:szCs w:val="24"/>
        </w:rPr>
        <w:t>.</w:t>
      </w:r>
      <w:r w:rsidRPr="00395100">
        <w:rPr>
          <w:sz w:val="24"/>
          <w:szCs w:val="24"/>
        </w:rPr>
        <w:t xml:space="preserve"> </w:t>
      </w:r>
    </w:p>
    <w:p w:rsidR="000C5833" w:rsidRPr="00395100" w:rsidRDefault="000C5833" w:rsidP="000C5833">
      <w:pPr>
        <w:spacing w:before="120" w:after="120"/>
        <w:rPr>
          <w:b/>
          <w:sz w:val="24"/>
          <w:szCs w:val="24"/>
          <w:lang w:val="ru-RU"/>
        </w:rPr>
      </w:pPr>
      <w:r w:rsidRPr="00395100">
        <w:rPr>
          <w:b/>
          <w:sz w:val="24"/>
          <w:szCs w:val="24"/>
        </w:rPr>
        <w:t>Краен срок: 24 юни 2019 г.</w:t>
      </w:r>
    </w:p>
    <w:p w:rsidR="000C5833" w:rsidRPr="000C5833" w:rsidRDefault="000C5833" w:rsidP="000C5833">
      <w:pPr>
        <w:spacing w:after="480"/>
        <w:rPr>
          <w:b/>
          <w:sz w:val="24"/>
          <w:szCs w:val="24"/>
          <w:lang w:val="en-US"/>
        </w:rPr>
      </w:pPr>
    </w:p>
    <w:p w:rsidR="00DF06F7" w:rsidRPr="00051CDC" w:rsidRDefault="00051CDC" w:rsidP="00051CDC">
      <w:pPr>
        <w:pStyle w:val="Heading2"/>
      </w:pPr>
      <w:bookmarkStart w:id="4" w:name="_Toc11064649"/>
      <w:r>
        <w:lastRenderedPageBreak/>
        <w:t>С</w:t>
      </w:r>
      <w:r w:rsidRPr="00051CDC">
        <w:t>тажантска програма за ИТ специалисти</w:t>
      </w:r>
      <w:bookmarkEnd w:id="4"/>
    </w:p>
    <w:p w:rsidR="00051CDC" w:rsidRPr="00395100" w:rsidRDefault="00DF06F7" w:rsidP="00051CDC">
      <w:pPr>
        <w:spacing w:after="120"/>
        <w:rPr>
          <w:rFonts w:cs="Times New Roman"/>
          <w:sz w:val="24"/>
          <w:szCs w:val="24"/>
        </w:rPr>
      </w:pPr>
      <w:r w:rsidRPr="00395100">
        <w:rPr>
          <w:rFonts w:cs="Times New Roman"/>
          <w:bCs/>
          <w:sz w:val="24"/>
          <w:szCs w:val="24"/>
        </w:rPr>
        <w:t>През месец юли Paysafe стартира втората за 2019 г. шестмесечна стажантска програма за ИТ специалисти.</w:t>
      </w:r>
      <w:r w:rsidRPr="00395100">
        <w:rPr>
          <w:rFonts w:cs="Times New Roman"/>
          <w:sz w:val="24"/>
          <w:szCs w:val="24"/>
        </w:rPr>
        <w:t xml:space="preserve"> Участие могат да вземат студенти в последен курс, изучаващи академична специалност в областта на технологиите и програмирането; вече завършили академична специалност в областта на технологиите и програмирането; както и всеки, преминал през определени програми и курсове в областта на технологиите. Всички заинтересовани от програмата могат да посетят деня на отворените врати </w:t>
      </w:r>
      <w:r w:rsidRPr="00DF06F7">
        <w:rPr>
          <w:rFonts w:cs="Times New Roman"/>
          <w:color w:val="515151"/>
          <w:sz w:val="24"/>
          <w:szCs w:val="24"/>
        </w:rPr>
        <w:t>"</w:t>
      </w:r>
      <w:hyperlink r:id="rId14" w:tgtFrame="_blank" w:history="1">
        <w:r w:rsidRPr="00DF06F7">
          <w:rPr>
            <w:rFonts w:cs="Times New Roman"/>
            <w:color w:val="2C80D5"/>
            <w:sz w:val="24"/>
            <w:szCs w:val="24"/>
          </w:rPr>
          <w:t>Plug Into Paysafe X Generation. Boost your IT career</w:t>
        </w:r>
      </w:hyperlink>
      <w:r w:rsidRPr="00DF06F7">
        <w:rPr>
          <w:rFonts w:cs="Times New Roman"/>
          <w:color w:val="515151"/>
          <w:sz w:val="24"/>
          <w:szCs w:val="24"/>
        </w:rPr>
        <w:t xml:space="preserve">" </w:t>
      </w:r>
      <w:r w:rsidRPr="00395100">
        <w:rPr>
          <w:rFonts w:cs="Times New Roman"/>
          <w:sz w:val="24"/>
          <w:szCs w:val="24"/>
        </w:rPr>
        <w:t xml:space="preserve">на 17 юни от 17:00 ч. в офиса на Paysafe в Capital Fort. Те ще получат на място повече информация за процеса по кандидатстване, подбор и селектиране на участниците и ще се запознаят с атмосферата и културата в компанията. </w:t>
      </w:r>
    </w:p>
    <w:p w:rsidR="00395100" w:rsidRDefault="00DF06F7" w:rsidP="000C5833">
      <w:pPr>
        <w:spacing w:after="120"/>
        <w:rPr>
          <w:rFonts w:cs="Times New Roman"/>
          <w:color w:val="515151"/>
          <w:sz w:val="24"/>
          <w:szCs w:val="24"/>
        </w:rPr>
      </w:pPr>
      <w:r w:rsidRPr="00395100">
        <w:rPr>
          <w:rFonts w:cs="Times New Roman"/>
          <w:sz w:val="24"/>
          <w:szCs w:val="24"/>
        </w:rPr>
        <w:t>Програмата е подходяща за хора без или с малко опит, които искат да се обучават в реална работна среда от софтуерни специалисти с опит в международни проекти. Стажантската програма е условно разделена на две части. По време на първите три месеца стажантите преминават през интензивно обучение, което представлява комбинация между лекции и упражнения. Технологиите, върху които са фокусирани теоретичните и практическите обучения, са: Java, Spring Boot, RESTful Microservices, Angular, Oracle, Kafka, Git, CSS, HTML</w:t>
      </w:r>
      <w:r w:rsidRPr="00DF06F7">
        <w:rPr>
          <w:rFonts w:cs="Times New Roman"/>
          <w:color w:val="515151"/>
          <w:sz w:val="24"/>
          <w:szCs w:val="24"/>
        </w:rPr>
        <w:t xml:space="preserve">, </w:t>
      </w:r>
      <w:r w:rsidRPr="00395100">
        <w:rPr>
          <w:rFonts w:cs="Times New Roman"/>
          <w:sz w:val="24"/>
          <w:szCs w:val="24"/>
        </w:rPr>
        <w:t xml:space="preserve">JS. </w:t>
      </w:r>
      <w:hyperlink r:id="rId15" w:tgtFrame="_blank" w:history="1">
        <w:r w:rsidRPr="00DF06F7">
          <w:rPr>
            <w:rFonts w:cs="Times New Roman"/>
            <w:color w:val="2C80D5"/>
            <w:sz w:val="24"/>
            <w:szCs w:val="24"/>
          </w:rPr>
          <w:t>Кандидатстването за програмата</w:t>
        </w:r>
      </w:hyperlink>
      <w:r w:rsidRPr="00DF06F7">
        <w:rPr>
          <w:rFonts w:cs="Times New Roman"/>
          <w:color w:val="515151"/>
          <w:sz w:val="24"/>
          <w:szCs w:val="24"/>
        </w:rPr>
        <w:t xml:space="preserve"> </w:t>
      </w:r>
      <w:r w:rsidRPr="00395100">
        <w:rPr>
          <w:rFonts w:cs="Times New Roman"/>
          <w:sz w:val="24"/>
          <w:szCs w:val="24"/>
        </w:rPr>
        <w:t xml:space="preserve">ще продължи </w:t>
      </w:r>
      <w:r w:rsidRPr="00395100">
        <w:rPr>
          <w:rFonts w:cs="Times New Roman"/>
          <w:b/>
          <w:sz w:val="24"/>
          <w:szCs w:val="24"/>
        </w:rPr>
        <w:t>до началото на месец юли 2019</w:t>
      </w:r>
      <w:r w:rsidRPr="00395100">
        <w:rPr>
          <w:rFonts w:cs="Times New Roman"/>
          <w:sz w:val="24"/>
          <w:szCs w:val="24"/>
        </w:rPr>
        <w:t xml:space="preserve"> г. Одобрените кандидати ще бъдат информирани своевременно</w:t>
      </w:r>
      <w:r w:rsidRPr="00DF06F7">
        <w:rPr>
          <w:rFonts w:cs="Times New Roman"/>
          <w:color w:val="515151"/>
          <w:sz w:val="24"/>
          <w:szCs w:val="24"/>
        </w:rPr>
        <w:t>.</w:t>
      </w:r>
    </w:p>
    <w:p w:rsidR="00E7683C" w:rsidRPr="00E7683C" w:rsidRDefault="00E7683C" w:rsidP="00E7683C">
      <w:pPr>
        <w:pStyle w:val="Heading2"/>
        <w:rPr>
          <w:lang w:val="ru-RU"/>
        </w:rPr>
      </w:pPr>
      <w:bookmarkStart w:id="5" w:name="_Toc11064650"/>
      <w:r>
        <w:t>С</w:t>
      </w:r>
      <w:r w:rsidRPr="00E7683C">
        <w:t>тажантска програма на VMware България</w:t>
      </w:r>
      <w:bookmarkEnd w:id="5"/>
    </w:p>
    <w:p w:rsidR="00E7683C" w:rsidRDefault="00845AAE" w:rsidP="00E7683C">
      <w:pPr>
        <w:spacing w:after="120"/>
        <w:rPr>
          <w:sz w:val="24"/>
          <w:szCs w:val="24"/>
        </w:rPr>
      </w:pPr>
      <w:r w:rsidRPr="00E7683C">
        <w:rPr>
          <w:bCs/>
          <w:sz w:val="24"/>
          <w:szCs w:val="24"/>
        </w:rPr>
        <w:t>Започна приемът на кандидатури за стажантската програма на VMware България</w:t>
      </w:r>
      <w:r w:rsidRPr="00171CDF">
        <w:rPr>
          <w:b/>
          <w:bCs/>
          <w:sz w:val="24"/>
          <w:szCs w:val="24"/>
        </w:rPr>
        <w:t>.</w:t>
      </w:r>
      <w:r w:rsidRPr="00171CDF">
        <w:rPr>
          <w:sz w:val="24"/>
          <w:szCs w:val="24"/>
        </w:rPr>
        <w:t xml:space="preserve"> В рамките на програмата са предвидени общо 65 позиции в сферата на софтуерното инженерство, R&amp;D, Финанси, Data Science, човешки ресурси и бизнес анализи. Стажантите във VMware работят по иновативни и предизвикателни проекти, които могат да имат директно отражение върху резултатите на компанията, нерядко могат да доведат до регистрирането на нов патент или разработката на нова продуктова функционалност. Всеки стажант има ментор - опитен инженер, който помага с насоки и наставления по време на проекта. </w:t>
      </w:r>
    </w:p>
    <w:p w:rsidR="00865287" w:rsidRPr="008E2DB3" w:rsidRDefault="00845AAE" w:rsidP="00E7683C">
      <w:pPr>
        <w:spacing w:after="120"/>
        <w:rPr>
          <w:sz w:val="24"/>
          <w:szCs w:val="24"/>
          <w:lang w:val="ru-RU"/>
        </w:rPr>
      </w:pPr>
      <w:r w:rsidRPr="00171CDF">
        <w:rPr>
          <w:sz w:val="24"/>
          <w:szCs w:val="24"/>
        </w:rPr>
        <w:t xml:space="preserve">Стажовете са 6 месеца и завършват с изложба на проектите, по време на която участниците имат възможност да представят своите постижения пред целия екип на VMware България. Близо 80% от участниците в програмата през 2018 г. са получили оферта за работа на пълен работен ден и са преминали към следващия етап от своята кариера във VMware. Стажовете са пригодени към нуждите на студентите и им позволяват да съчетават успешно своите задължения на работа и в университета. Желаещите могат да подават своите кандидатури за стаж </w:t>
      </w:r>
      <w:hyperlink r:id="rId16" w:tgtFrame="_blank" w:history="1">
        <w:r w:rsidRPr="00171CDF">
          <w:rPr>
            <w:rStyle w:val="Hyperlink"/>
            <w:sz w:val="24"/>
            <w:szCs w:val="24"/>
          </w:rPr>
          <w:t>тук</w:t>
        </w:r>
      </w:hyperlink>
      <w:r w:rsidRPr="00171CDF">
        <w:rPr>
          <w:sz w:val="24"/>
          <w:szCs w:val="24"/>
        </w:rPr>
        <w:t>.</w:t>
      </w:r>
    </w:p>
    <w:p w:rsidR="00171CDF" w:rsidRPr="007F17E0" w:rsidRDefault="00171CDF" w:rsidP="00E7683C">
      <w:pPr>
        <w:spacing w:after="480"/>
        <w:rPr>
          <w:b/>
          <w:sz w:val="24"/>
          <w:szCs w:val="24"/>
        </w:rPr>
      </w:pPr>
      <w:r w:rsidRPr="007F17E0">
        <w:rPr>
          <w:b/>
          <w:sz w:val="24"/>
          <w:szCs w:val="24"/>
        </w:rPr>
        <w:t>Краен срок: не е посочен</w:t>
      </w:r>
    </w:p>
    <w:p w:rsidR="00917E25" w:rsidRDefault="00A95706" w:rsidP="00A95706">
      <w:pPr>
        <w:pStyle w:val="Heading2"/>
        <w:ind w:left="426"/>
      </w:pPr>
      <w:bookmarkStart w:id="6" w:name="_Toc11064651"/>
      <w:r w:rsidRPr="00A95706">
        <w:t>Стаж в</w:t>
      </w:r>
      <w:r>
        <w:t xml:space="preserve"> </w:t>
      </w:r>
      <w:r w:rsidRPr="00917E25">
        <w:t>BMW Bulgaria</w:t>
      </w:r>
      <w:bookmarkEnd w:id="6"/>
    </w:p>
    <w:p w:rsidR="00A95706" w:rsidRDefault="00917E25" w:rsidP="00A95706">
      <w:pPr>
        <w:spacing w:before="120" w:after="120"/>
        <w:rPr>
          <w:bCs/>
          <w:sz w:val="24"/>
          <w:szCs w:val="24"/>
        </w:rPr>
      </w:pPr>
      <w:r w:rsidRPr="00917E25">
        <w:rPr>
          <w:bCs/>
          <w:sz w:val="24"/>
          <w:szCs w:val="24"/>
        </w:rPr>
        <w:t xml:space="preserve">BMW Bulgaria набира стажанти за отдел "Следпродажбено обслужване". Кандидатите трябва да са завършили бакалавърска степен в областта на икономиката, да са на възраст до 29 години, да нямат предишен професионален опит по специалността и да владеят отлично английски език. </w:t>
      </w:r>
    </w:p>
    <w:p w:rsidR="00917E25" w:rsidRDefault="00917E25" w:rsidP="00A95706">
      <w:pPr>
        <w:spacing w:before="120" w:after="120"/>
        <w:rPr>
          <w:bCs/>
          <w:sz w:val="24"/>
          <w:szCs w:val="24"/>
        </w:rPr>
      </w:pPr>
      <w:r w:rsidRPr="00917E25">
        <w:rPr>
          <w:bCs/>
          <w:sz w:val="24"/>
          <w:szCs w:val="24"/>
        </w:rPr>
        <w:t xml:space="preserve">Продължителността на програмата е 12 месеца и ще е на пълно работно време. Можете да кандидатствате </w:t>
      </w:r>
      <w:hyperlink r:id="rId17" w:tgtFrame="_blank" w:history="1">
        <w:r w:rsidRPr="00917E25">
          <w:rPr>
            <w:rStyle w:val="Hyperlink"/>
            <w:bCs/>
            <w:sz w:val="24"/>
            <w:szCs w:val="24"/>
          </w:rPr>
          <w:t>оттук</w:t>
        </w:r>
      </w:hyperlink>
      <w:r w:rsidRPr="00917E25">
        <w:rPr>
          <w:bCs/>
          <w:sz w:val="24"/>
          <w:szCs w:val="24"/>
        </w:rPr>
        <w:t>, където ще намерите и повече информация за условията.</w:t>
      </w:r>
    </w:p>
    <w:p w:rsidR="00A95706" w:rsidRPr="004C6A80" w:rsidRDefault="00A95706" w:rsidP="002614B9">
      <w:pPr>
        <w:spacing w:before="120" w:after="480"/>
        <w:rPr>
          <w:b/>
          <w:bCs/>
          <w:sz w:val="24"/>
          <w:szCs w:val="24"/>
        </w:rPr>
      </w:pPr>
      <w:r w:rsidRPr="004C6A80">
        <w:rPr>
          <w:b/>
          <w:bCs/>
          <w:sz w:val="24"/>
          <w:szCs w:val="24"/>
        </w:rPr>
        <w:t>Краен срок: не е посочен</w:t>
      </w:r>
    </w:p>
    <w:p w:rsidR="00C177E1" w:rsidRPr="00FE7B4C" w:rsidRDefault="00C177E1" w:rsidP="00170D2F">
      <w:pPr>
        <w:pStyle w:val="Heading2"/>
        <w:ind w:left="425" w:hanging="357"/>
        <w:rPr>
          <w:lang w:val="ru-RU"/>
        </w:rPr>
      </w:pPr>
      <w:bookmarkStart w:id="7" w:name="_Toc11064652"/>
      <w:r>
        <w:t>Платен стаж в Световната търговска организация</w:t>
      </w:r>
      <w:bookmarkEnd w:id="7"/>
    </w:p>
    <w:p w:rsidR="00C177E1" w:rsidRPr="00D279B4" w:rsidRDefault="00C177E1" w:rsidP="00850114">
      <w:pPr>
        <w:spacing w:after="120"/>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587946">
      <w:pPr>
        <w:spacing w:before="120" w:after="120"/>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850114">
      <w:pPr>
        <w:spacing w:before="120" w:after="120"/>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8"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F62643">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8" w:name="_Toc11064653"/>
      <w:r>
        <w:t xml:space="preserve">Стажантска програма на </w:t>
      </w:r>
      <w:r w:rsidRPr="005851AE">
        <w:rPr>
          <w:rFonts w:ascii="Times New Roman" w:hAnsi="Times New Roman"/>
        </w:rPr>
        <w:t>УниКредит Булбанк</w:t>
      </w:r>
      <w:bookmarkEnd w:id="8"/>
    </w:p>
    <w:p w:rsidR="00C177E1" w:rsidRPr="005851AE" w:rsidRDefault="00C177E1" w:rsidP="00850114">
      <w:pPr>
        <w:spacing w:before="100" w:beforeAutospacing="1" w:after="120"/>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УниКредитФакторинг и УниКиредитКънсюмърФайненсинг. Желаещите да се включат в програмата могат да кандидатстват през </w:t>
      </w:r>
      <w:r w:rsidR="008E0A6B">
        <w:fldChar w:fldCharType="begin"/>
      </w:r>
      <w:r w:rsidR="008E0A6B">
        <w:instrText xml:space="preserve"> HYPERLINK "http://www.unicreditbulbank.bg/bg/index.htm" \t "_blank" </w:instrText>
      </w:r>
      <w:r w:rsidR="008E0A6B">
        <w:fldChar w:fldCharType="separate"/>
      </w:r>
      <w:r w:rsidRPr="005851AE">
        <w:rPr>
          <w:rStyle w:val="Hyperlink"/>
          <w:rFonts w:cs="Times New Roman"/>
          <w:sz w:val="24"/>
          <w:szCs w:val="24"/>
        </w:rPr>
        <w:t xml:space="preserve">сайта на банката </w:t>
      </w:r>
      <w:r w:rsidR="008E0A6B">
        <w:rPr>
          <w:rStyle w:val="Hyperlink"/>
          <w:rFonts w:cs="Times New Roman"/>
          <w:sz w:val="24"/>
          <w:szCs w:val="24"/>
        </w:rPr>
        <w:fldChar w:fldCharType="end"/>
      </w:r>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9" w:history="1">
        <w:r w:rsidRPr="005851AE">
          <w:rPr>
            <w:rFonts w:cs="Times New Roman"/>
            <w:color w:val="2C80D5"/>
            <w:sz w:val="24"/>
            <w:szCs w:val="24"/>
          </w:rPr>
          <w:t>internship@unicreditgroup.bg</w:t>
        </w:r>
      </w:hyperlink>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F62643">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9" w:name="_Toc11064654"/>
      <w:r w:rsidRPr="001A023B">
        <w:t>Стаж в Организацията по прехрана и земеделие (FAO) към ООН</w:t>
      </w:r>
      <w:bookmarkEnd w:id="9"/>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2E3A3F">
      <w:pPr>
        <w:spacing w:before="120" w:after="120"/>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20"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2E3A3F" w:rsidRDefault="00C177E1" w:rsidP="00F62643">
      <w:pPr>
        <w:spacing w:after="48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10" w:name="_Toc11064655"/>
      <w:r w:rsidRPr="00A724B3">
        <w:t>Стажове в Международната академия на нюрнбергските принципи</w:t>
      </w:r>
      <w:bookmarkEnd w:id="10"/>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закандидатстването, което продължава през цялата година, можете да намерите на официалния</w:t>
      </w:r>
      <w:r w:rsidR="00DC58A3" w:rsidRPr="00DC58A3">
        <w:rPr>
          <w:rFonts w:cs="Times New Roman"/>
          <w:sz w:val="24"/>
          <w:szCs w:val="24"/>
          <w:lang w:val="ru-RU"/>
        </w:rPr>
        <w:t xml:space="preserve"> </w:t>
      </w:r>
      <w:hyperlink r:id="rId21"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A0E59" w:rsidRDefault="00C177E1" w:rsidP="007F17E0">
      <w:pPr>
        <w:spacing w:before="120" w:after="360"/>
        <w:rPr>
          <w:sz w:val="24"/>
          <w:szCs w:val="24"/>
        </w:rPr>
      </w:pPr>
      <w:r w:rsidRPr="00A724B3">
        <w:rPr>
          <w:rFonts w:cs="Times New Roman"/>
          <w:b/>
          <w:sz w:val="24"/>
          <w:szCs w:val="24"/>
        </w:rPr>
        <w:t>Краен срок: целогодишно</w:t>
      </w:r>
    </w:p>
    <w:p w:rsidR="005C652C" w:rsidRDefault="005C652C" w:rsidP="001E2550">
      <w:pPr>
        <w:spacing w:before="120" w:after="120"/>
        <w:rPr>
          <w:sz w:val="24"/>
          <w:szCs w:val="24"/>
          <w:lang w:val="ru-RU"/>
        </w:rPr>
      </w:pPr>
    </w:p>
    <w:p w:rsidR="005C652C" w:rsidRDefault="005C652C" w:rsidP="001E2550">
      <w:pPr>
        <w:spacing w:before="120" w:after="120"/>
        <w:rPr>
          <w:sz w:val="24"/>
          <w:szCs w:val="24"/>
          <w:lang w:val="ru-RU"/>
        </w:rPr>
      </w:pPr>
    </w:p>
    <w:p w:rsidR="005C652C" w:rsidRDefault="005C652C" w:rsidP="001E2550">
      <w:pPr>
        <w:spacing w:before="120" w:after="120"/>
        <w:rPr>
          <w:sz w:val="24"/>
          <w:szCs w:val="24"/>
          <w:lang w:val="ru-RU"/>
        </w:rPr>
      </w:pPr>
    </w:p>
    <w:p w:rsidR="005C652C" w:rsidRDefault="005C652C" w:rsidP="001E2550">
      <w:pPr>
        <w:spacing w:before="120" w:after="120"/>
        <w:rPr>
          <w:sz w:val="24"/>
          <w:szCs w:val="24"/>
          <w:lang w:val="ru-RU"/>
        </w:rPr>
      </w:pPr>
    </w:p>
    <w:p w:rsidR="005C652C" w:rsidRDefault="005C652C" w:rsidP="001E2550">
      <w:pPr>
        <w:spacing w:before="120" w:after="120"/>
        <w:rPr>
          <w:sz w:val="24"/>
          <w:szCs w:val="24"/>
          <w:lang w:val="ru-RU"/>
        </w:rPr>
      </w:pPr>
    </w:p>
    <w:p w:rsidR="005C652C" w:rsidRPr="006317F0" w:rsidRDefault="005C652C" w:rsidP="001E2550">
      <w:pPr>
        <w:spacing w:before="120" w:after="120"/>
        <w:rPr>
          <w:sz w:val="24"/>
          <w:szCs w:val="24"/>
          <w:lang w:val="ru-RU"/>
        </w:rPr>
        <w:sectPr w:rsidR="005C652C" w:rsidRPr="006317F0" w:rsidSect="00AA7F9B">
          <w:footerReference w:type="default" r:id="rId22"/>
          <w:pgSz w:w="11906" w:h="16838"/>
          <w:pgMar w:top="1440" w:right="1080" w:bottom="1440" w:left="1080" w:header="708" w:footer="708" w:gutter="0"/>
          <w:cols w:space="708"/>
          <w:docGrid w:linePitch="360"/>
        </w:sectPr>
      </w:pPr>
    </w:p>
    <w:p w:rsidR="00D00941" w:rsidRDefault="00912146" w:rsidP="00B278E8">
      <w:pPr>
        <w:pStyle w:val="Programs"/>
      </w:pPr>
      <w:bookmarkStart w:id="11" w:name="_Toc11064656"/>
      <w:r>
        <w:t>ПРОГРАМИ</w:t>
      </w:r>
      <w:bookmarkEnd w:id="11"/>
    </w:p>
    <w:p w:rsidR="000575C0" w:rsidRPr="000575C0" w:rsidRDefault="000575C0" w:rsidP="006E1F33">
      <w:pPr>
        <w:pStyle w:val="Heading2"/>
      </w:pPr>
      <w:bookmarkStart w:id="12" w:name="_Toc11064657"/>
      <w:r w:rsidRPr="000575C0">
        <w:t>Покана за участие в конкурс по Програма M-ERA</w:t>
      </w:r>
      <w:bookmarkEnd w:id="12"/>
      <w:r w:rsidRPr="000575C0">
        <w:t xml:space="preserve"> </w:t>
      </w:r>
    </w:p>
    <w:p w:rsidR="000575C0" w:rsidRPr="000575C0" w:rsidRDefault="000575C0" w:rsidP="000575C0">
      <w:pPr>
        <w:spacing w:before="120" w:after="120"/>
        <w:rPr>
          <w:sz w:val="24"/>
          <w:szCs w:val="24"/>
        </w:rPr>
      </w:pPr>
      <w:r w:rsidRPr="000575C0">
        <w:rPr>
          <w:sz w:val="24"/>
          <w:szCs w:val="24"/>
        </w:rPr>
        <w:t>Фонд „Научни изследвания“ отправя покана за участие в конкурс с проектни предложения по Програма M-ERA.</w:t>
      </w:r>
    </w:p>
    <w:p w:rsidR="000575C0" w:rsidRPr="000575C0" w:rsidRDefault="000575C0" w:rsidP="000575C0">
      <w:pPr>
        <w:spacing w:before="120" w:after="120"/>
        <w:rPr>
          <w:sz w:val="24"/>
          <w:szCs w:val="24"/>
        </w:rPr>
      </w:pPr>
      <w:r w:rsidRPr="000575C0">
        <w:rPr>
          <w:sz w:val="24"/>
          <w:szCs w:val="24"/>
        </w:rPr>
        <w:t>Програмата предоставя възможности за дългосрочно сътрудничество между научно-изследователски колективи в областа на материалознанието, природните и инженерните науки. В консорциума участват 30 национални финансиращи организации от 24 държави.</w:t>
      </w:r>
    </w:p>
    <w:p w:rsidR="000575C0" w:rsidRPr="000575C0" w:rsidRDefault="000575C0" w:rsidP="000575C0">
      <w:pPr>
        <w:spacing w:before="120" w:after="120"/>
        <w:rPr>
          <w:sz w:val="24"/>
          <w:szCs w:val="24"/>
        </w:rPr>
      </w:pPr>
      <w:r w:rsidRPr="000575C0">
        <w:rPr>
          <w:sz w:val="24"/>
          <w:szCs w:val="24"/>
        </w:rPr>
        <w:t>В конкурсната сесия ще бъдат финансирани проектни предложения в следните тематични области:</w:t>
      </w:r>
    </w:p>
    <w:p w:rsidR="000575C0" w:rsidRPr="000575C0" w:rsidRDefault="000575C0" w:rsidP="000575C0">
      <w:pPr>
        <w:numPr>
          <w:ilvl w:val="0"/>
          <w:numId w:val="12"/>
        </w:numPr>
        <w:spacing w:before="120" w:after="120"/>
        <w:rPr>
          <w:sz w:val="24"/>
          <w:szCs w:val="24"/>
        </w:rPr>
      </w:pPr>
      <w:r w:rsidRPr="000575C0">
        <w:rPr>
          <w:sz w:val="24"/>
          <w:szCs w:val="24"/>
        </w:rPr>
        <w:t xml:space="preserve">Моделиране в материалознанието – техники и процеси (Modeling for materials engineering and processing) </w:t>
      </w:r>
    </w:p>
    <w:p w:rsidR="000575C0" w:rsidRPr="000575C0" w:rsidRDefault="000575C0" w:rsidP="000575C0">
      <w:pPr>
        <w:numPr>
          <w:ilvl w:val="0"/>
          <w:numId w:val="12"/>
        </w:numPr>
        <w:spacing w:before="120" w:after="120"/>
        <w:rPr>
          <w:sz w:val="24"/>
          <w:szCs w:val="24"/>
        </w:rPr>
      </w:pPr>
      <w:r w:rsidRPr="000575C0">
        <w:rPr>
          <w:sz w:val="24"/>
          <w:szCs w:val="24"/>
        </w:rPr>
        <w:t xml:space="preserve">Иновативни повърхности, покрития и интерфейси (Innovative surfaces, coatings and interfaces) </w:t>
      </w:r>
    </w:p>
    <w:p w:rsidR="000575C0" w:rsidRPr="000575C0" w:rsidRDefault="000575C0" w:rsidP="000575C0">
      <w:pPr>
        <w:numPr>
          <w:ilvl w:val="0"/>
          <w:numId w:val="12"/>
        </w:numPr>
        <w:spacing w:before="120" w:after="120"/>
        <w:rPr>
          <w:sz w:val="24"/>
          <w:szCs w:val="24"/>
        </w:rPr>
      </w:pPr>
      <w:r w:rsidRPr="000575C0">
        <w:rPr>
          <w:sz w:val="24"/>
          <w:szCs w:val="24"/>
        </w:rPr>
        <w:t xml:space="preserve">Високо производителни композити (High performance composites) </w:t>
      </w:r>
    </w:p>
    <w:p w:rsidR="000575C0" w:rsidRPr="000575C0" w:rsidRDefault="000575C0" w:rsidP="000575C0">
      <w:pPr>
        <w:numPr>
          <w:ilvl w:val="0"/>
          <w:numId w:val="12"/>
        </w:numPr>
        <w:spacing w:before="120" w:after="120"/>
        <w:rPr>
          <w:sz w:val="24"/>
          <w:szCs w:val="24"/>
        </w:rPr>
      </w:pPr>
      <w:r w:rsidRPr="000575C0">
        <w:rPr>
          <w:sz w:val="24"/>
          <w:szCs w:val="24"/>
        </w:rPr>
        <w:t xml:space="preserve">Функционални материали (Functional materials) </w:t>
      </w:r>
    </w:p>
    <w:p w:rsidR="000575C0" w:rsidRPr="000575C0" w:rsidRDefault="000575C0" w:rsidP="000575C0">
      <w:pPr>
        <w:numPr>
          <w:ilvl w:val="0"/>
          <w:numId w:val="12"/>
        </w:numPr>
        <w:spacing w:before="120" w:after="120"/>
        <w:rPr>
          <w:sz w:val="24"/>
          <w:szCs w:val="24"/>
        </w:rPr>
      </w:pPr>
      <w:r w:rsidRPr="000575C0">
        <w:rPr>
          <w:sz w:val="24"/>
          <w:szCs w:val="24"/>
        </w:rPr>
        <w:t xml:space="preserve">Нови стратегии за съвременни технологии, базирани на материали, с приложение в медицината (New strategies for advanced material-based technologies in health applications) </w:t>
      </w:r>
    </w:p>
    <w:p w:rsidR="000575C0" w:rsidRPr="000575C0" w:rsidRDefault="000575C0" w:rsidP="000575C0">
      <w:pPr>
        <w:numPr>
          <w:ilvl w:val="0"/>
          <w:numId w:val="12"/>
        </w:numPr>
        <w:spacing w:before="120" w:after="120"/>
        <w:rPr>
          <w:sz w:val="24"/>
          <w:szCs w:val="24"/>
        </w:rPr>
      </w:pPr>
      <w:r w:rsidRPr="000575C0">
        <w:rPr>
          <w:sz w:val="24"/>
          <w:szCs w:val="24"/>
        </w:rPr>
        <w:t xml:space="preserve">Материали за тримерно принтиране (Materials for additive manufacturing) </w:t>
      </w:r>
    </w:p>
    <w:p w:rsidR="000575C0" w:rsidRPr="000575C0" w:rsidRDefault="000575C0" w:rsidP="000575C0">
      <w:pPr>
        <w:spacing w:before="120" w:after="120"/>
        <w:rPr>
          <w:sz w:val="24"/>
          <w:szCs w:val="24"/>
        </w:rPr>
      </w:pPr>
      <w:r w:rsidRPr="000575C0">
        <w:rPr>
          <w:sz w:val="24"/>
          <w:szCs w:val="24"/>
        </w:rPr>
        <w:t xml:space="preserve">Брошура за конкурса: </w:t>
      </w:r>
      <w:hyperlink r:id="rId23" w:history="1">
        <w:r w:rsidRPr="000575C0">
          <w:rPr>
            <w:rStyle w:val="Hyperlink"/>
            <w:sz w:val="24"/>
            <w:szCs w:val="24"/>
          </w:rPr>
          <w:t>https://m-era.net/joint-calls/joint-call-2019/m-era-net_callflyer_2019-1.pdf</w:t>
        </w:r>
      </w:hyperlink>
    </w:p>
    <w:p w:rsidR="000575C0" w:rsidRPr="000575C0" w:rsidRDefault="000575C0" w:rsidP="000575C0">
      <w:pPr>
        <w:spacing w:before="120" w:after="120"/>
        <w:rPr>
          <w:sz w:val="24"/>
          <w:szCs w:val="24"/>
        </w:rPr>
      </w:pPr>
      <w:r w:rsidRPr="000575C0">
        <w:rPr>
          <w:sz w:val="24"/>
          <w:szCs w:val="24"/>
        </w:rPr>
        <w:t xml:space="preserve">Покана за кандидастване: </w:t>
      </w:r>
      <w:r w:rsidR="008E0A6B">
        <w:fldChar w:fldCharType="begin"/>
      </w:r>
      <w:r w:rsidR="008E0A6B">
        <w:instrText xml:space="preserve"> HYPERLINK "https://m-era.net/joint-calls/joint-call-2019" </w:instrText>
      </w:r>
      <w:r w:rsidR="008E0A6B">
        <w:fldChar w:fldCharType="separate"/>
      </w:r>
      <w:r w:rsidRPr="000575C0">
        <w:rPr>
          <w:rStyle w:val="Hyperlink"/>
          <w:sz w:val="24"/>
          <w:szCs w:val="24"/>
        </w:rPr>
        <w:t>https://m-era.net/joint-calls/joint-call-2019</w:t>
      </w:r>
      <w:r w:rsidR="008E0A6B">
        <w:rPr>
          <w:rStyle w:val="Hyperlink"/>
          <w:sz w:val="24"/>
          <w:szCs w:val="24"/>
        </w:rPr>
        <w:fldChar w:fldCharType="end"/>
      </w:r>
    </w:p>
    <w:p w:rsidR="000575C0" w:rsidRPr="000575C0" w:rsidRDefault="000575C0" w:rsidP="000575C0">
      <w:pPr>
        <w:spacing w:before="120" w:after="120"/>
        <w:rPr>
          <w:sz w:val="24"/>
          <w:szCs w:val="24"/>
        </w:rPr>
      </w:pPr>
      <w:r w:rsidRPr="000575C0">
        <w:rPr>
          <w:sz w:val="24"/>
          <w:szCs w:val="24"/>
        </w:rPr>
        <w:t xml:space="preserve">Указания за подаване на проектни предложения: </w:t>
      </w:r>
      <w:hyperlink r:id="rId24" w:history="1">
        <w:r w:rsidRPr="000575C0">
          <w:rPr>
            <w:rStyle w:val="Hyperlink"/>
            <w:sz w:val="24"/>
            <w:szCs w:val="24"/>
          </w:rPr>
          <w:t>https://m-era.net/joint-calls/joint-call-2019/2019-guideforproposers.pdf</w:t>
        </w:r>
      </w:hyperlink>
    </w:p>
    <w:p w:rsidR="000575C0" w:rsidRPr="000575C0" w:rsidRDefault="000575C0" w:rsidP="000575C0">
      <w:pPr>
        <w:spacing w:before="120" w:after="120"/>
        <w:rPr>
          <w:sz w:val="24"/>
          <w:szCs w:val="24"/>
        </w:rPr>
      </w:pPr>
      <w:r w:rsidRPr="000575C0">
        <w:rPr>
          <w:sz w:val="24"/>
          <w:szCs w:val="24"/>
        </w:rPr>
        <w:t xml:space="preserve">Инструмент за търсене на партньорски организации: </w:t>
      </w:r>
      <w:hyperlink r:id="rId25" w:history="1">
        <w:r w:rsidRPr="000575C0">
          <w:rPr>
            <w:rStyle w:val="Hyperlink"/>
            <w:sz w:val="24"/>
            <w:szCs w:val="24"/>
          </w:rPr>
          <w:t>https://www.nmp-partnersearch.eu/</w:t>
        </w:r>
      </w:hyperlink>
    </w:p>
    <w:p w:rsidR="000575C0" w:rsidRPr="000575C0" w:rsidRDefault="000575C0" w:rsidP="000575C0">
      <w:pPr>
        <w:spacing w:before="120" w:after="120"/>
        <w:rPr>
          <w:sz w:val="24"/>
          <w:szCs w:val="24"/>
        </w:rPr>
      </w:pPr>
      <w:r w:rsidRPr="000575C0">
        <w:rPr>
          <w:b/>
          <w:bCs/>
          <w:sz w:val="24"/>
          <w:szCs w:val="24"/>
        </w:rPr>
        <w:t xml:space="preserve">ВАЖНО! </w:t>
      </w:r>
    </w:p>
    <w:p w:rsidR="000575C0" w:rsidRPr="000575C0" w:rsidRDefault="000575C0" w:rsidP="000575C0">
      <w:pPr>
        <w:spacing w:before="120" w:after="120"/>
        <w:rPr>
          <w:sz w:val="24"/>
          <w:szCs w:val="24"/>
        </w:rPr>
      </w:pPr>
      <w:r w:rsidRPr="000575C0">
        <w:rPr>
          <w:sz w:val="24"/>
          <w:szCs w:val="24"/>
        </w:rPr>
        <w:t xml:space="preserve">Допустими по настоящата процедура за подбор на проекти са български кандидати, които са: </w:t>
      </w:r>
    </w:p>
    <w:p w:rsidR="000575C0" w:rsidRPr="000575C0" w:rsidRDefault="000575C0" w:rsidP="000575C0">
      <w:pPr>
        <w:spacing w:before="120" w:after="120"/>
        <w:rPr>
          <w:sz w:val="24"/>
          <w:szCs w:val="24"/>
        </w:rPr>
      </w:pPr>
      <w:r w:rsidRPr="000575C0">
        <w:rPr>
          <w:sz w:val="24"/>
          <w:szCs w:val="24"/>
        </w:rPr>
        <w:t xml:space="preserve">1) Акредитирани висши училища по чл. 85 ал. 1 т. 7 на ЗВО. </w:t>
      </w:r>
    </w:p>
    <w:p w:rsidR="000575C0" w:rsidRPr="000575C0" w:rsidRDefault="000575C0" w:rsidP="000575C0">
      <w:pPr>
        <w:spacing w:before="120" w:after="120"/>
        <w:rPr>
          <w:sz w:val="24"/>
          <w:szCs w:val="24"/>
        </w:rPr>
      </w:pPr>
      <w:r w:rsidRPr="000575C0">
        <w:rPr>
          <w:sz w:val="24"/>
          <w:szCs w:val="24"/>
        </w:rPr>
        <w:t xml:space="preserve">2) Научни организации по чл. 47 ал. 1 на ЗВО. </w:t>
      </w:r>
    </w:p>
    <w:p w:rsidR="000575C0" w:rsidRPr="000575C0" w:rsidRDefault="000575C0" w:rsidP="000575C0">
      <w:pPr>
        <w:spacing w:before="120" w:after="120"/>
        <w:rPr>
          <w:sz w:val="24"/>
          <w:szCs w:val="24"/>
        </w:rPr>
      </w:pPr>
      <w:r w:rsidRPr="000575C0">
        <w:rPr>
          <w:sz w:val="24"/>
          <w:szCs w:val="24"/>
        </w:rPr>
        <w:t>Кандидатите по т. 1 и т. 2. трябва да отговарят на определението за „организация за научни изследвания и разпространение на знания“ по т. 15 „б“ от Рамката за държавна помощ за научни изследвания, развитие и иновации.</w:t>
      </w:r>
    </w:p>
    <w:p w:rsidR="000575C0" w:rsidRPr="000575C0" w:rsidRDefault="000575C0" w:rsidP="000575C0">
      <w:pPr>
        <w:spacing w:before="120" w:after="120"/>
        <w:rPr>
          <w:sz w:val="24"/>
          <w:szCs w:val="24"/>
        </w:rPr>
      </w:pPr>
      <w:r w:rsidRPr="000575C0">
        <w:rPr>
          <w:sz w:val="24"/>
          <w:szCs w:val="24"/>
        </w:rPr>
        <w:t>Бюджетът от страна на Фонд „Научни изследвания“ за предстоящата конкурсна сесия е в размер на 450 000 лева за целия конкурс, като се предвижда да бъдат финансирани до 3 проекта с българско участие, с максимална сума за един проект до 150 000 лева (Решение на ИС с Протокол № 5 от 22.03.2019 г.).</w:t>
      </w:r>
    </w:p>
    <w:p w:rsidR="000575C0" w:rsidRPr="000575C0" w:rsidRDefault="000575C0" w:rsidP="000575C0">
      <w:pPr>
        <w:spacing w:before="120" w:after="120"/>
        <w:rPr>
          <w:sz w:val="24"/>
          <w:szCs w:val="24"/>
        </w:rPr>
      </w:pPr>
      <w:r w:rsidRPr="000575C0">
        <w:rPr>
          <w:sz w:val="24"/>
          <w:szCs w:val="24"/>
        </w:rPr>
        <w:t>Информация, насоки и документация за българските участници, относно подаването на документите във Фонд „Научни изследвания“:</w:t>
      </w:r>
    </w:p>
    <w:p w:rsidR="000575C0" w:rsidRPr="000575C0" w:rsidRDefault="008E0A6B" w:rsidP="000575C0">
      <w:pPr>
        <w:numPr>
          <w:ilvl w:val="0"/>
          <w:numId w:val="13"/>
        </w:numPr>
        <w:spacing w:before="120" w:after="120"/>
        <w:rPr>
          <w:sz w:val="24"/>
          <w:szCs w:val="24"/>
        </w:rPr>
      </w:pPr>
      <w:hyperlink r:id="rId26" w:history="1">
        <w:r w:rsidR="000575C0" w:rsidRPr="000575C0">
          <w:rPr>
            <w:rStyle w:val="Hyperlink"/>
            <w:sz w:val="24"/>
            <w:szCs w:val="24"/>
          </w:rPr>
          <w:t>Национални изисквания и условия за допустимост</w:t>
        </w:r>
      </w:hyperlink>
    </w:p>
    <w:p w:rsidR="000575C0" w:rsidRPr="000575C0" w:rsidRDefault="008E0A6B" w:rsidP="000575C0">
      <w:pPr>
        <w:numPr>
          <w:ilvl w:val="0"/>
          <w:numId w:val="13"/>
        </w:numPr>
        <w:spacing w:before="120" w:after="120"/>
        <w:rPr>
          <w:sz w:val="24"/>
          <w:szCs w:val="24"/>
        </w:rPr>
      </w:pPr>
      <w:hyperlink r:id="rId27" w:history="1">
        <w:r w:rsidR="000575C0" w:rsidRPr="000575C0">
          <w:rPr>
            <w:rStyle w:val="Hyperlink"/>
            <w:sz w:val="24"/>
            <w:szCs w:val="24"/>
          </w:rPr>
          <w:t>Документи към националните изисквания</w:t>
        </w:r>
      </w:hyperlink>
    </w:p>
    <w:p w:rsidR="000575C0" w:rsidRPr="000575C0" w:rsidRDefault="000575C0" w:rsidP="000575C0">
      <w:pPr>
        <w:spacing w:before="120" w:after="120"/>
        <w:rPr>
          <w:sz w:val="24"/>
          <w:szCs w:val="24"/>
        </w:rPr>
      </w:pPr>
      <w:r w:rsidRPr="000575C0">
        <w:rPr>
          <w:sz w:val="24"/>
          <w:szCs w:val="24"/>
        </w:rPr>
        <w:t xml:space="preserve">Освен вече посочените документи към Националните изисквания, участниците трябва да представят </w:t>
      </w:r>
      <w:r w:rsidRPr="000575C0">
        <w:rPr>
          <w:b/>
          <w:bCs/>
          <w:sz w:val="24"/>
          <w:szCs w:val="24"/>
        </w:rPr>
        <w:t>проект на бюджет</w:t>
      </w:r>
      <w:r w:rsidRPr="000575C0">
        <w:rPr>
          <w:sz w:val="24"/>
          <w:szCs w:val="24"/>
        </w:rPr>
        <w:t xml:space="preserve"> за пълния срок на изпълнение на проекта и </w:t>
      </w:r>
      <w:r w:rsidRPr="000575C0">
        <w:rPr>
          <w:b/>
          <w:bCs/>
          <w:sz w:val="24"/>
          <w:szCs w:val="24"/>
        </w:rPr>
        <w:t>писмо от водещия партньор с потвърждение</w:t>
      </w:r>
      <w:r w:rsidRPr="000575C0">
        <w:rPr>
          <w:sz w:val="24"/>
          <w:szCs w:val="24"/>
        </w:rPr>
        <w:t xml:space="preserve"> за включване на българската организация в съответния консорциум.</w:t>
      </w:r>
    </w:p>
    <w:p w:rsidR="00731720" w:rsidRDefault="000575C0" w:rsidP="000575C0">
      <w:pPr>
        <w:spacing w:before="120" w:after="120"/>
        <w:rPr>
          <w:sz w:val="24"/>
          <w:szCs w:val="24"/>
        </w:rPr>
      </w:pPr>
      <w:r w:rsidRPr="000575C0">
        <w:rPr>
          <w:sz w:val="24"/>
          <w:szCs w:val="24"/>
        </w:rPr>
        <w:t>Контакти за допълнителна информация:</w:t>
      </w:r>
    </w:p>
    <w:p w:rsidR="00731720" w:rsidRDefault="000575C0" w:rsidP="000575C0">
      <w:pPr>
        <w:spacing w:before="120" w:after="120"/>
        <w:rPr>
          <w:sz w:val="24"/>
          <w:szCs w:val="24"/>
        </w:rPr>
      </w:pPr>
      <w:r w:rsidRPr="000575C0">
        <w:rPr>
          <w:sz w:val="24"/>
          <w:szCs w:val="24"/>
        </w:rPr>
        <w:t>Милена Александрова,</w:t>
      </w:r>
    </w:p>
    <w:p w:rsidR="00731720" w:rsidRDefault="000575C0" w:rsidP="000575C0">
      <w:pPr>
        <w:spacing w:before="120" w:after="120"/>
        <w:rPr>
          <w:sz w:val="24"/>
          <w:szCs w:val="24"/>
        </w:rPr>
      </w:pPr>
      <w:r w:rsidRPr="000575C0">
        <w:rPr>
          <w:sz w:val="24"/>
          <w:szCs w:val="24"/>
        </w:rPr>
        <w:t>Фонд „Научни изследвания“,</w:t>
      </w:r>
    </w:p>
    <w:p w:rsidR="000575C0" w:rsidRPr="000575C0" w:rsidRDefault="000575C0" w:rsidP="000575C0">
      <w:pPr>
        <w:spacing w:before="120" w:after="120"/>
        <w:rPr>
          <w:sz w:val="24"/>
          <w:szCs w:val="24"/>
        </w:rPr>
      </w:pPr>
      <w:r w:rsidRPr="000575C0">
        <w:rPr>
          <w:sz w:val="24"/>
          <w:szCs w:val="24"/>
        </w:rPr>
        <w:t>тел: +359 884 171</w:t>
      </w:r>
      <w:r w:rsidR="00731720">
        <w:rPr>
          <w:sz w:val="24"/>
          <w:szCs w:val="24"/>
        </w:rPr>
        <w:t> </w:t>
      </w:r>
      <w:r w:rsidRPr="000575C0">
        <w:rPr>
          <w:sz w:val="24"/>
          <w:szCs w:val="24"/>
        </w:rPr>
        <w:t>363</w:t>
      </w:r>
      <w:r w:rsidR="00731720">
        <w:rPr>
          <w:sz w:val="24"/>
          <w:szCs w:val="24"/>
        </w:rPr>
        <w:t xml:space="preserve"> </w:t>
      </w:r>
      <w:r w:rsidRPr="000575C0">
        <w:rPr>
          <w:sz w:val="24"/>
          <w:szCs w:val="24"/>
        </w:rPr>
        <w:t>Email:</w:t>
      </w:r>
      <w:hyperlink r:id="rId28" w:history="1">
        <w:r w:rsidRPr="000575C0">
          <w:rPr>
            <w:rStyle w:val="Hyperlink"/>
            <w:sz w:val="24"/>
            <w:szCs w:val="24"/>
          </w:rPr>
          <w:t xml:space="preserve"> aleksandrova@mon.bg </w:t>
        </w:r>
      </w:hyperlink>
    </w:p>
    <w:p w:rsidR="006E1F33" w:rsidRDefault="006E1F33" w:rsidP="006E1F33">
      <w:pPr>
        <w:spacing w:before="120" w:after="480"/>
        <w:rPr>
          <w:b/>
          <w:bCs/>
          <w:sz w:val="24"/>
          <w:szCs w:val="24"/>
        </w:rPr>
      </w:pPr>
      <w:r w:rsidRPr="006E1F33">
        <w:rPr>
          <w:b/>
          <w:sz w:val="24"/>
          <w:szCs w:val="24"/>
        </w:rPr>
        <w:t xml:space="preserve">Крайният срок </w:t>
      </w:r>
      <w:r w:rsidRPr="000575C0">
        <w:rPr>
          <w:sz w:val="24"/>
          <w:szCs w:val="24"/>
        </w:rPr>
        <w:t xml:space="preserve">за подаване на проектни предложения за участие в първия етап от конкурса е </w:t>
      </w:r>
      <w:r w:rsidRPr="000575C0">
        <w:rPr>
          <w:b/>
          <w:bCs/>
          <w:sz w:val="24"/>
          <w:szCs w:val="24"/>
        </w:rPr>
        <w:t>18 юни 2019 г.</w:t>
      </w:r>
    </w:p>
    <w:p w:rsidR="004E7D0D" w:rsidRPr="004E7D0D" w:rsidRDefault="004E7D0D" w:rsidP="004E7D0D">
      <w:pPr>
        <w:pStyle w:val="Heading2"/>
      </w:pPr>
      <w:bookmarkStart w:id="13" w:name="_Toc11064658"/>
      <w:r w:rsidRPr="004E7D0D">
        <w:rPr>
          <w:rFonts w:eastAsia="Times New Roman"/>
          <w:lang w:eastAsia="bg-BG"/>
        </w:rPr>
        <w:t>Конкурс на Френския институт в България за п</w:t>
      </w:r>
      <w:r w:rsidRPr="004E7D0D">
        <w:t>одкрепа за университетски и научни дейности</w:t>
      </w:r>
      <w:bookmarkEnd w:id="13"/>
    </w:p>
    <w:p w:rsidR="004E7D0D" w:rsidRPr="004E7D0D" w:rsidRDefault="004E7D0D" w:rsidP="004E7D0D">
      <w:pPr>
        <w:spacing w:before="120" w:after="120"/>
        <w:rPr>
          <w:rFonts w:ascii="Tahoma" w:eastAsia="Times New Roman" w:hAnsi="Tahoma" w:cs="Tahoma"/>
          <w:sz w:val="21"/>
          <w:szCs w:val="21"/>
          <w:lang w:eastAsia="bg-BG"/>
        </w:rPr>
      </w:pPr>
      <w:r w:rsidRPr="004E7D0D">
        <w:rPr>
          <w:rFonts w:eastAsia="Times New Roman" w:cs="Times New Roman"/>
          <w:sz w:val="24"/>
          <w:szCs w:val="24"/>
          <w:lang w:eastAsia="bg-BG"/>
        </w:rPr>
        <w:t>Френският институт в България обяв</w:t>
      </w:r>
      <w:r>
        <w:rPr>
          <w:rFonts w:eastAsia="Times New Roman" w:cs="Times New Roman"/>
          <w:sz w:val="24"/>
          <w:szCs w:val="24"/>
          <w:lang w:eastAsia="bg-BG"/>
        </w:rPr>
        <w:t>и</w:t>
      </w:r>
      <w:r w:rsidRPr="004E7D0D">
        <w:rPr>
          <w:rFonts w:eastAsia="Times New Roman" w:cs="Times New Roman"/>
          <w:sz w:val="24"/>
          <w:szCs w:val="24"/>
          <w:lang w:eastAsia="bg-BG"/>
        </w:rPr>
        <w:t xml:space="preserve"> втората кампания за проекти, свързани с университетски и научни събития през 2019 година. </w:t>
      </w:r>
    </w:p>
    <w:p w:rsidR="004E7D0D" w:rsidRPr="004E7D0D" w:rsidRDefault="004E7D0D" w:rsidP="004E7D0D">
      <w:pPr>
        <w:spacing w:before="120" w:after="120"/>
        <w:rPr>
          <w:rFonts w:ascii="Tahoma" w:eastAsia="Times New Roman" w:hAnsi="Tahoma" w:cs="Tahoma"/>
          <w:sz w:val="21"/>
          <w:szCs w:val="21"/>
          <w:lang w:eastAsia="bg-BG"/>
        </w:rPr>
      </w:pPr>
      <w:r w:rsidRPr="004E7D0D">
        <w:rPr>
          <w:rFonts w:eastAsia="Times New Roman" w:cs="Times New Roman"/>
          <w:sz w:val="24"/>
          <w:szCs w:val="24"/>
          <w:lang w:eastAsia="bg-BG"/>
        </w:rPr>
        <w:t>Проектите могат да бъдат във всички сфери на науката – хуманитарни, социални и точни науки.</w:t>
      </w:r>
    </w:p>
    <w:p w:rsidR="004E7D0D" w:rsidRPr="004E7D0D" w:rsidRDefault="004E7D0D" w:rsidP="004E7D0D">
      <w:pPr>
        <w:spacing w:before="120" w:after="120"/>
        <w:rPr>
          <w:rFonts w:ascii="Tahoma" w:eastAsia="Times New Roman" w:hAnsi="Tahoma" w:cs="Tahoma"/>
          <w:sz w:val="21"/>
          <w:szCs w:val="21"/>
          <w:lang w:eastAsia="bg-BG"/>
        </w:rPr>
      </w:pPr>
      <w:r w:rsidRPr="004E7D0D">
        <w:rPr>
          <w:rFonts w:eastAsia="Times New Roman" w:cs="Times New Roman"/>
          <w:sz w:val="24"/>
          <w:szCs w:val="24"/>
          <w:lang w:eastAsia="bg-BG"/>
        </w:rPr>
        <w:t>Всички университети, програми (франкофонски или не) и научни институти могат да кандидатстват с проектно предложение свързано с френско участие.</w:t>
      </w:r>
    </w:p>
    <w:p w:rsidR="004E7D0D" w:rsidRPr="004E7D0D" w:rsidRDefault="004E7D0D" w:rsidP="004E7D0D">
      <w:pPr>
        <w:spacing w:before="120" w:after="120"/>
        <w:rPr>
          <w:rFonts w:ascii="Tahoma" w:eastAsia="Times New Roman" w:hAnsi="Tahoma" w:cs="Tahoma"/>
          <w:sz w:val="21"/>
          <w:szCs w:val="21"/>
          <w:lang w:eastAsia="bg-BG"/>
        </w:rPr>
      </w:pPr>
      <w:r w:rsidRPr="004E7D0D">
        <w:rPr>
          <w:rFonts w:eastAsia="Times New Roman" w:cs="Times New Roman"/>
          <w:sz w:val="24"/>
          <w:szCs w:val="24"/>
          <w:lang w:eastAsia="bg-BG"/>
        </w:rPr>
        <w:t>Подробности за конкурса ще намери</w:t>
      </w:r>
      <w:r>
        <w:rPr>
          <w:rFonts w:eastAsia="Times New Roman" w:cs="Times New Roman"/>
          <w:sz w:val="24"/>
          <w:szCs w:val="24"/>
          <w:lang w:eastAsia="bg-BG"/>
        </w:rPr>
        <w:t>те в сайта на Френския институт, откъдето можете да изтеглите и формуляра за кандидатстване</w:t>
      </w:r>
      <w:r w:rsidRPr="004E7D0D">
        <w:rPr>
          <w:rFonts w:eastAsia="Times New Roman" w:cs="Times New Roman"/>
          <w:sz w:val="24"/>
          <w:szCs w:val="24"/>
          <w:lang w:eastAsia="bg-BG"/>
        </w:rPr>
        <w:t>:</w:t>
      </w:r>
      <w:r w:rsidRPr="004E7D0D">
        <w:rPr>
          <w:rFonts w:eastAsia="Times New Roman" w:cs="Times New Roman"/>
          <w:sz w:val="24"/>
          <w:szCs w:val="24"/>
          <w:lang w:eastAsia="bg-BG"/>
        </w:rPr>
        <w:br/>
      </w:r>
      <w:hyperlink r:id="rId29" w:tgtFrame="_blank" w:history="1">
        <w:r w:rsidRPr="004E7D0D">
          <w:rPr>
            <w:rFonts w:eastAsia="Times New Roman" w:cs="Times New Roman"/>
            <w:color w:val="0000FF"/>
            <w:sz w:val="24"/>
            <w:szCs w:val="24"/>
            <w:u w:val="single"/>
            <w:lang w:eastAsia="bg-BG"/>
          </w:rPr>
          <w:t>http://institutfrancais.bg/satrudnichestvo/appel-a-projets1/</w:t>
        </w:r>
      </w:hyperlink>
      <w:r w:rsidRPr="004E7D0D">
        <w:rPr>
          <w:rFonts w:eastAsia="Times New Roman" w:cs="Times New Roman"/>
          <w:sz w:val="24"/>
          <w:szCs w:val="24"/>
          <w:lang w:eastAsia="bg-BG"/>
        </w:rPr>
        <w:t xml:space="preserve"> </w:t>
      </w:r>
    </w:p>
    <w:p w:rsidR="00C5308A" w:rsidRPr="004E7D0D" w:rsidRDefault="00C5308A" w:rsidP="00C5308A">
      <w:pPr>
        <w:spacing w:before="120" w:after="120"/>
        <w:rPr>
          <w:rFonts w:ascii="Tahoma" w:eastAsia="Times New Roman" w:hAnsi="Tahoma" w:cs="Tahoma"/>
          <w:sz w:val="21"/>
          <w:szCs w:val="21"/>
          <w:lang w:eastAsia="bg-BG"/>
        </w:rPr>
      </w:pPr>
      <w:r w:rsidRPr="004E7D0D">
        <w:rPr>
          <w:rFonts w:eastAsia="Times New Roman" w:cs="Times New Roman"/>
          <w:b/>
          <w:bCs/>
          <w:sz w:val="24"/>
          <w:szCs w:val="24"/>
          <w:lang w:eastAsia="bg-BG"/>
        </w:rPr>
        <w:t>Конкурсът за набиране на кандидатури е до 28 юни 2019 година.</w:t>
      </w:r>
    </w:p>
    <w:p w:rsidR="00DC6BBF" w:rsidRDefault="00DC6BBF">
      <w:pPr>
        <w:jc w:val="left"/>
        <w:rPr>
          <w:b/>
          <w:bCs/>
          <w:sz w:val="24"/>
          <w:szCs w:val="24"/>
        </w:rPr>
      </w:pPr>
      <w:r>
        <w:rPr>
          <w:b/>
          <w:bCs/>
          <w:sz w:val="24"/>
          <w:szCs w:val="24"/>
        </w:rPr>
        <w:br w:type="page"/>
      </w:r>
    </w:p>
    <w:p w:rsidR="00121DD3" w:rsidRPr="00121DD3" w:rsidRDefault="00121DD3" w:rsidP="00121DD3">
      <w:pPr>
        <w:pStyle w:val="Heading2"/>
      </w:pPr>
      <w:bookmarkStart w:id="14" w:name="_Toc11064659"/>
      <w:r>
        <w:t>П</w:t>
      </w:r>
      <w:r w:rsidRPr="00121DD3">
        <w:t>редстоящ конкурс по програма Southeast Asia - Europe</w:t>
      </w:r>
      <w:bookmarkEnd w:id="14"/>
      <w:r w:rsidRPr="00121DD3">
        <w:t xml:space="preserve"> </w:t>
      </w:r>
    </w:p>
    <w:p w:rsidR="00121DD3" w:rsidRPr="00121DD3" w:rsidRDefault="00121DD3" w:rsidP="00121DD3">
      <w:pPr>
        <w:spacing w:before="120" w:after="120"/>
        <w:rPr>
          <w:bCs/>
          <w:sz w:val="24"/>
          <w:szCs w:val="24"/>
        </w:rPr>
      </w:pPr>
      <w:r w:rsidRPr="00121DD3">
        <w:rPr>
          <w:bCs/>
          <w:sz w:val="24"/>
          <w:szCs w:val="24"/>
        </w:rPr>
        <w:t>Фонд „Научни изследвания“ информира, че предстои да бъде обявен международен конкурс по програма Southeast Asia - Europe, като ФНИ ще участва като финансираща организация за втора поредна година.</w:t>
      </w:r>
    </w:p>
    <w:p w:rsidR="00121DD3" w:rsidRPr="00121DD3" w:rsidRDefault="00121DD3" w:rsidP="00121DD3">
      <w:pPr>
        <w:spacing w:before="120" w:after="120"/>
        <w:rPr>
          <w:bCs/>
          <w:sz w:val="24"/>
          <w:szCs w:val="24"/>
        </w:rPr>
      </w:pPr>
      <w:r w:rsidRPr="00121DD3">
        <w:rPr>
          <w:bCs/>
          <w:sz w:val="24"/>
          <w:szCs w:val="24"/>
        </w:rPr>
        <w:t>SoutheastAsia</w:t>
      </w:r>
      <w:r w:rsidRPr="00121DD3">
        <w:rPr>
          <w:bCs/>
          <w:sz w:val="24"/>
          <w:szCs w:val="24"/>
          <w:lang w:val="ru-RU"/>
        </w:rPr>
        <w:t xml:space="preserve"> - </w:t>
      </w:r>
      <w:r w:rsidRPr="00121DD3">
        <w:rPr>
          <w:bCs/>
          <w:sz w:val="24"/>
          <w:szCs w:val="24"/>
        </w:rPr>
        <w:t>Europe e обща инициатива на страните от Европейската общност и Югоизточна Азия за сътрудничество в областта на науката, технологиите и иновациите чрез съвместно финнасиране на научно-изследователски проекти.</w:t>
      </w:r>
    </w:p>
    <w:p w:rsidR="00121DD3" w:rsidRPr="00121DD3" w:rsidRDefault="00121DD3" w:rsidP="00121DD3">
      <w:pPr>
        <w:spacing w:before="120" w:after="120"/>
        <w:rPr>
          <w:bCs/>
          <w:sz w:val="24"/>
          <w:szCs w:val="24"/>
        </w:rPr>
      </w:pPr>
      <w:r w:rsidRPr="00121DD3">
        <w:rPr>
          <w:bCs/>
          <w:sz w:val="24"/>
          <w:szCs w:val="24"/>
        </w:rPr>
        <w:t>Поканата ще бъде отворена за научни колективи, които да представят общи проекти в следните тематични области:</w:t>
      </w:r>
    </w:p>
    <w:p w:rsidR="00121DD3" w:rsidRPr="00121DD3" w:rsidRDefault="00121DD3" w:rsidP="00121DD3">
      <w:pPr>
        <w:spacing w:before="120" w:after="120"/>
        <w:rPr>
          <w:bCs/>
          <w:sz w:val="24"/>
          <w:szCs w:val="24"/>
        </w:rPr>
      </w:pPr>
      <w:r w:rsidRPr="00121DD3">
        <w:rPr>
          <w:bCs/>
          <w:sz w:val="24"/>
          <w:szCs w:val="24"/>
        </w:rPr>
        <w:t>1.Water. Integrated Water Resource management</w:t>
      </w:r>
    </w:p>
    <w:p w:rsidR="00121DD3" w:rsidRPr="00121DD3" w:rsidRDefault="00121DD3" w:rsidP="00121DD3">
      <w:pPr>
        <w:spacing w:before="120" w:after="120"/>
        <w:rPr>
          <w:bCs/>
          <w:sz w:val="24"/>
          <w:szCs w:val="24"/>
        </w:rPr>
      </w:pPr>
      <w:r w:rsidRPr="00121DD3">
        <w:rPr>
          <w:bCs/>
          <w:sz w:val="24"/>
          <w:szCs w:val="24"/>
        </w:rPr>
        <w:t>2. Nanotechnologies.</w:t>
      </w:r>
    </w:p>
    <w:p w:rsidR="00121DD3" w:rsidRPr="00121DD3" w:rsidRDefault="00121DD3" w:rsidP="00121DD3">
      <w:pPr>
        <w:spacing w:before="120" w:after="120"/>
        <w:rPr>
          <w:bCs/>
          <w:sz w:val="24"/>
          <w:szCs w:val="24"/>
        </w:rPr>
      </w:pPr>
      <w:r w:rsidRPr="00121DD3">
        <w:rPr>
          <w:bCs/>
          <w:sz w:val="24"/>
          <w:szCs w:val="24"/>
        </w:rPr>
        <w:t>3. ICT. ICT for innovative service creation based on existing technologies including end-users through living labs or innovation hubs</w:t>
      </w:r>
    </w:p>
    <w:p w:rsidR="00121DD3" w:rsidRPr="00121DD3" w:rsidRDefault="00121DD3" w:rsidP="00121DD3">
      <w:pPr>
        <w:spacing w:before="120" w:after="120"/>
        <w:rPr>
          <w:bCs/>
          <w:sz w:val="24"/>
          <w:szCs w:val="24"/>
        </w:rPr>
      </w:pPr>
      <w:r w:rsidRPr="00121DD3">
        <w:rPr>
          <w:bCs/>
          <w:sz w:val="24"/>
          <w:szCs w:val="24"/>
        </w:rPr>
        <w:t>4. Waste.</w:t>
      </w:r>
    </w:p>
    <w:p w:rsidR="00121DD3" w:rsidRPr="00121DD3" w:rsidRDefault="00121DD3" w:rsidP="00121DD3">
      <w:pPr>
        <w:spacing w:before="120" w:after="120"/>
        <w:rPr>
          <w:bCs/>
          <w:sz w:val="24"/>
          <w:szCs w:val="24"/>
        </w:rPr>
      </w:pPr>
      <w:r w:rsidRPr="00121DD3">
        <w:rPr>
          <w:bCs/>
          <w:sz w:val="24"/>
          <w:szCs w:val="24"/>
        </w:rPr>
        <w:t>4.1. ICT solutions for Waste management (urban/industrial/reducing marine litter)</w:t>
      </w:r>
    </w:p>
    <w:p w:rsidR="00121DD3" w:rsidRPr="00121DD3" w:rsidRDefault="00121DD3" w:rsidP="00121DD3">
      <w:pPr>
        <w:spacing w:before="120" w:after="120"/>
        <w:rPr>
          <w:bCs/>
          <w:sz w:val="24"/>
          <w:szCs w:val="24"/>
        </w:rPr>
      </w:pPr>
      <w:r w:rsidRPr="00121DD3">
        <w:rPr>
          <w:bCs/>
          <w:sz w:val="24"/>
          <w:szCs w:val="24"/>
        </w:rPr>
        <w:t>4.2. Waste Management (no ICT focus -urban/industrial, incl. management of chemical and low level radioactive waste produced in various applications of radiation sources</w:t>
      </w:r>
    </w:p>
    <w:p w:rsidR="00121DD3" w:rsidRPr="00121DD3" w:rsidRDefault="00121DD3" w:rsidP="00121DD3">
      <w:pPr>
        <w:spacing w:before="120" w:after="120"/>
        <w:rPr>
          <w:bCs/>
          <w:sz w:val="24"/>
          <w:szCs w:val="24"/>
        </w:rPr>
      </w:pPr>
      <w:r w:rsidRPr="00121DD3">
        <w:rPr>
          <w:bCs/>
          <w:sz w:val="24"/>
          <w:szCs w:val="24"/>
        </w:rPr>
        <w:t>5. Infection Deseases. Infectious Diseases (incl. Antimicrobial Resistance)</w:t>
      </w:r>
    </w:p>
    <w:p w:rsidR="00121DD3" w:rsidRPr="00121DD3" w:rsidRDefault="00121DD3" w:rsidP="00121DD3">
      <w:pPr>
        <w:spacing w:before="120" w:after="120"/>
        <w:rPr>
          <w:bCs/>
          <w:sz w:val="24"/>
          <w:szCs w:val="24"/>
        </w:rPr>
      </w:pPr>
      <w:r w:rsidRPr="00121DD3">
        <w:rPr>
          <w:bCs/>
          <w:sz w:val="24"/>
          <w:szCs w:val="24"/>
        </w:rPr>
        <w:t>6. Food</w:t>
      </w:r>
    </w:p>
    <w:p w:rsidR="00121DD3" w:rsidRPr="00121DD3" w:rsidRDefault="00121DD3" w:rsidP="00121DD3">
      <w:pPr>
        <w:spacing w:before="120" w:after="120"/>
        <w:rPr>
          <w:bCs/>
          <w:sz w:val="24"/>
          <w:szCs w:val="24"/>
        </w:rPr>
      </w:pPr>
      <w:r w:rsidRPr="00121DD3">
        <w:rPr>
          <w:bCs/>
          <w:sz w:val="24"/>
          <w:szCs w:val="24"/>
        </w:rPr>
        <w:t>6.1. Research for sustainable food production along the whole agri-food chain</w:t>
      </w:r>
    </w:p>
    <w:p w:rsidR="00121DD3" w:rsidRPr="00121DD3" w:rsidRDefault="00121DD3" w:rsidP="00121DD3">
      <w:pPr>
        <w:spacing w:before="120" w:after="120"/>
        <w:rPr>
          <w:bCs/>
          <w:sz w:val="24"/>
          <w:szCs w:val="24"/>
        </w:rPr>
      </w:pPr>
      <w:r w:rsidRPr="00121DD3">
        <w:rPr>
          <w:bCs/>
          <w:sz w:val="24"/>
          <w:szCs w:val="24"/>
        </w:rPr>
        <w:t>6.2. Aquaculture</w:t>
      </w:r>
    </w:p>
    <w:p w:rsidR="00121DD3" w:rsidRPr="00121DD3" w:rsidRDefault="00121DD3" w:rsidP="00121DD3">
      <w:pPr>
        <w:spacing w:before="120" w:after="120"/>
        <w:rPr>
          <w:bCs/>
          <w:sz w:val="24"/>
          <w:szCs w:val="24"/>
        </w:rPr>
      </w:pPr>
      <w:r w:rsidRPr="00121DD3">
        <w:rPr>
          <w:bCs/>
          <w:sz w:val="24"/>
          <w:szCs w:val="24"/>
        </w:rPr>
        <w:t>7. Restorative /regenerative economy</w:t>
      </w:r>
    </w:p>
    <w:p w:rsidR="00121DD3" w:rsidRPr="00121DD3" w:rsidRDefault="00121DD3" w:rsidP="00121DD3">
      <w:pPr>
        <w:spacing w:before="120" w:after="120"/>
        <w:rPr>
          <w:bCs/>
          <w:sz w:val="24"/>
          <w:szCs w:val="24"/>
        </w:rPr>
      </w:pPr>
      <w:r w:rsidRPr="00121DD3">
        <w:rPr>
          <w:bCs/>
          <w:sz w:val="24"/>
          <w:szCs w:val="24"/>
        </w:rPr>
        <w:t>8. Machine Learning</w:t>
      </w:r>
    </w:p>
    <w:p w:rsidR="00121DD3" w:rsidRPr="00121DD3" w:rsidRDefault="00121DD3" w:rsidP="00121DD3">
      <w:pPr>
        <w:spacing w:before="120" w:after="120"/>
        <w:rPr>
          <w:bCs/>
          <w:sz w:val="24"/>
          <w:szCs w:val="24"/>
        </w:rPr>
      </w:pPr>
      <w:r w:rsidRPr="00121DD3">
        <w:rPr>
          <w:bCs/>
          <w:sz w:val="24"/>
          <w:szCs w:val="24"/>
        </w:rPr>
        <w:t xml:space="preserve">Условия на конкурса: </w:t>
      </w:r>
    </w:p>
    <w:p w:rsidR="00121DD3" w:rsidRPr="00121DD3" w:rsidRDefault="00121DD3" w:rsidP="00121DD3">
      <w:pPr>
        <w:numPr>
          <w:ilvl w:val="0"/>
          <w:numId w:val="30"/>
        </w:numPr>
        <w:spacing w:before="120" w:after="120"/>
        <w:rPr>
          <w:bCs/>
          <w:sz w:val="24"/>
          <w:szCs w:val="24"/>
        </w:rPr>
      </w:pPr>
      <w:r w:rsidRPr="00121DD3">
        <w:rPr>
          <w:bCs/>
          <w:sz w:val="24"/>
          <w:szCs w:val="24"/>
        </w:rPr>
        <w:t>Проектите по програмата да бъдат със срок за изпълнение от 3 години.</w:t>
      </w:r>
    </w:p>
    <w:p w:rsidR="00121DD3" w:rsidRPr="00121DD3" w:rsidRDefault="00121DD3" w:rsidP="00121DD3">
      <w:pPr>
        <w:numPr>
          <w:ilvl w:val="0"/>
          <w:numId w:val="30"/>
        </w:numPr>
        <w:spacing w:before="120" w:after="120"/>
        <w:rPr>
          <w:bCs/>
          <w:sz w:val="24"/>
          <w:szCs w:val="24"/>
        </w:rPr>
      </w:pPr>
      <w:r w:rsidRPr="00121DD3">
        <w:rPr>
          <w:bCs/>
          <w:sz w:val="24"/>
          <w:szCs w:val="24"/>
        </w:rPr>
        <w:t>Проектните предложения ще се подготвят и подават от консорциум, в който трябва да участват научни колективи от поне две европейски държави и държава от Югоизточна Азия, от страните които са подписали Споразумение за присъединяване към консорциума.</w:t>
      </w:r>
    </w:p>
    <w:p w:rsidR="00121DD3" w:rsidRPr="00121DD3" w:rsidRDefault="00121DD3" w:rsidP="00121DD3">
      <w:pPr>
        <w:numPr>
          <w:ilvl w:val="0"/>
          <w:numId w:val="30"/>
        </w:numPr>
        <w:spacing w:before="120" w:after="120"/>
        <w:rPr>
          <w:bCs/>
          <w:sz w:val="24"/>
          <w:szCs w:val="24"/>
        </w:rPr>
      </w:pPr>
      <w:r w:rsidRPr="00121DD3">
        <w:rPr>
          <w:bCs/>
          <w:sz w:val="24"/>
          <w:szCs w:val="24"/>
        </w:rPr>
        <w:t>Допустими по процедурата за подбор на проекти са български кандидати, които са:</w:t>
      </w:r>
    </w:p>
    <w:p w:rsidR="00121DD3" w:rsidRPr="00121DD3" w:rsidRDefault="00121DD3" w:rsidP="00121DD3">
      <w:pPr>
        <w:numPr>
          <w:ilvl w:val="0"/>
          <w:numId w:val="31"/>
        </w:numPr>
        <w:spacing w:before="120" w:after="120"/>
        <w:rPr>
          <w:bCs/>
          <w:sz w:val="24"/>
          <w:szCs w:val="24"/>
        </w:rPr>
      </w:pPr>
      <w:r w:rsidRPr="00121DD3">
        <w:rPr>
          <w:bCs/>
          <w:sz w:val="24"/>
          <w:szCs w:val="24"/>
        </w:rPr>
        <w:t xml:space="preserve">Акредитирани висши училища по чл. 85 ал. 1 т. 7 на ЗВО. </w:t>
      </w:r>
    </w:p>
    <w:p w:rsidR="00121DD3" w:rsidRPr="00121DD3" w:rsidRDefault="00121DD3" w:rsidP="00121DD3">
      <w:pPr>
        <w:numPr>
          <w:ilvl w:val="0"/>
          <w:numId w:val="31"/>
        </w:numPr>
        <w:spacing w:before="120" w:after="120"/>
        <w:rPr>
          <w:bCs/>
          <w:sz w:val="24"/>
          <w:szCs w:val="24"/>
        </w:rPr>
      </w:pPr>
      <w:r w:rsidRPr="00121DD3">
        <w:rPr>
          <w:bCs/>
          <w:sz w:val="24"/>
          <w:szCs w:val="24"/>
        </w:rPr>
        <w:t xml:space="preserve">Научни организации по чл. 47 ал. 1 на ЗВО. </w:t>
      </w:r>
    </w:p>
    <w:p w:rsidR="00121DD3" w:rsidRPr="00121DD3" w:rsidRDefault="00121DD3" w:rsidP="00121DD3">
      <w:pPr>
        <w:spacing w:before="120" w:after="120"/>
        <w:rPr>
          <w:bCs/>
          <w:sz w:val="24"/>
          <w:szCs w:val="24"/>
        </w:rPr>
      </w:pPr>
      <w:r w:rsidRPr="00121DD3">
        <w:rPr>
          <w:bCs/>
          <w:sz w:val="24"/>
          <w:szCs w:val="24"/>
        </w:rPr>
        <w:t>Бюджетът от страна на Фонд „Научни изследвания“ Бюджетът от страна на Фонд „Научни изследвания“ за предстоящата конкурсна сесия е в размер на 782 332 лева за целия конкурс, с максимална сума за един проект до 195 583 лева.</w:t>
      </w:r>
    </w:p>
    <w:p w:rsidR="00121DD3" w:rsidRPr="00121DD3" w:rsidRDefault="00121DD3" w:rsidP="00121DD3">
      <w:pPr>
        <w:spacing w:before="120" w:after="120"/>
        <w:rPr>
          <w:bCs/>
          <w:sz w:val="24"/>
          <w:szCs w:val="24"/>
        </w:rPr>
      </w:pPr>
      <w:r w:rsidRPr="00121DD3">
        <w:rPr>
          <w:bCs/>
          <w:sz w:val="24"/>
          <w:szCs w:val="24"/>
        </w:rPr>
        <w:t>Крайния срок за подаване на проектни предложения за участие ще бъде обявен при публикуване на поканата за конкурса през м. юни 2019 г.</w:t>
      </w:r>
    </w:p>
    <w:p w:rsidR="00121DD3" w:rsidRPr="00121DD3" w:rsidRDefault="00121DD3" w:rsidP="00121DD3">
      <w:pPr>
        <w:spacing w:before="120" w:after="120"/>
        <w:rPr>
          <w:bCs/>
          <w:sz w:val="24"/>
          <w:szCs w:val="24"/>
        </w:rPr>
      </w:pPr>
      <w:r w:rsidRPr="00121DD3">
        <w:rPr>
          <w:bCs/>
          <w:sz w:val="24"/>
          <w:szCs w:val="24"/>
        </w:rPr>
        <w:t>Информация, насоки и документация за българските участници, относно подаването на документите във Фонд „Научни изследвания“:</w:t>
      </w:r>
    </w:p>
    <w:p w:rsidR="00121DD3" w:rsidRPr="00121DD3" w:rsidRDefault="008E0A6B" w:rsidP="00121DD3">
      <w:pPr>
        <w:numPr>
          <w:ilvl w:val="0"/>
          <w:numId w:val="32"/>
        </w:numPr>
        <w:spacing w:before="120" w:after="120"/>
        <w:rPr>
          <w:bCs/>
          <w:sz w:val="24"/>
          <w:szCs w:val="24"/>
        </w:rPr>
      </w:pPr>
      <w:hyperlink r:id="rId30" w:history="1">
        <w:r w:rsidR="00121DD3" w:rsidRPr="00121DD3">
          <w:rPr>
            <w:rStyle w:val="Hyperlink"/>
            <w:bCs/>
            <w:sz w:val="24"/>
            <w:szCs w:val="24"/>
          </w:rPr>
          <w:t>Национални изисквания и условия за допустимост</w:t>
        </w:r>
      </w:hyperlink>
    </w:p>
    <w:p w:rsidR="00121DD3" w:rsidRPr="00121DD3" w:rsidRDefault="008E0A6B" w:rsidP="00121DD3">
      <w:pPr>
        <w:numPr>
          <w:ilvl w:val="0"/>
          <w:numId w:val="32"/>
        </w:numPr>
        <w:spacing w:before="120" w:after="120"/>
        <w:rPr>
          <w:bCs/>
          <w:sz w:val="24"/>
          <w:szCs w:val="24"/>
        </w:rPr>
      </w:pPr>
      <w:hyperlink r:id="rId31" w:history="1">
        <w:r w:rsidR="00121DD3" w:rsidRPr="00121DD3">
          <w:rPr>
            <w:rStyle w:val="Hyperlink"/>
            <w:bCs/>
            <w:sz w:val="24"/>
            <w:szCs w:val="24"/>
          </w:rPr>
          <w:t>Документи към националните изисквания</w:t>
        </w:r>
      </w:hyperlink>
    </w:p>
    <w:p w:rsidR="00121DD3" w:rsidRPr="00121DD3" w:rsidRDefault="00121DD3" w:rsidP="00121DD3">
      <w:pPr>
        <w:spacing w:before="120" w:after="120"/>
        <w:rPr>
          <w:bCs/>
          <w:sz w:val="24"/>
          <w:szCs w:val="24"/>
        </w:rPr>
      </w:pPr>
      <w:r w:rsidRPr="00121DD3">
        <w:rPr>
          <w:bCs/>
          <w:sz w:val="24"/>
          <w:szCs w:val="24"/>
        </w:rPr>
        <w:t>Контакти за допълнителна информация:</w:t>
      </w:r>
    </w:p>
    <w:p w:rsidR="00121DD3" w:rsidRPr="00121DD3" w:rsidRDefault="00DC6BBF" w:rsidP="00514027">
      <w:pPr>
        <w:spacing w:before="120" w:after="600"/>
        <w:rPr>
          <w:bCs/>
          <w:sz w:val="24"/>
          <w:szCs w:val="24"/>
        </w:rPr>
      </w:pPr>
      <w:r w:rsidRPr="00121DD3">
        <w:rPr>
          <w:bCs/>
          <w:sz w:val="24"/>
          <w:szCs w:val="24"/>
        </w:rPr>
        <w:t>Милена Александрова</w:t>
      </w:r>
      <w:r>
        <w:rPr>
          <w:bCs/>
          <w:sz w:val="24"/>
          <w:szCs w:val="24"/>
        </w:rPr>
        <w:t xml:space="preserve">, </w:t>
      </w:r>
      <w:r w:rsidR="00121DD3" w:rsidRPr="00121DD3">
        <w:rPr>
          <w:bCs/>
          <w:sz w:val="24"/>
          <w:szCs w:val="24"/>
        </w:rPr>
        <w:t>тел. 0884/171-363</w:t>
      </w:r>
      <w:r>
        <w:rPr>
          <w:bCs/>
          <w:sz w:val="24"/>
          <w:szCs w:val="24"/>
        </w:rPr>
        <w:t xml:space="preserve">, </w:t>
      </w:r>
      <w:hyperlink r:id="rId32" w:history="1">
        <w:r w:rsidR="00121DD3" w:rsidRPr="00121DD3">
          <w:rPr>
            <w:rStyle w:val="Hyperlink"/>
            <w:bCs/>
            <w:sz w:val="24"/>
            <w:szCs w:val="24"/>
          </w:rPr>
          <w:t>aleksandrova@mon.bg</w:t>
        </w:r>
      </w:hyperlink>
    </w:p>
    <w:p w:rsidR="00476F9B" w:rsidRPr="0006717A" w:rsidRDefault="00476F9B" w:rsidP="00476F9B">
      <w:pPr>
        <w:pStyle w:val="Heading2"/>
        <w:ind w:left="426"/>
        <w:rPr>
          <w:rFonts w:eastAsia="Times New Roman"/>
          <w:lang w:eastAsia="bg-BG"/>
        </w:rPr>
      </w:pPr>
      <w:bookmarkStart w:id="15" w:name="_Toc503363226"/>
      <w:bookmarkStart w:id="16" w:name="_Toc11064660"/>
      <w:r w:rsidRPr="0006717A">
        <w:rPr>
          <w:rFonts w:eastAsia="Times New Roman"/>
          <w:lang w:eastAsia="bg-BG"/>
        </w:rPr>
        <w:t>Подкрепа на международни научни форуми, провеждани в Република България</w:t>
      </w:r>
      <w:bookmarkEnd w:id="15"/>
      <w:bookmarkEnd w:id="16"/>
    </w:p>
    <w:p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3" w:tgtFrame="_blank" w:history="1">
        <w:r w:rsidRPr="00DD764B">
          <w:rPr>
            <w:rStyle w:val="Hyperlink"/>
            <w:rFonts w:eastAsia="Times New Roman" w:cs="Times New Roman"/>
            <w:sz w:val="24"/>
            <w:szCs w:val="24"/>
            <w:lang w:eastAsia="bg-BG"/>
          </w:rPr>
          <w:t>https://www.neaa.government.bg</w:t>
        </w:r>
      </w:hyperlink>
    </w:p>
    <w:p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rsidR="009C6D1E" w:rsidRDefault="00DD764B" w:rsidP="00796791">
      <w:pPr>
        <w:pStyle w:val="ListParagraph"/>
        <w:numPr>
          <w:ilvl w:val="0"/>
          <w:numId w:val="5"/>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rsidR="00DD764B" w:rsidRPr="009C6D1E" w:rsidRDefault="00DD764B" w:rsidP="00796791">
      <w:pPr>
        <w:pStyle w:val="ListParagraph"/>
        <w:numPr>
          <w:ilvl w:val="0"/>
          <w:numId w:val="5"/>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34" w:history="1">
        <w:r w:rsidRPr="00DD764B">
          <w:rPr>
            <w:rStyle w:val="Hyperlink"/>
            <w:rFonts w:eastAsia="Times New Roman" w:cs="Times New Roman"/>
            <w:sz w:val="24"/>
            <w:szCs w:val="24"/>
            <w:lang w:eastAsia="bg-BG"/>
          </w:rPr>
          <w:t>ТУК</w:t>
        </w:r>
      </w:hyperlink>
    </w:p>
    <w:p w:rsidR="00476F9B" w:rsidRDefault="00476F9B" w:rsidP="00A063F2">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rsidR="001803A0" w:rsidRPr="00A063F2" w:rsidRDefault="001803A0" w:rsidP="00A063F2">
      <w:pPr>
        <w:pStyle w:val="Heading2"/>
        <w:ind w:left="426"/>
        <w:rPr>
          <w:rFonts w:eastAsia="Times New Roman"/>
          <w:lang w:val="en-US" w:eastAsia="bg-BG"/>
        </w:rPr>
      </w:pPr>
      <w:bookmarkStart w:id="17" w:name="_Toc11064661"/>
      <w:r w:rsidRPr="00A063F2">
        <w:rPr>
          <w:rFonts w:eastAsia="Times New Roman"/>
          <w:lang w:val="en-US" w:eastAsia="bg-BG"/>
        </w:rPr>
        <w:t>Call for COST Action proposals</w:t>
      </w:r>
      <w:bookmarkEnd w:id="17"/>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Participants are invited to submit COST Action proposals contributing to the scientific, technological, economic, cultural or societal knowledge advancement and development of Europe. Multi- and interdisciplinary proposals are encouraged.</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The Open Call Action proposal submission, evaluation, selection and approval (SESA) procedure is fully science and technology-driven and will ensure a simple, transparent and competitive proposal evaluation and selection process, reflecting the bottom-up, open and inclusive principles of COST.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Participants planning to submit a proposal for a COST Action will need to refer to the </w:t>
      </w:r>
      <w:hyperlink r:id="rId35" w:history="1">
        <w:r w:rsidRPr="001803A0">
          <w:rPr>
            <w:rStyle w:val="Hyperlink"/>
            <w:rFonts w:eastAsia="Times New Roman" w:cs="Times New Roman"/>
            <w:sz w:val="24"/>
            <w:szCs w:val="24"/>
            <w:lang w:val="en-US" w:eastAsia="bg-BG"/>
          </w:rPr>
          <w:t>SESA guidelines</w:t>
        </w:r>
      </w:hyperlink>
      <w:r w:rsidRPr="001803A0">
        <w:rPr>
          <w:rFonts w:eastAsia="Times New Roman" w:cs="Times New Roman"/>
          <w:color w:val="000000"/>
          <w:sz w:val="24"/>
          <w:szCs w:val="24"/>
          <w:lang w:val="en-US" w:eastAsia="bg-BG"/>
        </w:rPr>
        <w:t>.</w:t>
      </w:r>
    </w:p>
    <w:p w:rsidR="001803A0" w:rsidRPr="001803A0" w:rsidRDefault="001803A0" w:rsidP="001803A0">
      <w:pPr>
        <w:shd w:val="clear" w:color="auto" w:fill="FFFFFF"/>
        <w:spacing w:before="120" w:after="120"/>
        <w:rPr>
          <w:rFonts w:eastAsia="Times New Roman" w:cs="Times New Roman"/>
          <w:color w:val="000000"/>
          <w:sz w:val="24"/>
          <w:szCs w:val="24"/>
          <w:lang w:val="en-US" w:eastAsia="bg-BG"/>
        </w:rPr>
      </w:pPr>
      <w:r w:rsidRPr="001803A0">
        <w:rPr>
          <w:rFonts w:eastAsia="Times New Roman" w:cs="Times New Roman"/>
          <w:color w:val="000000"/>
          <w:sz w:val="24"/>
          <w:szCs w:val="24"/>
          <w:lang w:val="en-US" w:eastAsia="bg-BG"/>
        </w:rPr>
        <w:t xml:space="preserve">For any questions related to the open call and how to get funding, please contact </w:t>
      </w:r>
      <w:r w:rsidRPr="001803A0">
        <w:rPr>
          <w:rFonts w:eastAsia="Times New Roman" w:cs="Times New Roman"/>
          <w:bCs/>
          <w:color w:val="000000"/>
          <w:sz w:val="24"/>
          <w:szCs w:val="24"/>
          <w:lang w:val="en-US" w:eastAsia="bg-BG"/>
        </w:rPr>
        <w:t> </w:t>
      </w:r>
      <w:hyperlink r:id="rId36" w:history="1">
        <w:r w:rsidRPr="001803A0">
          <w:rPr>
            <w:rStyle w:val="Hyperlink"/>
            <w:rFonts w:eastAsia="Times New Roman" w:cs="Times New Roman"/>
            <w:bCs/>
            <w:sz w:val="24"/>
            <w:szCs w:val="24"/>
            <w:lang w:val="en-US" w:eastAsia="bg-BG"/>
          </w:rPr>
          <w:t>opencall@cost.eu</w:t>
        </w:r>
      </w:hyperlink>
    </w:p>
    <w:p w:rsidR="001803A0" w:rsidRPr="001803A0" w:rsidRDefault="001803A0" w:rsidP="000203E1">
      <w:pPr>
        <w:shd w:val="clear" w:color="auto" w:fill="FFFFFF"/>
        <w:spacing w:before="120" w:after="480"/>
        <w:rPr>
          <w:rFonts w:eastAsia="Times New Roman" w:cs="Times New Roman"/>
          <w:color w:val="000000"/>
          <w:sz w:val="24"/>
          <w:szCs w:val="24"/>
          <w:lang w:val="en-US" w:eastAsia="bg-BG"/>
        </w:rPr>
      </w:pPr>
      <w:r w:rsidRPr="00CD22CE">
        <w:rPr>
          <w:rFonts w:eastAsia="Times New Roman" w:cs="Times New Roman"/>
          <w:b/>
          <w:color w:val="000000"/>
          <w:sz w:val="24"/>
          <w:szCs w:val="24"/>
          <w:lang w:val="en-US" w:eastAsia="bg-BG"/>
        </w:rPr>
        <w:t>Deadline</w:t>
      </w:r>
      <w:r w:rsidR="00CD22CE" w:rsidRPr="00CD22CE">
        <w:rPr>
          <w:rFonts w:eastAsia="Times New Roman" w:cs="Times New Roman"/>
          <w:b/>
          <w:color w:val="000000"/>
          <w:sz w:val="24"/>
          <w:szCs w:val="24"/>
          <w:lang w:val="en-US" w:eastAsia="bg-BG"/>
        </w:rPr>
        <w:t xml:space="preserve"> </w:t>
      </w:r>
      <w:r w:rsidRPr="00CD22CE">
        <w:rPr>
          <w:rFonts w:eastAsia="Times New Roman" w:cs="Times New Roman"/>
          <w:b/>
          <w:color w:val="000000"/>
          <w:sz w:val="24"/>
          <w:szCs w:val="24"/>
          <w:lang w:val="en-US" w:eastAsia="bg-BG"/>
        </w:rPr>
        <w:t>for proposal collection:</w:t>
      </w:r>
      <w:r w:rsidRPr="001803A0">
        <w:rPr>
          <w:rFonts w:eastAsia="Times New Roman" w:cs="Times New Roman"/>
          <w:color w:val="000000"/>
          <w:sz w:val="24"/>
          <w:szCs w:val="24"/>
          <w:lang w:val="en-US" w:eastAsia="bg-BG"/>
        </w:rPr>
        <w:t xml:space="preserve"> </w:t>
      </w:r>
      <w:r w:rsidRPr="001803A0">
        <w:rPr>
          <w:rFonts w:eastAsia="Times New Roman" w:cs="Times New Roman"/>
          <w:b/>
          <w:bCs/>
          <w:color w:val="000000"/>
          <w:sz w:val="24"/>
          <w:szCs w:val="24"/>
          <w:lang w:val="en-US" w:eastAsia="bg-BG"/>
        </w:rPr>
        <w:t>5 September 2019 at 12:00 noon (CET)</w:t>
      </w:r>
    </w:p>
    <w:p w:rsidR="00476F9B" w:rsidRPr="00AB0EFA" w:rsidRDefault="00476F9B" w:rsidP="00476F9B">
      <w:pPr>
        <w:pStyle w:val="Heading2"/>
        <w:ind w:left="426"/>
        <w:rPr>
          <w:rFonts w:eastAsia="Times New Roman"/>
          <w:lang w:eastAsia="bg-BG"/>
        </w:rPr>
      </w:pPr>
      <w:bookmarkStart w:id="18" w:name="_Toc503363227"/>
      <w:bookmarkStart w:id="19" w:name="_Toc11064662"/>
      <w:r w:rsidRPr="00AB0EFA">
        <w:rPr>
          <w:rFonts w:eastAsia="Times New Roman"/>
          <w:lang w:eastAsia="bg-BG"/>
        </w:rPr>
        <w:t>Национално съфинансиране за участие на български колективи в утвърдени проекти по COST</w:t>
      </w:r>
      <w:bookmarkEnd w:id="18"/>
      <w:bookmarkEnd w:id="19"/>
    </w:p>
    <w:p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ДОПУСТИМИ КАНДИДАТИ</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Акредитирани висши училища по чл. 85 ал.1 т.7 (ЗВО Обн. ДВ. бр.112 от 27 Декември 1995г. изм. ДВ. бр.107 от 24 Декември 2014г).</w:t>
      </w:r>
    </w:p>
    <w:p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Научни организации по чл. 47 ал. 1 на (ЗВО Обн. ДВ. бр.112 от 27 Декември 1995г. изм. ДВ. бр.107 от 24 Декември 2014г).</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КРИТЕРИИ ЗА ОЦЕНКА: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rsidR="00476F9B" w:rsidRPr="00E1455C" w:rsidRDefault="008E0A6B" w:rsidP="00476F9B">
      <w:pPr>
        <w:rPr>
          <w:rFonts w:cs="Times New Roman"/>
          <w:color w:val="000000"/>
          <w:sz w:val="24"/>
          <w:szCs w:val="24"/>
        </w:rPr>
      </w:pPr>
      <w:hyperlink r:id="rId37" w:tgtFrame="_blank" w:history="1">
        <w:r w:rsidR="00476F9B" w:rsidRPr="00E1455C">
          <w:rPr>
            <w:rStyle w:val="Hyperlink"/>
            <w:rFonts w:cs="Times New Roman"/>
            <w:sz w:val="24"/>
            <w:szCs w:val="24"/>
          </w:rPr>
          <w:t>Пълен текст на процедурата</w:t>
        </w:r>
      </w:hyperlink>
    </w:p>
    <w:p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38" w:history="1">
        <w:r w:rsidRPr="00E1455C">
          <w:rPr>
            <w:rFonts w:eastAsia="Calibri" w:cs="Times New Roman"/>
            <w:color w:val="0000FF" w:themeColor="hyperlink"/>
            <w:sz w:val="24"/>
            <w:szCs w:val="24"/>
            <w:u w:val="single"/>
            <w:lang w:eastAsia="bg-BG"/>
          </w:rPr>
          <w:t>fni-konkursi@mon.bg</w:t>
        </w:r>
      </w:hyperlink>
    </w:p>
    <w:p w:rsidR="00923696" w:rsidRDefault="00476F9B" w:rsidP="00370E4A">
      <w:pPr>
        <w:spacing w:after="360"/>
        <w:rPr>
          <w:rFonts w:eastAsia="Calibri" w:cs="Times New Roman"/>
          <w:b/>
          <w:sz w:val="24"/>
          <w:szCs w:val="24"/>
          <w:lang w:eastAsia="bg-BG"/>
        </w:rPr>
      </w:pPr>
      <w:r w:rsidRPr="00AB0EFA">
        <w:rPr>
          <w:rFonts w:eastAsia="Calibri" w:cs="Times New Roman"/>
          <w:b/>
          <w:sz w:val="24"/>
          <w:szCs w:val="24"/>
          <w:lang w:eastAsia="bg-BG"/>
        </w:rPr>
        <w:t>Краен срок: текущ</w:t>
      </w:r>
    </w:p>
    <w:p w:rsidR="002E339B" w:rsidRDefault="002E339B" w:rsidP="002E339B">
      <w:pPr>
        <w:pStyle w:val="Heading2"/>
        <w:ind w:left="357" w:hanging="357"/>
      </w:pPr>
      <w:bookmarkStart w:id="20" w:name="_Toc11064663"/>
      <w:r w:rsidRPr="0052108C">
        <w:t>Програма: „Америка за България”</w:t>
      </w:r>
      <w:bookmarkEnd w:id="20"/>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rsidR="00B57F79" w:rsidRDefault="00B57F79" w:rsidP="00460469">
      <w:pPr>
        <w:sectPr w:rsidR="00B57F79" w:rsidSect="00EF7FA2">
          <w:footerReference w:type="default" r:id="rId39"/>
          <w:pgSz w:w="11906" w:h="16838"/>
          <w:pgMar w:top="1417" w:right="1133" w:bottom="1417" w:left="1417" w:header="708" w:footer="708" w:gutter="0"/>
          <w:cols w:space="708"/>
          <w:docGrid w:linePitch="360"/>
        </w:sectPr>
      </w:pPr>
    </w:p>
    <w:p w:rsidR="00AC582E" w:rsidRPr="00544F92" w:rsidRDefault="00912146" w:rsidP="00510D99">
      <w:pPr>
        <w:pStyle w:val="Events"/>
      </w:pPr>
      <w:bookmarkStart w:id="21" w:name="_Toc11064664"/>
      <w:r>
        <w:t>СЪБИТИЯ</w:t>
      </w:r>
      <w:bookmarkEnd w:id="21"/>
    </w:p>
    <w:p w:rsidR="003707BE" w:rsidRPr="009932F0" w:rsidRDefault="009932F0" w:rsidP="00004F0E">
      <w:pPr>
        <w:spacing w:after="360"/>
        <w:rPr>
          <w:b/>
          <w:color w:val="E36C0A" w:themeColor="accent6" w:themeShade="BF"/>
          <w:sz w:val="24"/>
          <w:szCs w:val="24"/>
          <w:u w:val="single"/>
          <w:lang w:val="en"/>
        </w:rPr>
      </w:pPr>
      <w:r w:rsidRPr="009932F0">
        <w:rPr>
          <w:b/>
          <w:color w:val="E36C0A" w:themeColor="accent6" w:themeShade="BF"/>
          <w:sz w:val="24"/>
          <w:szCs w:val="24"/>
          <w:u w:val="single"/>
          <w:lang w:val="en"/>
        </w:rPr>
        <w:t>Q-Sort 2019 International Conference On Quantum Imaging And Electron Beam Shaping, 2-5 July 2019, Erlangen, Germany</w:t>
      </w:r>
    </w:p>
    <w:p w:rsidR="009932F0" w:rsidRPr="009932F0" w:rsidRDefault="009932F0" w:rsidP="009932F0">
      <w:pPr>
        <w:spacing w:after="120"/>
        <w:rPr>
          <w:sz w:val="24"/>
          <w:szCs w:val="24"/>
          <w:lang w:val="en"/>
        </w:rPr>
      </w:pPr>
      <w:r w:rsidRPr="009932F0">
        <w:rPr>
          <w:sz w:val="24"/>
          <w:szCs w:val="24"/>
          <w:lang w:val="en"/>
        </w:rPr>
        <w:t xml:space="preserve">This conference is organized jointly by the partners of the projects Quantum Sorter – A new Measurement Paradigm in Electron Microscopy (H2020-FETOPEN) with the support of Max Planck Institute for the Science of Light, Erlangen Recent developments in the spatial and temporal shaping of electron beams are on the verge of technological </w:t>
      </w:r>
      <w:proofErr w:type="spellStart"/>
      <w:r w:rsidRPr="009932F0">
        <w:rPr>
          <w:sz w:val="24"/>
          <w:szCs w:val="24"/>
          <w:lang w:val="en"/>
        </w:rPr>
        <w:t>commercialisation</w:t>
      </w:r>
      <w:proofErr w:type="spellEnd"/>
      <w:r w:rsidRPr="009932F0">
        <w:rPr>
          <w:sz w:val="24"/>
          <w:szCs w:val="24"/>
          <w:lang w:val="en"/>
        </w:rPr>
        <w:t>, where they would provide routes towards image-resolution enhancement and novel microscopy techniques.</w:t>
      </w:r>
    </w:p>
    <w:p w:rsidR="009932F0" w:rsidRPr="009932F0" w:rsidRDefault="009932F0" w:rsidP="009932F0">
      <w:pPr>
        <w:spacing w:before="120" w:after="120"/>
        <w:rPr>
          <w:sz w:val="24"/>
          <w:szCs w:val="24"/>
          <w:lang w:val="en"/>
        </w:rPr>
      </w:pPr>
      <w:r w:rsidRPr="009932F0">
        <w:rPr>
          <w:sz w:val="24"/>
          <w:szCs w:val="24"/>
          <w:lang w:val="en"/>
        </w:rPr>
        <w:t>Most of these methods, such as passive and dynamic wave packet modulation, as well as structured light-matter interaction, are inspired by their optical counterpart and have now been explored in transmission electron microscopy. However, other schemes exist, inspired by quantum optics, such as so-called “interaction-free” methods, optimal quantum state tomography, and computational ghost imaging, which may be implemented in electron microscopy.</w:t>
      </w:r>
    </w:p>
    <w:p w:rsidR="009932F0" w:rsidRPr="009932F0" w:rsidRDefault="009932F0" w:rsidP="009932F0">
      <w:pPr>
        <w:spacing w:before="120" w:after="120"/>
        <w:rPr>
          <w:sz w:val="24"/>
          <w:szCs w:val="24"/>
          <w:lang w:val="en"/>
        </w:rPr>
      </w:pPr>
      <w:r w:rsidRPr="009932F0">
        <w:rPr>
          <w:sz w:val="24"/>
          <w:szCs w:val="24"/>
          <w:lang w:val="en"/>
        </w:rPr>
        <w:t>All these new methods hold the promise of improving the imaging of dose-sensitive specimens. The Q-SORT International Conference on Quantum Imaging and Electron Beam Shaping aims to gather experts from the fields of electron and laser beam shaping, free-space electron optics, and related sub-fields of quantum mechanics.</w:t>
      </w:r>
    </w:p>
    <w:p w:rsidR="009932F0" w:rsidRPr="009932F0" w:rsidRDefault="009932F0" w:rsidP="00735E13">
      <w:pPr>
        <w:spacing w:before="120" w:after="120"/>
        <w:rPr>
          <w:sz w:val="24"/>
          <w:szCs w:val="24"/>
          <w:lang w:val="en"/>
        </w:rPr>
      </w:pPr>
      <w:r w:rsidRPr="009932F0">
        <w:rPr>
          <w:sz w:val="24"/>
          <w:szCs w:val="24"/>
          <w:lang w:val="en"/>
        </w:rPr>
        <w:t>Participants will present and share their latest discoveries and innovations.</w:t>
      </w:r>
    </w:p>
    <w:p w:rsidR="009932F0" w:rsidRPr="009932F0" w:rsidRDefault="009932F0" w:rsidP="009932F0">
      <w:pPr>
        <w:spacing w:before="120" w:after="120"/>
        <w:rPr>
          <w:sz w:val="24"/>
          <w:szCs w:val="24"/>
          <w:lang w:val="en"/>
        </w:rPr>
      </w:pPr>
      <w:r w:rsidRPr="009932F0">
        <w:rPr>
          <w:sz w:val="24"/>
          <w:szCs w:val="24"/>
          <w:lang w:val="en"/>
        </w:rPr>
        <w:t>This meeting will be one of the first of its kind: it is thus uniquely positioned, since luminaries and pioneers from all the above research fields will be present. They will have the possibility to closely interact and exchange ideas for new, interdisciplinary collaborations.</w:t>
      </w:r>
    </w:p>
    <w:p w:rsidR="00AD4249" w:rsidRDefault="009932F0" w:rsidP="00735E13">
      <w:pPr>
        <w:tabs>
          <w:tab w:val="num" w:pos="720"/>
        </w:tabs>
        <w:spacing w:after="360"/>
        <w:rPr>
          <w:sz w:val="24"/>
          <w:szCs w:val="24"/>
          <w:lang w:val="en"/>
        </w:rPr>
      </w:pPr>
      <w:r w:rsidRPr="009932F0">
        <w:rPr>
          <w:bCs/>
          <w:sz w:val="24"/>
          <w:szCs w:val="24"/>
          <w:lang w:val="en"/>
        </w:rPr>
        <w:t>More information</w:t>
      </w:r>
      <w:r>
        <w:rPr>
          <w:b/>
          <w:bCs/>
          <w:sz w:val="24"/>
          <w:szCs w:val="24"/>
          <w:lang w:val="en"/>
        </w:rPr>
        <w:t xml:space="preserve"> </w:t>
      </w:r>
      <w:hyperlink r:id="rId40" w:tgtFrame="_blank" w:history="1">
        <w:r w:rsidRPr="009932F0">
          <w:rPr>
            <w:rStyle w:val="Hyperlink"/>
            <w:sz w:val="24"/>
            <w:szCs w:val="24"/>
            <w:lang w:val="en"/>
          </w:rPr>
          <w:t>Website</w:t>
        </w:r>
      </w:hyperlink>
      <w:r w:rsidRPr="009932F0">
        <w:rPr>
          <w:sz w:val="24"/>
          <w:szCs w:val="24"/>
          <w:lang w:val="en"/>
        </w:rPr>
        <w:t xml:space="preserve"> </w:t>
      </w:r>
    </w:p>
    <w:p w:rsidR="000D6D38" w:rsidRPr="00200390" w:rsidRDefault="000D6D38" w:rsidP="000D6D38">
      <w:pPr>
        <w:tabs>
          <w:tab w:val="num" w:pos="720"/>
        </w:tabs>
        <w:spacing w:after="360"/>
        <w:rPr>
          <w:b/>
          <w:bCs/>
          <w:color w:val="E36C0A" w:themeColor="accent6" w:themeShade="BF"/>
          <w:sz w:val="24"/>
          <w:szCs w:val="24"/>
          <w:u w:val="single"/>
          <w:lang w:val="en"/>
        </w:rPr>
      </w:pPr>
      <w:r w:rsidRPr="00200390">
        <w:rPr>
          <w:b/>
          <w:bCs/>
          <w:color w:val="E36C0A" w:themeColor="accent6" w:themeShade="BF"/>
          <w:sz w:val="24"/>
          <w:szCs w:val="24"/>
          <w:u w:val="single"/>
          <w:lang w:val="en"/>
        </w:rPr>
        <w:t>Open Info Day, Horizon 2020 - 'Health, demographic change and wellbeing', 3 July 2019, Brussels (Charlemagne building), Belgium</w:t>
      </w:r>
    </w:p>
    <w:p w:rsidR="000D6D38" w:rsidRPr="000D6D38" w:rsidRDefault="000D6D38" w:rsidP="00200390">
      <w:pPr>
        <w:tabs>
          <w:tab w:val="num" w:pos="720"/>
        </w:tabs>
        <w:spacing w:before="120" w:after="120"/>
        <w:rPr>
          <w:sz w:val="24"/>
          <w:szCs w:val="24"/>
          <w:lang w:val="en"/>
        </w:rPr>
      </w:pPr>
      <w:r w:rsidRPr="000D6D38">
        <w:rPr>
          <w:sz w:val="24"/>
          <w:szCs w:val="24"/>
          <w:lang w:val="en"/>
        </w:rPr>
        <w:t>With the principle of 'better health for all' at its core, Horizon 2020's Societal Challenge 1 (Health, demographic change and wellbeing) focuses on:</w:t>
      </w:r>
    </w:p>
    <w:p w:rsidR="000D6D38" w:rsidRPr="000D6D38" w:rsidRDefault="000D6D38" w:rsidP="00200390">
      <w:pPr>
        <w:numPr>
          <w:ilvl w:val="0"/>
          <w:numId w:val="21"/>
        </w:numPr>
        <w:spacing w:after="0"/>
        <w:ind w:left="714" w:hanging="357"/>
        <w:rPr>
          <w:sz w:val="24"/>
          <w:szCs w:val="24"/>
          <w:lang w:val="en"/>
        </w:rPr>
      </w:pPr>
      <w:proofErr w:type="spellStart"/>
      <w:r w:rsidRPr="000D6D38">
        <w:rPr>
          <w:sz w:val="24"/>
          <w:szCs w:val="24"/>
          <w:lang w:val="en"/>
        </w:rPr>
        <w:t>personalised</w:t>
      </w:r>
      <w:proofErr w:type="spellEnd"/>
      <w:r w:rsidRPr="000D6D38">
        <w:rPr>
          <w:sz w:val="24"/>
          <w:szCs w:val="24"/>
          <w:lang w:val="en"/>
        </w:rPr>
        <w:t xml:space="preserve"> health and care</w:t>
      </w:r>
    </w:p>
    <w:p w:rsidR="000D6D38" w:rsidRPr="000D6D38" w:rsidRDefault="000D6D38" w:rsidP="00200390">
      <w:pPr>
        <w:numPr>
          <w:ilvl w:val="0"/>
          <w:numId w:val="21"/>
        </w:numPr>
        <w:spacing w:after="0"/>
        <w:ind w:left="714" w:hanging="357"/>
        <w:rPr>
          <w:sz w:val="24"/>
          <w:szCs w:val="24"/>
          <w:lang w:val="en"/>
        </w:rPr>
      </w:pPr>
      <w:r w:rsidRPr="000D6D38">
        <w:rPr>
          <w:sz w:val="24"/>
          <w:szCs w:val="24"/>
          <w:lang w:val="en"/>
        </w:rPr>
        <w:t>infectious diseases and improving global health</w:t>
      </w:r>
    </w:p>
    <w:p w:rsidR="000D6D38" w:rsidRPr="000D6D38" w:rsidRDefault="000D6D38" w:rsidP="00200390">
      <w:pPr>
        <w:numPr>
          <w:ilvl w:val="0"/>
          <w:numId w:val="21"/>
        </w:numPr>
        <w:spacing w:after="0"/>
        <w:ind w:left="714" w:hanging="357"/>
        <w:rPr>
          <w:sz w:val="24"/>
          <w:szCs w:val="24"/>
          <w:lang w:val="en"/>
        </w:rPr>
      </w:pPr>
      <w:r w:rsidRPr="000D6D38">
        <w:rPr>
          <w:sz w:val="24"/>
          <w:szCs w:val="24"/>
          <w:lang w:val="en"/>
        </w:rPr>
        <w:t>innovative and sustainable health systems</w:t>
      </w:r>
    </w:p>
    <w:p w:rsidR="000D6D38" w:rsidRPr="000D6D38" w:rsidRDefault="000D6D38" w:rsidP="00200390">
      <w:pPr>
        <w:numPr>
          <w:ilvl w:val="0"/>
          <w:numId w:val="21"/>
        </w:numPr>
        <w:spacing w:after="0"/>
        <w:ind w:left="714" w:hanging="357"/>
        <w:rPr>
          <w:sz w:val="24"/>
          <w:szCs w:val="24"/>
          <w:lang w:val="en"/>
        </w:rPr>
      </w:pPr>
      <w:r w:rsidRPr="000D6D38">
        <w:rPr>
          <w:sz w:val="24"/>
          <w:szCs w:val="24"/>
          <w:lang w:val="en"/>
        </w:rPr>
        <w:t>decoding the role of the environment (including climate change) for health and wellbeing</w:t>
      </w:r>
    </w:p>
    <w:p w:rsidR="000D6D38" w:rsidRPr="000D6D38" w:rsidRDefault="000D6D38" w:rsidP="00200390">
      <w:pPr>
        <w:numPr>
          <w:ilvl w:val="0"/>
          <w:numId w:val="21"/>
        </w:numPr>
        <w:spacing w:after="0"/>
        <w:ind w:left="714" w:hanging="357"/>
        <w:rPr>
          <w:sz w:val="24"/>
          <w:szCs w:val="24"/>
          <w:lang w:val="en"/>
        </w:rPr>
      </w:pPr>
      <w:r w:rsidRPr="000D6D38">
        <w:rPr>
          <w:sz w:val="24"/>
          <w:szCs w:val="24"/>
          <w:lang w:val="en"/>
        </w:rPr>
        <w:t>digital transformation</w:t>
      </w:r>
    </w:p>
    <w:p w:rsidR="000D6D38" w:rsidRPr="000D6D38" w:rsidRDefault="000D6D38" w:rsidP="00200390">
      <w:pPr>
        <w:numPr>
          <w:ilvl w:val="0"/>
          <w:numId w:val="21"/>
        </w:numPr>
        <w:spacing w:after="0"/>
        <w:ind w:left="714" w:hanging="357"/>
        <w:rPr>
          <w:sz w:val="24"/>
          <w:szCs w:val="24"/>
          <w:lang w:val="en"/>
        </w:rPr>
      </w:pPr>
      <w:r w:rsidRPr="000D6D38">
        <w:rPr>
          <w:sz w:val="24"/>
          <w:szCs w:val="24"/>
          <w:lang w:val="en"/>
        </w:rPr>
        <w:t>cybersecurity in health and care</w:t>
      </w:r>
    </w:p>
    <w:p w:rsidR="000D6D38" w:rsidRPr="000D6D38" w:rsidRDefault="000D6D38" w:rsidP="00200390">
      <w:pPr>
        <w:tabs>
          <w:tab w:val="num" w:pos="720"/>
        </w:tabs>
        <w:spacing w:after="120"/>
        <w:rPr>
          <w:sz w:val="24"/>
          <w:szCs w:val="24"/>
          <w:lang w:val="en"/>
        </w:rPr>
      </w:pPr>
      <w:r w:rsidRPr="000D6D38">
        <w:rPr>
          <w:sz w:val="24"/>
          <w:szCs w:val="24"/>
          <w:lang w:val="en"/>
        </w:rPr>
        <w:t>Horizon 2020 Societal Challenge 1 work programme for 2020 (2020 Health calls) will be expected to offer calls for proposals with an overall budget of about €650 million.  Funding opportunities will be presented at the Open Info Day on 3 July.</w:t>
      </w:r>
    </w:p>
    <w:p w:rsidR="000D6D38" w:rsidRPr="000D6D38" w:rsidRDefault="000D6D38" w:rsidP="00200390">
      <w:pPr>
        <w:tabs>
          <w:tab w:val="num" w:pos="720"/>
        </w:tabs>
        <w:spacing w:after="120"/>
        <w:rPr>
          <w:sz w:val="24"/>
          <w:szCs w:val="24"/>
          <w:lang w:val="en"/>
        </w:rPr>
      </w:pPr>
      <w:r w:rsidRPr="000D6D38">
        <w:rPr>
          <w:sz w:val="24"/>
          <w:szCs w:val="24"/>
          <w:lang w:val="en"/>
        </w:rPr>
        <w:t xml:space="preserve">Related to the Open Info Day, but as a separate event, the EU-funded project </w:t>
      </w:r>
      <w:r w:rsidRPr="000D6D38">
        <w:rPr>
          <w:b/>
          <w:bCs/>
          <w:sz w:val="24"/>
          <w:szCs w:val="24"/>
          <w:lang w:val="en"/>
        </w:rPr>
        <w:t>Health-NCP-Net 2.0</w:t>
      </w:r>
      <w:r w:rsidRPr="000D6D38">
        <w:rPr>
          <w:sz w:val="24"/>
          <w:szCs w:val="24"/>
          <w:lang w:val="en"/>
        </w:rPr>
        <w:t xml:space="preserve"> is organizing a free of charge Partnering Event on 4 July in Brussels which is meant to assist you in finding the right project partners for the upcoming 2020 Health calls.</w:t>
      </w:r>
    </w:p>
    <w:p w:rsidR="000D6D38" w:rsidRPr="000D6D38" w:rsidRDefault="000D6D38" w:rsidP="000D6D38">
      <w:pPr>
        <w:tabs>
          <w:tab w:val="num" w:pos="720"/>
        </w:tabs>
        <w:spacing w:after="360"/>
        <w:rPr>
          <w:sz w:val="24"/>
          <w:szCs w:val="24"/>
          <w:lang w:val="en"/>
        </w:rPr>
      </w:pPr>
      <w:r w:rsidRPr="000D6D38">
        <w:rPr>
          <w:sz w:val="24"/>
          <w:szCs w:val="24"/>
          <w:lang w:val="en"/>
        </w:rPr>
        <w:t>Registration via the NCP website will open shortly.</w:t>
      </w:r>
      <w:r>
        <w:rPr>
          <w:sz w:val="24"/>
          <w:szCs w:val="24"/>
          <w:lang w:val="en"/>
        </w:rPr>
        <w:t xml:space="preserve"> </w:t>
      </w:r>
      <w:hyperlink r:id="rId41" w:tgtFrame="_blank" w:history="1">
        <w:r w:rsidRPr="000D6D38">
          <w:rPr>
            <w:rStyle w:val="Hyperlink"/>
            <w:sz w:val="24"/>
            <w:szCs w:val="24"/>
            <w:lang w:val="en"/>
          </w:rPr>
          <w:t>Health-NCP-Net 2.0</w:t>
        </w:r>
      </w:hyperlink>
      <w:r w:rsidRPr="000D6D38">
        <w:rPr>
          <w:sz w:val="24"/>
          <w:szCs w:val="24"/>
          <w:lang w:val="en"/>
        </w:rPr>
        <w:t xml:space="preserve"> </w:t>
      </w:r>
    </w:p>
    <w:p w:rsidR="00591B2B" w:rsidRPr="00200390" w:rsidRDefault="00591B2B" w:rsidP="00591B2B">
      <w:pPr>
        <w:tabs>
          <w:tab w:val="num" w:pos="720"/>
        </w:tabs>
        <w:spacing w:after="360"/>
        <w:rPr>
          <w:b/>
          <w:bCs/>
          <w:color w:val="E36C0A" w:themeColor="accent6" w:themeShade="BF"/>
          <w:sz w:val="24"/>
          <w:szCs w:val="24"/>
          <w:u w:val="single"/>
          <w:lang w:val="en"/>
        </w:rPr>
      </w:pPr>
      <w:r w:rsidRPr="00200390">
        <w:rPr>
          <w:b/>
          <w:bCs/>
          <w:color w:val="E36C0A" w:themeColor="accent6" w:themeShade="BF"/>
          <w:sz w:val="24"/>
          <w:szCs w:val="24"/>
          <w:u w:val="single"/>
          <w:lang w:val="en"/>
        </w:rPr>
        <w:t>3rd HBP Curriculum Workshop Series – New Horizons in Brain Medicine: From Research to Clinics, 3-5 July 2019, Innsbruck, Austria</w:t>
      </w:r>
    </w:p>
    <w:p w:rsidR="00591B2B" w:rsidRPr="00591B2B" w:rsidRDefault="00591B2B" w:rsidP="00200390">
      <w:pPr>
        <w:tabs>
          <w:tab w:val="num" w:pos="720"/>
        </w:tabs>
        <w:spacing w:after="120"/>
        <w:rPr>
          <w:sz w:val="24"/>
          <w:szCs w:val="24"/>
          <w:lang w:val="en"/>
        </w:rPr>
      </w:pPr>
      <w:r w:rsidRPr="00591B2B">
        <w:rPr>
          <w:sz w:val="24"/>
          <w:szCs w:val="24"/>
          <w:lang w:val="en"/>
        </w:rPr>
        <w:t xml:space="preserve">The aim of this interactive workshop is to introduce and deepen the understanding of brain medicine for non-specialists with the most recent advances in research of neurodevelopmental, neurodegenerative and neuropsychiatric disorders. </w:t>
      </w:r>
    </w:p>
    <w:p w:rsidR="00591B2B" w:rsidRPr="00591B2B" w:rsidRDefault="00591B2B" w:rsidP="00200390">
      <w:pPr>
        <w:tabs>
          <w:tab w:val="num" w:pos="720"/>
        </w:tabs>
        <w:spacing w:before="120" w:after="120"/>
        <w:rPr>
          <w:sz w:val="24"/>
          <w:szCs w:val="24"/>
          <w:lang w:val="en"/>
        </w:rPr>
      </w:pPr>
      <w:r w:rsidRPr="00591B2B">
        <w:rPr>
          <w:sz w:val="24"/>
          <w:szCs w:val="24"/>
          <w:lang w:val="en"/>
        </w:rPr>
        <w:t xml:space="preserve">Lectures and tutorials by international experts will report the state of the art of research and treatment of brain diseases. </w:t>
      </w:r>
    </w:p>
    <w:p w:rsidR="00591B2B" w:rsidRPr="00591B2B" w:rsidRDefault="00591B2B" w:rsidP="00200390">
      <w:pPr>
        <w:tabs>
          <w:tab w:val="num" w:pos="720"/>
        </w:tabs>
        <w:spacing w:before="120" w:after="120"/>
        <w:rPr>
          <w:sz w:val="24"/>
          <w:szCs w:val="24"/>
          <w:lang w:val="en"/>
        </w:rPr>
      </w:pPr>
      <w:r w:rsidRPr="00591B2B">
        <w:rPr>
          <w:sz w:val="24"/>
          <w:szCs w:val="24"/>
          <w:lang w:val="en"/>
        </w:rPr>
        <w:t xml:space="preserve">Hands-on examples and practical tools and methodologies will be presented during a visit to lead laboratories at Medical University Innsbruck. </w:t>
      </w:r>
    </w:p>
    <w:p w:rsidR="00591B2B" w:rsidRPr="00591B2B" w:rsidRDefault="00591B2B" w:rsidP="00200390">
      <w:pPr>
        <w:tabs>
          <w:tab w:val="num" w:pos="720"/>
        </w:tabs>
        <w:spacing w:before="120" w:after="120"/>
        <w:rPr>
          <w:sz w:val="24"/>
          <w:szCs w:val="24"/>
          <w:lang w:val="en"/>
        </w:rPr>
      </w:pPr>
      <w:r w:rsidRPr="00591B2B">
        <w:rPr>
          <w:sz w:val="24"/>
          <w:szCs w:val="24"/>
          <w:lang w:val="en"/>
        </w:rPr>
        <w:t xml:space="preserve">A student brainstorming session will be </w:t>
      </w:r>
      <w:proofErr w:type="spellStart"/>
      <w:r w:rsidRPr="00591B2B">
        <w:rPr>
          <w:sz w:val="24"/>
          <w:szCs w:val="24"/>
          <w:lang w:val="en"/>
        </w:rPr>
        <w:t>organised</w:t>
      </w:r>
      <w:proofErr w:type="spellEnd"/>
      <w:r w:rsidRPr="00591B2B">
        <w:rPr>
          <w:sz w:val="24"/>
          <w:szCs w:val="24"/>
          <w:lang w:val="en"/>
        </w:rPr>
        <w:t xml:space="preserve"> to allow exchange about concepts and methods. Application is open to the entire student community and early career researchers, regardless of whether they are affiliated with the Human Brain Project or not. </w:t>
      </w:r>
    </w:p>
    <w:p w:rsidR="00591B2B" w:rsidRPr="00591B2B" w:rsidRDefault="00591B2B" w:rsidP="00200390">
      <w:pPr>
        <w:tabs>
          <w:tab w:val="num" w:pos="720"/>
        </w:tabs>
        <w:spacing w:before="120" w:after="120"/>
        <w:rPr>
          <w:sz w:val="24"/>
          <w:szCs w:val="24"/>
          <w:lang w:val="en"/>
        </w:rPr>
      </w:pPr>
      <w:r w:rsidRPr="00591B2B">
        <w:rPr>
          <w:sz w:val="24"/>
          <w:szCs w:val="24"/>
          <w:lang w:val="en"/>
        </w:rPr>
        <w:t>All early-career scientists are encouraged to participate and it is aimed to achieve equal representation of all sexes.</w:t>
      </w:r>
    </w:p>
    <w:p w:rsidR="00591B2B" w:rsidRPr="00591B2B" w:rsidRDefault="00591B2B" w:rsidP="00591B2B">
      <w:pPr>
        <w:tabs>
          <w:tab w:val="num" w:pos="720"/>
        </w:tabs>
        <w:spacing w:after="360"/>
        <w:rPr>
          <w:sz w:val="24"/>
          <w:szCs w:val="24"/>
          <w:lang w:val="en"/>
        </w:rPr>
      </w:pPr>
      <w:r w:rsidRPr="00E111ED">
        <w:rPr>
          <w:bCs/>
          <w:sz w:val="24"/>
          <w:szCs w:val="24"/>
          <w:lang w:val="en"/>
        </w:rPr>
        <w:t>More  information</w:t>
      </w:r>
      <w:r>
        <w:rPr>
          <w:b/>
          <w:bCs/>
          <w:sz w:val="24"/>
          <w:szCs w:val="24"/>
          <w:lang w:val="en"/>
        </w:rPr>
        <w:t xml:space="preserve"> </w:t>
      </w:r>
      <w:hyperlink r:id="rId42" w:tgtFrame="_blank" w:history="1">
        <w:r w:rsidRPr="00591B2B">
          <w:rPr>
            <w:rStyle w:val="Hyperlink"/>
            <w:sz w:val="24"/>
            <w:szCs w:val="24"/>
            <w:lang w:val="en"/>
          </w:rPr>
          <w:t>Website</w:t>
        </w:r>
      </w:hyperlink>
      <w:r w:rsidRPr="00591B2B">
        <w:rPr>
          <w:sz w:val="24"/>
          <w:szCs w:val="24"/>
          <w:lang w:val="en"/>
        </w:rPr>
        <w:t xml:space="preserve"> </w:t>
      </w:r>
      <w:r>
        <w:rPr>
          <w:sz w:val="24"/>
          <w:szCs w:val="24"/>
          <w:lang w:val="en"/>
        </w:rPr>
        <w:t xml:space="preserve">&amp; </w:t>
      </w:r>
      <w:hyperlink r:id="rId43" w:tgtFrame="_blank" w:history="1">
        <w:r w:rsidRPr="00591B2B">
          <w:rPr>
            <w:rStyle w:val="Hyperlink"/>
            <w:sz w:val="24"/>
            <w:szCs w:val="24"/>
            <w:lang w:val="en"/>
          </w:rPr>
          <w:t>Regist</w:t>
        </w:r>
        <w:r w:rsidR="00200390">
          <w:rPr>
            <w:rStyle w:val="Hyperlink"/>
            <w:sz w:val="24"/>
            <w:szCs w:val="24"/>
            <w:lang w:val="en"/>
          </w:rPr>
          <w:t>ration</w:t>
        </w:r>
      </w:hyperlink>
      <w:r w:rsidRPr="00591B2B">
        <w:rPr>
          <w:sz w:val="24"/>
          <w:szCs w:val="24"/>
          <w:lang w:val="en"/>
        </w:rPr>
        <w:t xml:space="preserve"> </w:t>
      </w:r>
    </w:p>
    <w:p w:rsidR="009E3FEA" w:rsidRPr="00FB3BF3" w:rsidRDefault="009E3FEA" w:rsidP="009E3FEA">
      <w:pPr>
        <w:tabs>
          <w:tab w:val="num" w:pos="720"/>
        </w:tabs>
        <w:spacing w:after="360"/>
        <w:rPr>
          <w:b/>
          <w:bCs/>
          <w:color w:val="E36C0A" w:themeColor="accent6" w:themeShade="BF"/>
          <w:sz w:val="24"/>
          <w:szCs w:val="24"/>
          <w:u w:val="single"/>
          <w:lang w:val="en"/>
        </w:rPr>
      </w:pPr>
      <w:r w:rsidRPr="00FB3BF3">
        <w:rPr>
          <w:b/>
          <w:bCs/>
          <w:color w:val="E36C0A" w:themeColor="accent6" w:themeShade="BF"/>
          <w:sz w:val="24"/>
          <w:szCs w:val="24"/>
          <w:u w:val="single"/>
          <w:lang w:val="en"/>
        </w:rPr>
        <w:t>The role of communication and education to increase the acceptance of bio-based products, 8 July 2019, Helsinki, Finland</w:t>
      </w:r>
    </w:p>
    <w:p w:rsidR="00FB3BF3" w:rsidRDefault="009E3FEA" w:rsidP="00FB3BF3">
      <w:pPr>
        <w:tabs>
          <w:tab w:val="num" w:pos="720"/>
        </w:tabs>
        <w:spacing w:after="120"/>
        <w:rPr>
          <w:sz w:val="24"/>
          <w:szCs w:val="24"/>
          <w:lang w:val="en"/>
        </w:rPr>
      </w:pPr>
      <w:r w:rsidRPr="009E3FEA">
        <w:rPr>
          <w:sz w:val="24"/>
          <w:szCs w:val="24"/>
          <w:lang w:val="en"/>
        </w:rPr>
        <w:t xml:space="preserve">The workshop is </w:t>
      </w:r>
      <w:proofErr w:type="spellStart"/>
      <w:r w:rsidRPr="009E3FEA">
        <w:rPr>
          <w:sz w:val="24"/>
          <w:szCs w:val="24"/>
          <w:lang w:val="en"/>
        </w:rPr>
        <w:t>organised</w:t>
      </w:r>
      <w:proofErr w:type="spellEnd"/>
      <w:r w:rsidRPr="009E3FEA">
        <w:rPr>
          <w:sz w:val="24"/>
          <w:szCs w:val="24"/>
          <w:lang w:val="en"/>
        </w:rPr>
        <w:t xml:space="preserve"> in the context of the conference European </w:t>
      </w:r>
      <w:proofErr w:type="spellStart"/>
      <w:r w:rsidRPr="009E3FEA">
        <w:rPr>
          <w:sz w:val="24"/>
          <w:szCs w:val="24"/>
          <w:lang w:val="en"/>
        </w:rPr>
        <w:t>Bioeconomy</w:t>
      </w:r>
      <w:proofErr w:type="spellEnd"/>
      <w:r w:rsidRPr="009E3FEA">
        <w:rPr>
          <w:sz w:val="24"/>
          <w:szCs w:val="24"/>
          <w:lang w:val="en"/>
        </w:rPr>
        <w:t xml:space="preserve"> Scene 2019, and will focus on the experiences and challenges of: </w:t>
      </w:r>
    </w:p>
    <w:p w:rsidR="00FB3BF3" w:rsidRDefault="009E3FEA" w:rsidP="00134437">
      <w:pPr>
        <w:tabs>
          <w:tab w:val="num" w:pos="720"/>
        </w:tabs>
        <w:spacing w:after="120"/>
        <w:rPr>
          <w:sz w:val="24"/>
          <w:szCs w:val="24"/>
          <w:lang w:val="en"/>
        </w:rPr>
      </w:pPr>
      <w:r w:rsidRPr="009E3FEA">
        <w:rPr>
          <w:sz w:val="24"/>
          <w:szCs w:val="24"/>
          <w:lang w:val="en"/>
        </w:rPr>
        <w:t xml:space="preserve">• awareness raising and communication on the circular </w:t>
      </w:r>
      <w:proofErr w:type="spellStart"/>
      <w:r w:rsidRPr="009E3FEA">
        <w:rPr>
          <w:sz w:val="24"/>
          <w:szCs w:val="24"/>
          <w:lang w:val="en"/>
        </w:rPr>
        <w:t>bioeconomy</w:t>
      </w:r>
      <w:proofErr w:type="spellEnd"/>
      <w:r w:rsidRPr="009E3FEA">
        <w:rPr>
          <w:sz w:val="24"/>
          <w:szCs w:val="24"/>
          <w:lang w:val="en"/>
        </w:rPr>
        <w:t>, and</w:t>
      </w:r>
    </w:p>
    <w:p w:rsidR="00FB3BF3" w:rsidRDefault="009E3FEA" w:rsidP="00FB3BF3">
      <w:pPr>
        <w:tabs>
          <w:tab w:val="num" w:pos="720"/>
        </w:tabs>
        <w:spacing w:after="120"/>
        <w:rPr>
          <w:sz w:val="24"/>
          <w:szCs w:val="24"/>
          <w:lang w:val="en"/>
        </w:rPr>
      </w:pPr>
      <w:r w:rsidRPr="009E3FEA">
        <w:rPr>
          <w:sz w:val="24"/>
          <w:szCs w:val="24"/>
          <w:lang w:val="en"/>
        </w:rPr>
        <w:t xml:space="preserve">• increasing the acceptance of bio-based products. </w:t>
      </w:r>
    </w:p>
    <w:p w:rsidR="00FB3BF3" w:rsidRDefault="009E3FEA" w:rsidP="00FB3BF3">
      <w:pPr>
        <w:tabs>
          <w:tab w:val="num" w:pos="720"/>
        </w:tabs>
        <w:spacing w:after="120"/>
        <w:rPr>
          <w:sz w:val="24"/>
          <w:szCs w:val="24"/>
          <w:lang w:val="en"/>
        </w:rPr>
      </w:pPr>
      <w:r w:rsidRPr="009E3FEA">
        <w:rPr>
          <w:sz w:val="24"/>
          <w:szCs w:val="24"/>
          <w:lang w:val="en"/>
        </w:rPr>
        <w:t xml:space="preserve">It will promote the discussion and sharing of best practices and lessons learned through the </w:t>
      </w:r>
      <w:proofErr w:type="spellStart"/>
      <w:r w:rsidRPr="009E3FEA">
        <w:rPr>
          <w:sz w:val="24"/>
          <w:szCs w:val="24"/>
          <w:lang w:val="en"/>
        </w:rPr>
        <w:t>bioeconomy</w:t>
      </w:r>
      <w:proofErr w:type="spellEnd"/>
      <w:r w:rsidRPr="009E3FEA">
        <w:rPr>
          <w:sz w:val="24"/>
          <w:szCs w:val="24"/>
          <w:lang w:val="en"/>
        </w:rPr>
        <w:t xml:space="preserve"> communication activities, and address questions like: communication formats and channels; multipliers to be involved; messages and arguments to be used (in terms of style, scope, terminology); etc. It will include an operative session that will focus on supporting the updated European </w:t>
      </w:r>
      <w:proofErr w:type="spellStart"/>
      <w:r w:rsidRPr="009E3FEA">
        <w:rPr>
          <w:sz w:val="24"/>
          <w:szCs w:val="24"/>
          <w:lang w:val="en"/>
        </w:rPr>
        <w:t>Bioeconomy</w:t>
      </w:r>
      <w:proofErr w:type="spellEnd"/>
      <w:r w:rsidRPr="009E3FEA">
        <w:rPr>
          <w:sz w:val="24"/>
          <w:szCs w:val="24"/>
          <w:lang w:val="en"/>
        </w:rPr>
        <w:t xml:space="preserve"> Strategy through communication activities: action plan, synergies and recommendations to </w:t>
      </w:r>
      <w:proofErr w:type="spellStart"/>
      <w:r w:rsidRPr="009E3FEA">
        <w:rPr>
          <w:sz w:val="24"/>
          <w:szCs w:val="24"/>
          <w:lang w:val="en"/>
        </w:rPr>
        <w:t>maximise</w:t>
      </w:r>
      <w:proofErr w:type="spellEnd"/>
      <w:r w:rsidRPr="009E3FEA">
        <w:rPr>
          <w:sz w:val="24"/>
          <w:szCs w:val="24"/>
          <w:lang w:val="en"/>
        </w:rPr>
        <w:t xml:space="preserve"> the opportunities and impact of </w:t>
      </w:r>
      <w:proofErr w:type="spellStart"/>
      <w:r w:rsidRPr="009E3FEA">
        <w:rPr>
          <w:sz w:val="24"/>
          <w:szCs w:val="24"/>
          <w:lang w:val="en"/>
        </w:rPr>
        <w:t>bioeconomy</w:t>
      </w:r>
      <w:proofErr w:type="spellEnd"/>
      <w:r w:rsidRPr="009E3FEA">
        <w:rPr>
          <w:sz w:val="24"/>
          <w:szCs w:val="24"/>
          <w:lang w:val="en"/>
        </w:rPr>
        <w:t xml:space="preserve"> communication at national and European Level. </w:t>
      </w:r>
    </w:p>
    <w:p w:rsidR="009E3FEA" w:rsidRPr="009E3FEA" w:rsidRDefault="009E3FEA" w:rsidP="00134437">
      <w:pPr>
        <w:tabs>
          <w:tab w:val="num" w:pos="720"/>
        </w:tabs>
        <w:spacing w:after="120"/>
        <w:rPr>
          <w:sz w:val="24"/>
          <w:szCs w:val="24"/>
          <w:lang w:val="en"/>
        </w:rPr>
      </w:pPr>
      <w:r w:rsidRPr="009E3FEA">
        <w:rPr>
          <w:sz w:val="24"/>
          <w:szCs w:val="24"/>
          <w:lang w:val="en"/>
        </w:rPr>
        <w:t>The workshop will be jointly organized by four HORIZON 2020 projects: BIOVOICES (</w:t>
      </w:r>
      <w:hyperlink r:id="rId44" w:history="1">
        <w:r w:rsidRPr="009E3FEA">
          <w:rPr>
            <w:rStyle w:val="Hyperlink"/>
            <w:sz w:val="24"/>
            <w:szCs w:val="24"/>
            <w:lang w:val="en"/>
          </w:rPr>
          <w:t>www.biovoices-platform.eu</w:t>
        </w:r>
      </w:hyperlink>
      <w:r w:rsidRPr="009E3FEA">
        <w:rPr>
          <w:sz w:val="24"/>
          <w:szCs w:val="24"/>
          <w:lang w:val="en"/>
        </w:rPr>
        <w:t xml:space="preserve">), </w:t>
      </w:r>
      <w:proofErr w:type="spellStart"/>
      <w:r w:rsidRPr="009E3FEA">
        <w:rPr>
          <w:sz w:val="24"/>
          <w:szCs w:val="24"/>
          <w:lang w:val="en"/>
        </w:rPr>
        <w:t>BioCannDo</w:t>
      </w:r>
      <w:proofErr w:type="spellEnd"/>
      <w:r w:rsidRPr="009E3FEA">
        <w:rPr>
          <w:sz w:val="24"/>
          <w:szCs w:val="24"/>
          <w:lang w:val="en"/>
        </w:rPr>
        <w:t xml:space="preserve"> (</w:t>
      </w:r>
      <w:hyperlink r:id="rId45" w:history="1">
        <w:r w:rsidRPr="009E3FEA">
          <w:rPr>
            <w:rStyle w:val="Hyperlink"/>
            <w:sz w:val="24"/>
            <w:szCs w:val="24"/>
            <w:lang w:val="en"/>
          </w:rPr>
          <w:t>www.allthings.bio</w:t>
        </w:r>
      </w:hyperlink>
      <w:r w:rsidRPr="009E3FEA">
        <w:rPr>
          <w:sz w:val="24"/>
          <w:szCs w:val="24"/>
          <w:lang w:val="en"/>
        </w:rPr>
        <w:t xml:space="preserve">), </w:t>
      </w:r>
      <w:proofErr w:type="spellStart"/>
      <w:r w:rsidRPr="009E3FEA">
        <w:rPr>
          <w:sz w:val="24"/>
          <w:szCs w:val="24"/>
          <w:lang w:val="en"/>
        </w:rPr>
        <w:t>Biobridges</w:t>
      </w:r>
      <w:proofErr w:type="spellEnd"/>
      <w:r w:rsidRPr="009E3FEA">
        <w:rPr>
          <w:sz w:val="24"/>
          <w:szCs w:val="24"/>
          <w:lang w:val="en"/>
        </w:rPr>
        <w:t xml:space="preserve"> (</w:t>
      </w:r>
      <w:hyperlink r:id="rId46" w:history="1">
        <w:r w:rsidRPr="009E3FEA">
          <w:rPr>
            <w:rStyle w:val="Hyperlink"/>
            <w:sz w:val="24"/>
            <w:szCs w:val="24"/>
            <w:lang w:val="en"/>
          </w:rPr>
          <w:t>www.biobridges-project.eu</w:t>
        </w:r>
      </w:hyperlink>
      <w:r w:rsidRPr="009E3FEA">
        <w:rPr>
          <w:sz w:val="24"/>
          <w:szCs w:val="24"/>
          <w:lang w:val="en"/>
        </w:rPr>
        <w:t>) and LIFT (</w:t>
      </w:r>
      <w:hyperlink r:id="rId47" w:history="1">
        <w:r w:rsidRPr="009E3FEA">
          <w:rPr>
            <w:rStyle w:val="Hyperlink"/>
            <w:sz w:val="24"/>
            <w:szCs w:val="24"/>
            <w:lang w:val="en"/>
          </w:rPr>
          <w:t>www.lift-bbi.eu</w:t>
        </w:r>
      </w:hyperlink>
      <w:r w:rsidRPr="009E3FEA">
        <w:rPr>
          <w:sz w:val="24"/>
          <w:szCs w:val="24"/>
          <w:lang w:val="en"/>
        </w:rPr>
        <w:t xml:space="preserve">), all members of the European </w:t>
      </w:r>
      <w:proofErr w:type="spellStart"/>
      <w:r w:rsidRPr="009E3FEA">
        <w:rPr>
          <w:sz w:val="24"/>
          <w:szCs w:val="24"/>
          <w:lang w:val="en"/>
        </w:rPr>
        <w:t>Bioeconomy</w:t>
      </w:r>
      <w:proofErr w:type="spellEnd"/>
      <w:r w:rsidRPr="009E3FEA">
        <w:rPr>
          <w:sz w:val="24"/>
          <w:szCs w:val="24"/>
          <w:lang w:val="en"/>
        </w:rPr>
        <w:t xml:space="preserve"> Network (</w:t>
      </w:r>
      <w:hyperlink r:id="rId48" w:history="1">
        <w:r w:rsidRPr="009E3FEA">
          <w:rPr>
            <w:rStyle w:val="Hyperlink"/>
            <w:sz w:val="24"/>
            <w:szCs w:val="24"/>
            <w:lang w:val="en"/>
          </w:rPr>
          <w:t>www.eubionet.eu</w:t>
        </w:r>
      </w:hyperlink>
      <w:r w:rsidRPr="009E3FEA">
        <w:rPr>
          <w:sz w:val="24"/>
          <w:szCs w:val="24"/>
          <w:lang w:val="en"/>
        </w:rPr>
        <w:t xml:space="preserve">) </w:t>
      </w:r>
    </w:p>
    <w:p w:rsidR="009E3FEA" w:rsidRPr="009E3FEA" w:rsidRDefault="009E3FEA" w:rsidP="009E3FEA">
      <w:pPr>
        <w:tabs>
          <w:tab w:val="num" w:pos="720"/>
        </w:tabs>
        <w:spacing w:after="360"/>
        <w:rPr>
          <w:sz w:val="24"/>
          <w:szCs w:val="24"/>
          <w:lang w:val="en"/>
        </w:rPr>
      </w:pPr>
      <w:r w:rsidRPr="00E111ED">
        <w:rPr>
          <w:bCs/>
          <w:sz w:val="24"/>
          <w:szCs w:val="24"/>
          <w:lang w:val="en"/>
        </w:rPr>
        <w:t>More information</w:t>
      </w:r>
      <w:r>
        <w:rPr>
          <w:b/>
          <w:bCs/>
          <w:sz w:val="24"/>
          <w:szCs w:val="24"/>
          <w:lang w:val="en"/>
        </w:rPr>
        <w:t xml:space="preserve"> </w:t>
      </w:r>
      <w:hyperlink r:id="rId49" w:tgtFrame="_blank" w:history="1">
        <w:r w:rsidRPr="009E3FEA">
          <w:rPr>
            <w:rStyle w:val="Hyperlink"/>
            <w:sz w:val="24"/>
            <w:szCs w:val="24"/>
            <w:lang w:val="en"/>
          </w:rPr>
          <w:t>Website</w:t>
        </w:r>
      </w:hyperlink>
      <w:r w:rsidRPr="009E3FEA">
        <w:rPr>
          <w:sz w:val="24"/>
          <w:szCs w:val="24"/>
          <w:lang w:val="en"/>
        </w:rPr>
        <w:t xml:space="preserve"> </w:t>
      </w:r>
    </w:p>
    <w:p w:rsidR="00D93728" w:rsidRPr="00D93728" w:rsidRDefault="00D93728" w:rsidP="00D93728">
      <w:pPr>
        <w:spacing w:after="360"/>
        <w:rPr>
          <w:b/>
          <w:bCs/>
          <w:color w:val="E36C0A" w:themeColor="accent6" w:themeShade="BF"/>
          <w:sz w:val="24"/>
          <w:szCs w:val="24"/>
          <w:u w:val="single"/>
          <w:lang w:val="en"/>
        </w:rPr>
      </w:pPr>
      <w:r w:rsidRPr="00D93728">
        <w:rPr>
          <w:b/>
          <w:bCs/>
          <w:color w:val="E36C0A" w:themeColor="accent6" w:themeShade="BF"/>
          <w:sz w:val="24"/>
          <w:szCs w:val="24"/>
          <w:u w:val="single"/>
          <w:lang w:val="en"/>
        </w:rPr>
        <w:t xml:space="preserve">European </w:t>
      </w:r>
      <w:proofErr w:type="spellStart"/>
      <w:r w:rsidRPr="00D93728">
        <w:rPr>
          <w:b/>
          <w:bCs/>
          <w:color w:val="E36C0A" w:themeColor="accent6" w:themeShade="BF"/>
          <w:sz w:val="24"/>
          <w:szCs w:val="24"/>
          <w:u w:val="single"/>
          <w:lang w:val="en"/>
        </w:rPr>
        <w:t>Bioeconomy</w:t>
      </w:r>
      <w:proofErr w:type="spellEnd"/>
      <w:r w:rsidRPr="00D93728">
        <w:rPr>
          <w:b/>
          <w:bCs/>
          <w:color w:val="E36C0A" w:themeColor="accent6" w:themeShade="BF"/>
          <w:sz w:val="24"/>
          <w:szCs w:val="24"/>
          <w:u w:val="single"/>
          <w:lang w:val="en"/>
        </w:rPr>
        <w:t xml:space="preserve"> Scene 2019, 8-10 July 2019, Helsinki, Finland</w:t>
      </w:r>
    </w:p>
    <w:p w:rsidR="00D93728" w:rsidRPr="00D93728" w:rsidRDefault="00D93728" w:rsidP="00D93728">
      <w:pPr>
        <w:spacing w:after="120"/>
        <w:rPr>
          <w:sz w:val="24"/>
          <w:szCs w:val="24"/>
          <w:lang w:val="en"/>
        </w:rPr>
      </w:pPr>
      <w:r w:rsidRPr="00D93728">
        <w:rPr>
          <w:sz w:val="24"/>
          <w:szCs w:val="24"/>
          <w:lang w:val="en"/>
        </w:rPr>
        <w:t xml:space="preserve">Finland’s Ministry of Agriculture and Forestry and the European Commission are jointly </w:t>
      </w:r>
      <w:proofErr w:type="spellStart"/>
      <w:r w:rsidRPr="00D93728">
        <w:rPr>
          <w:sz w:val="24"/>
          <w:szCs w:val="24"/>
          <w:lang w:val="en"/>
        </w:rPr>
        <w:t>organising</w:t>
      </w:r>
      <w:proofErr w:type="spellEnd"/>
      <w:r w:rsidRPr="00D93728">
        <w:rPr>
          <w:sz w:val="24"/>
          <w:szCs w:val="24"/>
          <w:lang w:val="en"/>
        </w:rPr>
        <w:t xml:space="preserve"> the conference, and it is one of the events to be held in Helsinki under Finland’s Presidency of the Council of the European Union.</w:t>
      </w:r>
    </w:p>
    <w:p w:rsidR="00D93728" w:rsidRPr="00D93728" w:rsidRDefault="00D93728" w:rsidP="00D93728">
      <w:pPr>
        <w:spacing w:before="120" w:after="120"/>
        <w:rPr>
          <w:sz w:val="24"/>
          <w:szCs w:val="24"/>
          <w:lang w:val="en"/>
        </w:rPr>
      </w:pPr>
      <w:r w:rsidRPr="00D93728">
        <w:rPr>
          <w:sz w:val="24"/>
          <w:szCs w:val="24"/>
          <w:lang w:val="en"/>
        </w:rPr>
        <w:t xml:space="preserve">The conference is aimed at raising public awareness and promoting dialogue on the progress towards a </w:t>
      </w:r>
      <w:proofErr w:type="spellStart"/>
      <w:r w:rsidRPr="00D93728">
        <w:rPr>
          <w:sz w:val="24"/>
          <w:szCs w:val="24"/>
          <w:lang w:val="en"/>
        </w:rPr>
        <w:t>bioeconomy</w:t>
      </w:r>
      <w:proofErr w:type="spellEnd"/>
      <w:r w:rsidRPr="00D93728">
        <w:rPr>
          <w:sz w:val="24"/>
          <w:szCs w:val="24"/>
          <w:lang w:val="en"/>
        </w:rPr>
        <w:t>.</w:t>
      </w:r>
    </w:p>
    <w:p w:rsidR="00D93728" w:rsidRPr="00D93728" w:rsidRDefault="00D93728" w:rsidP="00D93728">
      <w:pPr>
        <w:spacing w:before="120" w:after="120"/>
        <w:rPr>
          <w:sz w:val="24"/>
          <w:szCs w:val="24"/>
          <w:lang w:val="en"/>
        </w:rPr>
      </w:pPr>
      <w:r w:rsidRPr="00D93728">
        <w:rPr>
          <w:sz w:val="24"/>
          <w:szCs w:val="24"/>
          <w:lang w:val="en"/>
        </w:rPr>
        <w:t xml:space="preserve">This will be accomplished by bringing together academics, researchers, stakeholders, policymakers, business representatives and the civil society across the </w:t>
      </w:r>
      <w:proofErr w:type="spellStart"/>
      <w:r w:rsidRPr="00D93728">
        <w:rPr>
          <w:sz w:val="24"/>
          <w:szCs w:val="24"/>
          <w:lang w:val="en"/>
        </w:rPr>
        <w:t>bioeconomy</w:t>
      </w:r>
      <w:proofErr w:type="spellEnd"/>
      <w:r w:rsidRPr="00D93728">
        <w:rPr>
          <w:sz w:val="24"/>
          <w:szCs w:val="24"/>
          <w:lang w:val="en"/>
        </w:rPr>
        <w:t xml:space="preserve"> sector to exchange knowledge, coordinate activities and discuss new actions.</w:t>
      </w:r>
    </w:p>
    <w:p w:rsidR="00D93728" w:rsidRPr="00D93728" w:rsidRDefault="00D93728" w:rsidP="00735E13">
      <w:pPr>
        <w:spacing w:before="120" w:after="120"/>
        <w:rPr>
          <w:sz w:val="24"/>
          <w:szCs w:val="24"/>
          <w:lang w:val="en"/>
        </w:rPr>
      </w:pPr>
      <w:r w:rsidRPr="00D93728">
        <w:rPr>
          <w:sz w:val="24"/>
          <w:szCs w:val="24"/>
          <w:lang w:val="en"/>
        </w:rPr>
        <w:t xml:space="preserve">The conference will help to implement important EU policies and initiatives, especially the updated </w:t>
      </w:r>
      <w:proofErr w:type="spellStart"/>
      <w:r w:rsidRPr="00D93728">
        <w:rPr>
          <w:sz w:val="24"/>
          <w:szCs w:val="24"/>
          <w:lang w:val="en"/>
        </w:rPr>
        <w:t>Bioeconomy</w:t>
      </w:r>
      <w:proofErr w:type="spellEnd"/>
      <w:r w:rsidRPr="00D93728">
        <w:rPr>
          <w:sz w:val="24"/>
          <w:szCs w:val="24"/>
          <w:lang w:val="en"/>
        </w:rPr>
        <w:t xml:space="preserve"> Strategy from 2018 “A sustainable </w:t>
      </w:r>
      <w:proofErr w:type="spellStart"/>
      <w:r w:rsidRPr="00D93728">
        <w:rPr>
          <w:sz w:val="24"/>
          <w:szCs w:val="24"/>
          <w:lang w:val="en"/>
        </w:rPr>
        <w:t>Bioeconomy</w:t>
      </w:r>
      <w:proofErr w:type="spellEnd"/>
      <w:r w:rsidRPr="00D93728">
        <w:rPr>
          <w:sz w:val="24"/>
          <w:szCs w:val="24"/>
          <w:lang w:val="en"/>
        </w:rPr>
        <w:t xml:space="preserve"> for Europe: strengthening the connection between economy, society and the environment” and the Circular Economy Package.</w:t>
      </w:r>
    </w:p>
    <w:p w:rsidR="00D93728" w:rsidRPr="00D93728" w:rsidRDefault="00D93728" w:rsidP="00D93728">
      <w:pPr>
        <w:spacing w:before="120" w:after="120"/>
        <w:rPr>
          <w:sz w:val="24"/>
          <w:szCs w:val="24"/>
          <w:lang w:val="en"/>
        </w:rPr>
      </w:pPr>
      <w:r w:rsidRPr="00D93728">
        <w:rPr>
          <w:sz w:val="24"/>
          <w:szCs w:val="24"/>
          <w:lang w:val="en"/>
        </w:rPr>
        <w:t xml:space="preserve">The conference opens on 8 July with a welcoming reception </w:t>
      </w:r>
      <w:proofErr w:type="spellStart"/>
      <w:r w:rsidRPr="00D93728">
        <w:rPr>
          <w:sz w:val="24"/>
          <w:szCs w:val="24"/>
          <w:lang w:val="en"/>
        </w:rPr>
        <w:t>organised</w:t>
      </w:r>
      <w:proofErr w:type="spellEnd"/>
      <w:r w:rsidRPr="00D93728">
        <w:rPr>
          <w:sz w:val="24"/>
          <w:szCs w:val="24"/>
          <w:lang w:val="en"/>
        </w:rPr>
        <w:t xml:space="preserve"> by the City of Helsinki and hosted by Mayor Jan </w:t>
      </w:r>
      <w:proofErr w:type="spellStart"/>
      <w:r w:rsidRPr="00D93728">
        <w:rPr>
          <w:sz w:val="24"/>
          <w:szCs w:val="24"/>
          <w:lang w:val="en"/>
        </w:rPr>
        <w:t>Vapaavuori</w:t>
      </w:r>
      <w:proofErr w:type="spellEnd"/>
      <w:r w:rsidRPr="00D93728">
        <w:rPr>
          <w:sz w:val="24"/>
          <w:szCs w:val="24"/>
          <w:lang w:val="en"/>
        </w:rPr>
        <w:t xml:space="preserve">. The conference itself takes place on 9 July at the hotel </w:t>
      </w:r>
      <w:proofErr w:type="spellStart"/>
      <w:r w:rsidRPr="00D93728">
        <w:rPr>
          <w:sz w:val="24"/>
          <w:szCs w:val="24"/>
          <w:lang w:val="en"/>
        </w:rPr>
        <w:t>Scandic</w:t>
      </w:r>
      <w:proofErr w:type="spellEnd"/>
      <w:r w:rsidRPr="00D93728">
        <w:rPr>
          <w:sz w:val="24"/>
          <w:szCs w:val="24"/>
          <w:lang w:val="en"/>
        </w:rPr>
        <w:t xml:space="preserve"> Park Helsinki, which is located in the city </w:t>
      </w:r>
      <w:proofErr w:type="spellStart"/>
      <w:r w:rsidRPr="00D93728">
        <w:rPr>
          <w:sz w:val="24"/>
          <w:szCs w:val="24"/>
          <w:lang w:val="en"/>
        </w:rPr>
        <w:t>centre</w:t>
      </w:r>
      <w:proofErr w:type="spellEnd"/>
      <w:r w:rsidRPr="00D93728">
        <w:rPr>
          <w:sz w:val="24"/>
          <w:szCs w:val="24"/>
          <w:lang w:val="en"/>
        </w:rPr>
        <w:t xml:space="preserve">. On 10 July, there are excursions to see how the </w:t>
      </w:r>
      <w:proofErr w:type="spellStart"/>
      <w:r w:rsidRPr="00D93728">
        <w:rPr>
          <w:sz w:val="24"/>
          <w:szCs w:val="24"/>
          <w:lang w:val="en"/>
        </w:rPr>
        <w:t>bioeconomy</w:t>
      </w:r>
      <w:proofErr w:type="spellEnd"/>
      <w:r w:rsidRPr="00D93728">
        <w:rPr>
          <w:sz w:val="24"/>
          <w:szCs w:val="24"/>
          <w:lang w:val="en"/>
        </w:rPr>
        <w:t xml:space="preserve"> can work in practice. Excursions will be arranged within the greater Helsinki area, and in central and eastern Finland</w:t>
      </w:r>
    </w:p>
    <w:p w:rsidR="00D93728" w:rsidRDefault="00D93728" w:rsidP="00AD4249">
      <w:pPr>
        <w:tabs>
          <w:tab w:val="num" w:pos="720"/>
        </w:tabs>
        <w:spacing w:after="360"/>
        <w:rPr>
          <w:sz w:val="24"/>
          <w:szCs w:val="24"/>
          <w:lang w:val="en"/>
        </w:rPr>
      </w:pPr>
      <w:r w:rsidRPr="00D93728">
        <w:rPr>
          <w:bCs/>
          <w:sz w:val="24"/>
          <w:szCs w:val="24"/>
          <w:lang w:val="en"/>
        </w:rPr>
        <w:t>More information</w:t>
      </w:r>
      <w:r>
        <w:rPr>
          <w:bCs/>
          <w:sz w:val="24"/>
          <w:szCs w:val="24"/>
          <w:lang w:val="en"/>
        </w:rPr>
        <w:t>:</w:t>
      </w:r>
      <w:r>
        <w:rPr>
          <w:b/>
          <w:bCs/>
          <w:sz w:val="24"/>
          <w:szCs w:val="24"/>
          <w:lang w:val="en"/>
        </w:rPr>
        <w:t xml:space="preserve"> </w:t>
      </w:r>
      <w:hyperlink r:id="rId50" w:tgtFrame="_blank" w:history="1">
        <w:r w:rsidRPr="00D93728">
          <w:rPr>
            <w:rStyle w:val="Hyperlink"/>
            <w:sz w:val="24"/>
            <w:szCs w:val="24"/>
            <w:lang w:val="en"/>
          </w:rPr>
          <w:t>Conference website</w:t>
        </w:r>
      </w:hyperlink>
      <w:r w:rsidRPr="00D93728">
        <w:rPr>
          <w:sz w:val="24"/>
          <w:szCs w:val="24"/>
          <w:lang w:val="en"/>
        </w:rPr>
        <w:t xml:space="preserve"> </w:t>
      </w:r>
    </w:p>
    <w:p w:rsidR="007146AE" w:rsidRPr="00675494" w:rsidRDefault="007146AE" w:rsidP="007146AE">
      <w:pPr>
        <w:tabs>
          <w:tab w:val="num" w:pos="720"/>
        </w:tabs>
        <w:spacing w:after="360"/>
        <w:rPr>
          <w:b/>
          <w:bCs/>
          <w:color w:val="E36C0A" w:themeColor="accent6" w:themeShade="BF"/>
          <w:sz w:val="24"/>
          <w:szCs w:val="24"/>
          <w:u w:val="single"/>
          <w:lang w:val="en"/>
        </w:rPr>
      </w:pPr>
      <w:r w:rsidRPr="00675494">
        <w:rPr>
          <w:b/>
          <w:bCs/>
          <w:color w:val="E36C0A" w:themeColor="accent6" w:themeShade="BF"/>
          <w:sz w:val="24"/>
          <w:szCs w:val="24"/>
          <w:u w:val="single"/>
          <w:lang w:val="en"/>
        </w:rPr>
        <w:t xml:space="preserve">Young Researchers Event: </w:t>
      </w:r>
      <w:proofErr w:type="spellStart"/>
      <w:r w:rsidRPr="00675494">
        <w:rPr>
          <w:b/>
          <w:bCs/>
          <w:color w:val="E36C0A" w:themeColor="accent6" w:themeShade="BF"/>
          <w:sz w:val="24"/>
          <w:szCs w:val="24"/>
          <w:u w:val="single"/>
          <w:lang w:val="en"/>
        </w:rPr>
        <w:t>Ebrains</w:t>
      </w:r>
      <w:proofErr w:type="spellEnd"/>
      <w:r w:rsidRPr="00675494">
        <w:rPr>
          <w:b/>
          <w:bCs/>
          <w:color w:val="E36C0A" w:themeColor="accent6" w:themeShade="BF"/>
          <w:sz w:val="24"/>
          <w:szCs w:val="24"/>
          <w:u w:val="single"/>
          <w:lang w:val="en"/>
        </w:rPr>
        <w:t xml:space="preserve"> - A platform for collaboration in digital neuroscience, 9 July 2019, Belgrade, Serbia</w:t>
      </w:r>
    </w:p>
    <w:p w:rsidR="007146AE" w:rsidRPr="007146AE" w:rsidRDefault="007146AE" w:rsidP="003F6152">
      <w:pPr>
        <w:tabs>
          <w:tab w:val="num" w:pos="720"/>
        </w:tabs>
        <w:spacing w:after="120"/>
        <w:rPr>
          <w:sz w:val="24"/>
          <w:szCs w:val="24"/>
          <w:lang w:val="en"/>
        </w:rPr>
      </w:pPr>
      <w:r w:rsidRPr="007146AE">
        <w:rPr>
          <w:sz w:val="24"/>
          <w:szCs w:val="24"/>
          <w:lang w:val="en"/>
        </w:rPr>
        <w:t>The human brain is a multi-level and highly complex system that produces, processes and transmits informa</w:t>
      </w:r>
      <w:r w:rsidR="003F6152">
        <w:rPr>
          <w:sz w:val="24"/>
          <w:szCs w:val="24"/>
          <w:lang w:val="en"/>
        </w:rPr>
        <w:t>tion in an incomparable manner.</w:t>
      </w:r>
      <w:r w:rsidR="003F6152">
        <w:rPr>
          <w:sz w:val="24"/>
          <w:szCs w:val="24"/>
        </w:rPr>
        <w:t xml:space="preserve"> </w:t>
      </w:r>
      <w:r w:rsidRPr="007146AE">
        <w:rPr>
          <w:sz w:val="24"/>
          <w:szCs w:val="24"/>
          <w:lang w:val="en"/>
        </w:rPr>
        <w:t xml:space="preserve">Researchers and scientists from all over the world strive to decode the mechanisms underlying this unique system. The European Human Brain Project plays a pioneering role in neuroscience research, uniting experts from various fields in the aim to build a collaborative platform for computational neuroscience. </w:t>
      </w:r>
    </w:p>
    <w:p w:rsidR="007146AE" w:rsidRPr="007146AE" w:rsidRDefault="007146AE" w:rsidP="007146AE">
      <w:pPr>
        <w:tabs>
          <w:tab w:val="num" w:pos="720"/>
        </w:tabs>
        <w:spacing w:after="360"/>
        <w:rPr>
          <w:sz w:val="24"/>
          <w:szCs w:val="24"/>
          <w:lang w:val="en"/>
        </w:rPr>
      </w:pPr>
      <w:r w:rsidRPr="007146AE">
        <w:rPr>
          <w:sz w:val="24"/>
          <w:szCs w:val="24"/>
          <w:lang w:val="en"/>
        </w:rPr>
        <w:t xml:space="preserve">This event is open to the entire scientific community but especially targets early-career researchers. </w:t>
      </w:r>
    </w:p>
    <w:p w:rsidR="003F6152" w:rsidRDefault="007146AE" w:rsidP="003F6152">
      <w:pPr>
        <w:tabs>
          <w:tab w:val="num" w:pos="720"/>
        </w:tabs>
        <w:spacing w:after="120"/>
        <w:rPr>
          <w:sz w:val="24"/>
          <w:szCs w:val="24"/>
        </w:rPr>
      </w:pPr>
      <w:r w:rsidRPr="007146AE">
        <w:rPr>
          <w:sz w:val="24"/>
          <w:szCs w:val="24"/>
          <w:lang w:val="en"/>
        </w:rPr>
        <w:t>The programme provides an overview of interdisciplinary efforts towards collaboration for the advance of digital neuroscience and offers ample opportunities for participants to exchange information and knowledge with peers as well as renowned experts.</w:t>
      </w:r>
    </w:p>
    <w:p w:rsidR="007146AE" w:rsidRPr="007146AE" w:rsidRDefault="003F6152" w:rsidP="003F6152">
      <w:pPr>
        <w:tabs>
          <w:tab w:val="num" w:pos="720"/>
        </w:tabs>
        <w:spacing w:after="360"/>
        <w:rPr>
          <w:sz w:val="24"/>
          <w:szCs w:val="24"/>
          <w:lang w:val="en"/>
        </w:rPr>
      </w:pPr>
      <w:r w:rsidRPr="003F6152">
        <w:rPr>
          <w:bCs/>
          <w:sz w:val="24"/>
          <w:szCs w:val="24"/>
          <w:lang w:val="en-US"/>
        </w:rPr>
        <w:t xml:space="preserve">More </w:t>
      </w:r>
      <w:r w:rsidR="007146AE" w:rsidRPr="003F6152">
        <w:rPr>
          <w:bCs/>
          <w:sz w:val="24"/>
          <w:szCs w:val="24"/>
          <w:lang w:val="en"/>
        </w:rPr>
        <w:t>information</w:t>
      </w:r>
      <w:r>
        <w:rPr>
          <w:bCs/>
          <w:sz w:val="24"/>
          <w:szCs w:val="24"/>
          <w:lang w:val="en"/>
        </w:rPr>
        <w:t xml:space="preserve">: </w:t>
      </w:r>
      <w:hyperlink r:id="rId51" w:tgtFrame="_blank" w:history="1">
        <w:r w:rsidR="007146AE" w:rsidRPr="007146AE">
          <w:rPr>
            <w:rStyle w:val="Hyperlink"/>
            <w:sz w:val="24"/>
            <w:szCs w:val="24"/>
            <w:lang w:val="en"/>
          </w:rPr>
          <w:t>Website</w:t>
        </w:r>
      </w:hyperlink>
      <w:r w:rsidR="007146AE" w:rsidRPr="007146AE">
        <w:rPr>
          <w:sz w:val="24"/>
          <w:szCs w:val="24"/>
          <w:lang w:val="en"/>
        </w:rPr>
        <w:t xml:space="preserve"> </w:t>
      </w:r>
      <w:r>
        <w:rPr>
          <w:sz w:val="24"/>
          <w:szCs w:val="24"/>
          <w:lang w:val="en"/>
        </w:rPr>
        <w:t xml:space="preserve">&amp; </w:t>
      </w:r>
      <w:hyperlink r:id="rId52" w:tgtFrame="_blank" w:history="1">
        <w:r w:rsidR="007146AE" w:rsidRPr="007146AE">
          <w:rPr>
            <w:rStyle w:val="Hyperlink"/>
            <w:sz w:val="24"/>
            <w:szCs w:val="24"/>
            <w:lang w:val="en"/>
          </w:rPr>
          <w:t>Registration</w:t>
        </w:r>
      </w:hyperlink>
      <w:r w:rsidR="007146AE" w:rsidRPr="007146AE">
        <w:rPr>
          <w:sz w:val="24"/>
          <w:szCs w:val="24"/>
          <w:lang w:val="en"/>
        </w:rPr>
        <w:t xml:space="preserve"> </w:t>
      </w:r>
    </w:p>
    <w:p w:rsidR="00091FEB" w:rsidRPr="00091FEB" w:rsidRDefault="000D1C77" w:rsidP="00091FEB">
      <w:pPr>
        <w:rPr>
          <w:b/>
          <w:bCs/>
          <w:color w:val="E36C0A" w:themeColor="accent6" w:themeShade="BF"/>
          <w:sz w:val="24"/>
          <w:szCs w:val="24"/>
          <w:u w:val="single"/>
          <w:lang w:val="en"/>
        </w:rPr>
      </w:pPr>
      <w:r>
        <w:rPr>
          <w:b/>
          <w:bCs/>
          <w:color w:val="E36C0A" w:themeColor="accent6" w:themeShade="BF"/>
          <w:sz w:val="24"/>
          <w:szCs w:val="24"/>
          <w:u w:val="single"/>
          <w:lang w:val="en"/>
        </w:rPr>
        <w:t>ICSD 2019</w:t>
      </w:r>
      <w:r w:rsidR="00091FEB" w:rsidRPr="00091FEB">
        <w:rPr>
          <w:b/>
          <w:bCs/>
          <w:color w:val="E36C0A" w:themeColor="accent6" w:themeShade="BF"/>
          <w:sz w:val="24"/>
          <w:szCs w:val="24"/>
          <w:u w:val="single"/>
          <w:lang w:val="en"/>
        </w:rPr>
        <w:t>: 7th International Conference on Sustainable Development, 4-5 September 2019, Rome, Italy</w:t>
      </w:r>
    </w:p>
    <w:p w:rsidR="00091FEB" w:rsidRPr="00091FEB" w:rsidRDefault="00091FEB" w:rsidP="00091FEB">
      <w:pPr>
        <w:rPr>
          <w:sz w:val="24"/>
          <w:szCs w:val="24"/>
          <w:lang w:val="en"/>
        </w:rPr>
      </w:pPr>
      <w:r w:rsidRPr="00091FEB">
        <w:rPr>
          <w:sz w:val="24"/>
          <w:szCs w:val="24"/>
          <w:lang w:val="en"/>
        </w:rPr>
        <w:t>ICSD2019 will be an excellent opportunity to present your projects and discuss the latest results in the field of Sustainability Science. The general aim of the conference is to promote international collaboration in Sustainability Science and related disciplines. The attendance of more than 120 delegates from 50 different countries is expected.</w:t>
      </w:r>
    </w:p>
    <w:p w:rsidR="00091FEB" w:rsidRPr="00091FEB" w:rsidRDefault="00091FEB" w:rsidP="00091FEB">
      <w:pPr>
        <w:rPr>
          <w:sz w:val="24"/>
          <w:szCs w:val="24"/>
          <w:lang w:val="en"/>
        </w:rPr>
      </w:pPr>
      <w:r w:rsidRPr="00091FEB">
        <w:rPr>
          <w:sz w:val="24"/>
          <w:szCs w:val="24"/>
          <w:lang w:val="en"/>
        </w:rPr>
        <w:t>The Conference theme is: “Creating a unified foundation for the Sustainable Development: research, practice and education”. This theme emphasizes the strong foundation that is provided by using research to inform our everyday practices, policies, and research approaches.</w:t>
      </w:r>
    </w:p>
    <w:p w:rsidR="00091FEB" w:rsidRPr="00091FEB" w:rsidRDefault="00091FEB" w:rsidP="00134437">
      <w:pPr>
        <w:spacing w:after="120"/>
        <w:rPr>
          <w:sz w:val="24"/>
          <w:szCs w:val="24"/>
          <w:lang w:val="en"/>
        </w:rPr>
      </w:pPr>
      <w:r w:rsidRPr="00091FEB">
        <w:rPr>
          <w:sz w:val="24"/>
          <w:szCs w:val="24"/>
          <w:lang w:val="en"/>
        </w:rPr>
        <w:t>The 2019 Conference will once again provide a forum for the sharing of ideas, presentation of research findings, and discussion of professional issues relevant to Sustainability Science</w:t>
      </w:r>
      <w:r w:rsidR="00134437">
        <w:rPr>
          <w:sz w:val="24"/>
          <w:szCs w:val="24"/>
          <w:lang w:val="en"/>
        </w:rPr>
        <w:t>.</w:t>
      </w:r>
    </w:p>
    <w:p w:rsidR="00091FEB" w:rsidRDefault="008E0A6B" w:rsidP="00FC0FD6">
      <w:pPr>
        <w:rPr>
          <w:sz w:val="24"/>
          <w:szCs w:val="24"/>
        </w:rPr>
      </w:pPr>
      <w:hyperlink r:id="rId53" w:tgtFrame="_blank" w:history="1">
        <w:r w:rsidR="00091FEB" w:rsidRPr="00091FEB">
          <w:rPr>
            <w:rStyle w:val="Hyperlink"/>
            <w:sz w:val="24"/>
            <w:szCs w:val="24"/>
            <w:lang w:val="en"/>
          </w:rPr>
          <w:t>More information and registration</w:t>
        </w:r>
      </w:hyperlink>
      <w:r w:rsidR="00091FEB" w:rsidRPr="00091FEB">
        <w:rPr>
          <w:sz w:val="24"/>
          <w:szCs w:val="24"/>
          <w:lang w:val="en"/>
        </w:rPr>
        <w:t xml:space="preserve"> </w:t>
      </w:r>
    </w:p>
    <w:p w:rsidR="0025302B" w:rsidRPr="00FC0FD6" w:rsidRDefault="0025302B" w:rsidP="0025302B">
      <w:pPr>
        <w:rPr>
          <w:b/>
          <w:bCs/>
          <w:color w:val="E36C0A" w:themeColor="accent6" w:themeShade="BF"/>
          <w:sz w:val="24"/>
          <w:szCs w:val="24"/>
          <w:u w:val="single"/>
          <w:lang w:val="en"/>
        </w:rPr>
      </w:pPr>
      <w:r w:rsidRPr="00FC0FD6">
        <w:rPr>
          <w:b/>
          <w:bCs/>
          <w:color w:val="E36C0A" w:themeColor="accent6" w:themeShade="BF"/>
          <w:sz w:val="24"/>
          <w:szCs w:val="24"/>
          <w:u w:val="single"/>
          <w:lang w:val="en"/>
        </w:rPr>
        <w:t>New Frontiers in Structure-Based Drug Discovery, 23-25 September 2019, Italy, Florence</w:t>
      </w:r>
    </w:p>
    <w:p w:rsidR="0025302B" w:rsidRPr="0025302B" w:rsidRDefault="0025302B" w:rsidP="00FC0FD6">
      <w:pPr>
        <w:spacing w:after="120"/>
        <w:rPr>
          <w:bCs/>
          <w:sz w:val="24"/>
          <w:szCs w:val="24"/>
          <w:lang w:val="en"/>
        </w:rPr>
      </w:pPr>
      <w:r w:rsidRPr="0025302B">
        <w:rPr>
          <w:bCs/>
          <w:sz w:val="24"/>
          <w:szCs w:val="24"/>
          <w:lang w:val="en"/>
        </w:rPr>
        <w:t xml:space="preserve">The Marie </w:t>
      </w:r>
      <w:proofErr w:type="spellStart"/>
      <w:r w:rsidRPr="0025302B">
        <w:rPr>
          <w:bCs/>
          <w:sz w:val="24"/>
          <w:szCs w:val="24"/>
          <w:lang w:val="en"/>
        </w:rPr>
        <w:t>Skłodowska</w:t>
      </w:r>
      <w:proofErr w:type="spellEnd"/>
      <w:r w:rsidRPr="0025302B">
        <w:rPr>
          <w:bCs/>
          <w:sz w:val="24"/>
          <w:szCs w:val="24"/>
          <w:lang w:val="en"/>
        </w:rPr>
        <w:t xml:space="preserve"> - Curie European Training Networks AEGIS and TASPPI are pleased to announce the common organized international conference New Frontiers in Structure-Based Drug Discovery, Sep 23-25, 2019 at </w:t>
      </w:r>
      <w:proofErr w:type="spellStart"/>
      <w:r w:rsidRPr="0025302B">
        <w:rPr>
          <w:bCs/>
          <w:sz w:val="24"/>
          <w:szCs w:val="24"/>
          <w:lang w:val="en"/>
        </w:rPr>
        <w:t>Convitto</w:t>
      </w:r>
      <w:proofErr w:type="spellEnd"/>
      <w:r w:rsidRPr="0025302B">
        <w:rPr>
          <w:bCs/>
          <w:sz w:val="24"/>
          <w:szCs w:val="24"/>
          <w:lang w:val="en"/>
        </w:rPr>
        <w:t xml:space="preserve"> </w:t>
      </w:r>
      <w:proofErr w:type="spellStart"/>
      <w:r w:rsidRPr="0025302B">
        <w:rPr>
          <w:bCs/>
          <w:sz w:val="24"/>
          <w:szCs w:val="24"/>
          <w:lang w:val="en"/>
        </w:rPr>
        <w:t>della</w:t>
      </w:r>
      <w:proofErr w:type="spellEnd"/>
      <w:r w:rsidRPr="0025302B">
        <w:rPr>
          <w:bCs/>
          <w:sz w:val="24"/>
          <w:szCs w:val="24"/>
          <w:lang w:val="en"/>
        </w:rPr>
        <w:t xml:space="preserve"> </w:t>
      </w:r>
      <w:proofErr w:type="spellStart"/>
      <w:r w:rsidRPr="0025302B">
        <w:rPr>
          <w:bCs/>
          <w:sz w:val="24"/>
          <w:szCs w:val="24"/>
          <w:lang w:val="en"/>
        </w:rPr>
        <w:t>Calza</w:t>
      </w:r>
      <w:proofErr w:type="spellEnd"/>
      <w:r w:rsidRPr="0025302B">
        <w:rPr>
          <w:bCs/>
          <w:sz w:val="24"/>
          <w:szCs w:val="24"/>
          <w:lang w:val="en"/>
        </w:rPr>
        <w:t xml:space="preserve"> in Florence, Italy.</w:t>
      </w:r>
    </w:p>
    <w:p w:rsidR="0025302B" w:rsidRPr="0025302B" w:rsidRDefault="0025302B" w:rsidP="00FC0FD6">
      <w:pPr>
        <w:spacing w:before="120" w:after="120"/>
        <w:rPr>
          <w:bCs/>
          <w:sz w:val="24"/>
          <w:szCs w:val="24"/>
          <w:lang w:val="en"/>
        </w:rPr>
      </w:pPr>
      <w:r w:rsidRPr="0025302B">
        <w:rPr>
          <w:bCs/>
          <w:sz w:val="24"/>
          <w:szCs w:val="24"/>
          <w:lang w:val="en"/>
        </w:rPr>
        <w:t>Attracting a high-level audience of researchers, the conference will provide a stimulating platform to discuss with academic experts and scientists from biotech and pharmaceutical industries.</w:t>
      </w:r>
    </w:p>
    <w:p w:rsidR="0025302B" w:rsidRPr="0025302B" w:rsidRDefault="0025302B" w:rsidP="00FC0FD6">
      <w:pPr>
        <w:spacing w:before="120" w:after="120"/>
        <w:rPr>
          <w:bCs/>
          <w:sz w:val="24"/>
          <w:szCs w:val="24"/>
          <w:lang w:val="en"/>
        </w:rPr>
      </w:pPr>
      <w:r w:rsidRPr="0025302B">
        <w:rPr>
          <w:bCs/>
          <w:sz w:val="24"/>
          <w:szCs w:val="24"/>
          <w:lang w:val="en"/>
        </w:rPr>
        <w:t>Topics include innovative screens on protein-protein interactions, novel targets and target validation, structure-based drug discovery, computational approaches and more.</w:t>
      </w:r>
    </w:p>
    <w:p w:rsidR="0025302B" w:rsidRPr="0025302B" w:rsidRDefault="0025302B" w:rsidP="00FC0FD6">
      <w:pPr>
        <w:spacing w:before="120" w:after="120"/>
        <w:rPr>
          <w:bCs/>
          <w:sz w:val="24"/>
          <w:szCs w:val="24"/>
          <w:lang w:val="en"/>
        </w:rPr>
      </w:pPr>
      <w:r w:rsidRPr="0025302B">
        <w:rPr>
          <w:bCs/>
          <w:sz w:val="24"/>
          <w:szCs w:val="24"/>
          <w:lang w:val="en"/>
        </w:rPr>
        <w:t>The conference will provide a valuable platform to discuss the challenges and opportunities of modern drug discovery in academia and industry. Already since the times of Leonardo da Vinci, Florence provides with his vibrating scientific and cultural environment an excellent framework for the valuable experience of collaboration and scientific exchange reaching out to junior investigators and leading scientists in the field of drug research.</w:t>
      </w:r>
    </w:p>
    <w:p w:rsidR="0025302B" w:rsidRPr="0025302B" w:rsidRDefault="0025302B" w:rsidP="00FC0FD6">
      <w:pPr>
        <w:spacing w:before="120" w:after="120"/>
        <w:rPr>
          <w:bCs/>
          <w:sz w:val="24"/>
          <w:szCs w:val="24"/>
          <w:lang w:val="en"/>
        </w:rPr>
      </w:pPr>
      <w:r w:rsidRPr="0025302B">
        <w:rPr>
          <w:bCs/>
          <w:sz w:val="24"/>
          <w:szCs w:val="24"/>
          <w:lang w:val="en"/>
        </w:rPr>
        <w:t>In order to foster interaction and discussions in the field, we are pleased to host an exceptional group of internationally renowned experts on the topic of drug discovery, who build the framework of the New Frontiers in Structure-based Drug Discovery's scientific program.</w:t>
      </w:r>
    </w:p>
    <w:p w:rsidR="0025302B" w:rsidRPr="0025302B" w:rsidRDefault="0025302B" w:rsidP="00FC0FD6">
      <w:pPr>
        <w:spacing w:before="120" w:after="120"/>
        <w:rPr>
          <w:bCs/>
          <w:sz w:val="24"/>
          <w:szCs w:val="24"/>
          <w:lang w:val="en"/>
        </w:rPr>
      </w:pPr>
      <w:r w:rsidRPr="0025302B">
        <w:rPr>
          <w:bCs/>
          <w:sz w:val="24"/>
          <w:szCs w:val="24"/>
          <w:lang w:val="en"/>
        </w:rPr>
        <w:t>Additional oral presentations will be selected from submitted abstracts at New Frontiers in Structure-Based Drug Discovery. A poster session will provide opportunities for further discussions</w:t>
      </w:r>
      <w:r w:rsidR="00FC0FD6">
        <w:rPr>
          <w:bCs/>
          <w:sz w:val="24"/>
          <w:szCs w:val="24"/>
          <w:lang w:val="en"/>
        </w:rPr>
        <w:t>.</w:t>
      </w:r>
    </w:p>
    <w:p w:rsidR="0025302B" w:rsidRPr="0025302B" w:rsidRDefault="0025302B" w:rsidP="00FC0FD6">
      <w:pPr>
        <w:tabs>
          <w:tab w:val="num" w:pos="720"/>
        </w:tabs>
        <w:rPr>
          <w:b/>
          <w:bCs/>
          <w:sz w:val="24"/>
          <w:szCs w:val="24"/>
          <w:lang w:val="en"/>
        </w:rPr>
      </w:pPr>
      <w:r w:rsidRPr="0025302B">
        <w:rPr>
          <w:bCs/>
          <w:sz w:val="24"/>
          <w:szCs w:val="24"/>
          <w:lang w:val="en"/>
        </w:rPr>
        <w:t xml:space="preserve">More information: </w:t>
      </w:r>
      <w:hyperlink r:id="rId54" w:tgtFrame="_blank" w:history="1">
        <w:r w:rsidRPr="00366CB4">
          <w:rPr>
            <w:rStyle w:val="Hyperlink"/>
            <w:bCs/>
            <w:sz w:val="24"/>
            <w:szCs w:val="24"/>
            <w:lang w:val="en"/>
          </w:rPr>
          <w:t>Website</w:t>
        </w:r>
      </w:hyperlink>
      <w:r w:rsidRPr="00366CB4">
        <w:rPr>
          <w:bCs/>
          <w:sz w:val="24"/>
          <w:szCs w:val="24"/>
          <w:lang w:val="en"/>
        </w:rPr>
        <w:t xml:space="preserve"> </w:t>
      </w:r>
    </w:p>
    <w:p w:rsidR="001819FC" w:rsidRPr="00FC0FD6" w:rsidRDefault="001819FC" w:rsidP="001819FC">
      <w:pPr>
        <w:rPr>
          <w:b/>
          <w:bCs/>
          <w:color w:val="E36C0A" w:themeColor="accent6" w:themeShade="BF"/>
          <w:sz w:val="24"/>
          <w:szCs w:val="24"/>
          <w:u w:val="single"/>
          <w:lang w:val="en"/>
        </w:rPr>
      </w:pPr>
      <w:proofErr w:type="spellStart"/>
      <w:r w:rsidRPr="00FC0FD6">
        <w:rPr>
          <w:b/>
          <w:bCs/>
          <w:color w:val="E36C0A" w:themeColor="accent6" w:themeShade="BF"/>
          <w:sz w:val="24"/>
          <w:szCs w:val="24"/>
          <w:u w:val="single"/>
          <w:lang w:val="en"/>
        </w:rPr>
        <w:t>CompBioMed</w:t>
      </w:r>
      <w:proofErr w:type="spellEnd"/>
      <w:r w:rsidRPr="00FC0FD6">
        <w:rPr>
          <w:b/>
          <w:bCs/>
          <w:color w:val="E36C0A" w:themeColor="accent6" w:themeShade="BF"/>
          <w:sz w:val="24"/>
          <w:szCs w:val="24"/>
          <w:u w:val="single"/>
          <w:lang w:val="en"/>
        </w:rPr>
        <w:t xml:space="preserve"> Conference 2019, 25-27 September 2019, London, UK</w:t>
      </w:r>
    </w:p>
    <w:p w:rsidR="001819FC" w:rsidRPr="001819FC" w:rsidRDefault="001819FC" w:rsidP="001819FC">
      <w:pPr>
        <w:rPr>
          <w:bCs/>
          <w:sz w:val="24"/>
          <w:szCs w:val="24"/>
          <w:lang w:val="en"/>
        </w:rPr>
      </w:pPr>
      <w:r w:rsidRPr="001819FC">
        <w:rPr>
          <w:bCs/>
          <w:sz w:val="24"/>
          <w:szCs w:val="24"/>
          <w:lang w:val="en"/>
        </w:rPr>
        <w:t xml:space="preserve">The conference is </w:t>
      </w:r>
      <w:proofErr w:type="spellStart"/>
      <w:r w:rsidRPr="001819FC">
        <w:rPr>
          <w:bCs/>
          <w:sz w:val="24"/>
          <w:szCs w:val="24"/>
          <w:lang w:val="en"/>
        </w:rPr>
        <w:t>organised</w:t>
      </w:r>
      <w:proofErr w:type="spellEnd"/>
      <w:r w:rsidRPr="001819FC">
        <w:rPr>
          <w:bCs/>
          <w:sz w:val="24"/>
          <w:szCs w:val="24"/>
          <w:lang w:val="en"/>
        </w:rPr>
        <w:t xml:space="preserve"> by the </w:t>
      </w:r>
      <w:hyperlink r:id="rId55" w:history="1">
        <w:r w:rsidRPr="001819FC">
          <w:rPr>
            <w:rStyle w:val="Hyperlink"/>
            <w:bCs/>
            <w:sz w:val="24"/>
            <w:szCs w:val="24"/>
            <w:lang w:val="en"/>
          </w:rPr>
          <w:t>Centre of Excellence in Computational Biomedicine (</w:t>
        </w:r>
        <w:proofErr w:type="spellStart"/>
        <w:r w:rsidRPr="001819FC">
          <w:rPr>
            <w:rStyle w:val="Hyperlink"/>
            <w:bCs/>
            <w:sz w:val="24"/>
            <w:szCs w:val="24"/>
            <w:lang w:val="en"/>
          </w:rPr>
          <w:t>CompBioMed</w:t>
        </w:r>
        <w:proofErr w:type="spellEnd"/>
        <w:r w:rsidRPr="001819FC">
          <w:rPr>
            <w:rStyle w:val="Hyperlink"/>
            <w:bCs/>
            <w:sz w:val="24"/>
            <w:szCs w:val="24"/>
            <w:lang w:val="en"/>
          </w:rPr>
          <w:t>)</w:t>
        </w:r>
      </w:hyperlink>
      <w:r w:rsidRPr="001819FC">
        <w:rPr>
          <w:bCs/>
          <w:sz w:val="24"/>
          <w:szCs w:val="24"/>
          <w:lang w:val="en"/>
        </w:rPr>
        <w:t>, aimed at nurturing and promoting the uptake and exploitation of high performance computing within the biomedical modelling community.</w:t>
      </w:r>
    </w:p>
    <w:p w:rsidR="001819FC" w:rsidRPr="001819FC" w:rsidRDefault="001819FC" w:rsidP="001819FC">
      <w:pPr>
        <w:rPr>
          <w:bCs/>
          <w:sz w:val="24"/>
          <w:szCs w:val="24"/>
          <w:lang w:val="en"/>
        </w:rPr>
      </w:pPr>
      <w:r w:rsidRPr="001819FC">
        <w:rPr>
          <w:bCs/>
          <w:sz w:val="24"/>
          <w:szCs w:val="24"/>
          <w:lang w:val="en"/>
        </w:rPr>
        <w:t>Located at the </w:t>
      </w:r>
      <w:hyperlink r:id="rId56" w:history="1">
        <w:r w:rsidRPr="001819FC">
          <w:rPr>
            <w:rStyle w:val="Hyperlink"/>
            <w:bCs/>
            <w:sz w:val="24"/>
            <w:szCs w:val="24"/>
            <w:lang w:val="en"/>
          </w:rPr>
          <w:t>Institute of Engineering and Technology London: Savoy Place</w:t>
        </w:r>
      </w:hyperlink>
      <w:r w:rsidRPr="001819FC">
        <w:rPr>
          <w:bCs/>
          <w:sz w:val="24"/>
          <w:szCs w:val="24"/>
          <w:lang w:val="en"/>
        </w:rPr>
        <w:t xml:space="preserve">, the </w:t>
      </w:r>
      <w:proofErr w:type="spellStart"/>
      <w:r w:rsidRPr="001819FC">
        <w:rPr>
          <w:bCs/>
          <w:sz w:val="24"/>
          <w:szCs w:val="24"/>
          <w:lang w:val="en"/>
        </w:rPr>
        <w:t>CompBioMed</w:t>
      </w:r>
      <w:proofErr w:type="spellEnd"/>
      <w:r w:rsidRPr="001819FC">
        <w:rPr>
          <w:bCs/>
          <w:sz w:val="24"/>
          <w:szCs w:val="24"/>
          <w:lang w:val="en"/>
        </w:rPr>
        <w:t xml:space="preserve"> Conference 2019 will combine a venue with innovative catering and spectacular views of the River Thames with an exciting programme of relevant symposia and world-renowned </w:t>
      </w:r>
      <w:hyperlink r:id="rId57" w:history="1">
        <w:r w:rsidRPr="001819FC">
          <w:rPr>
            <w:rStyle w:val="Hyperlink"/>
            <w:bCs/>
            <w:sz w:val="24"/>
            <w:szCs w:val="24"/>
            <w:lang w:val="en"/>
          </w:rPr>
          <w:t>plenary</w:t>
        </w:r>
      </w:hyperlink>
      <w:r w:rsidRPr="001819FC">
        <w:rPr>
          <w:bCs/>
          <w:sz w:val="24"/>
          <w:szCs w:val="24"/>
          <w:lang w:val="en"/>
        </w:rPr>
        <w:t> and </w:t>
      </w:r>
      <w:hyperlink r:id="rId58" w:history="1">
        <w:r w:rsidRPr="001819FC">
          <w:rPr>
            <w:rStyle w:val="Hyperlink"/>
            <w:bCs/>
            <w:sz w:val="24"/>
            <w:szCs w:val="24"/>
            <w:lang w:val="en"/>
          </w:rPr>
          <w:t>invited speakers</w:t>
        </w:r>
      </w:hyperlink>
      <w:r w:rsidRPr="001819FC">
        <w:rPr>
          <w:bCs/>
          <w:sz w:val="24"/>
          <w:szCs w:val="24"/>
          <w:lang w:val="en"/>
        </w:rPr>
        <w:t>, proposed and secured by our </w:t>
      </w:r>
      <w:hyperlink r:id="rId59" w:history="1">
        <w:r w:rsidRPr="001819FC">
          <w:rPr>
            <w:rStyle w:val="Hyperlink"/>
            <w:bCs/>
            <w:sz w:val="24"/>
            <w:szCs w:val="24"/>
            <w:lang w:val="en"/>
          </w:rPr>
          <w:t xml:space="preserve">International </w:t>
        </w:r>
        <w:proofErr w:type="spellStart"/>
        <w:r w:rsidRPr="001819FC">
          <w:rPr>
            <w:rStyle w:val="Hyperlink"/>
            <w:bCs/>
            <w:sz w:val="24"/>
            <w:szCs w:val="24"/>
            <w:lang w:val="en"/>
          </w:rPr>
          <w:t>Organising</w:t>
        </w:r>
        <w:proofErr w:type="spellEnd"/>
        <w:r w:rsidRPr="001819FC">
          <w:rPr>
            <w:rStyle w:val="Hyperlink"/>
            <w:bCs/>
            <w:sz w:val="24"/>
            <w:szCs w:val="24"/>
            <w:lang w:val="en"/>
          </w:rPr>
          <w:t xml:space="preserve"> Committee</w:t>
        </w:r>
      </w:hyperlink>
      <w:r w:rsidRPr="001819FC">
        <w:rPr>
          <w:bCs/>
          <w:sz w:val="24"/>
          <w:szCs w:val="24"/>
          <w:lang w:val="en"/>
        </w:rPr>
        <w:t>.</w:t>
      </w:r>
    </w:p>
    <w:p w:rsidR="001819FC" w:rsidRPr="001819FC" w:rsidRDefault="001819FC" w:rsidP="005F6A95">
      <w:pPr>
        <w:tabs>
          <w:tab w:val="num" w:pos="720"/>
        </w:tabs>
        <w:spacing w:after="360"/>
        <w:rPr>
          <w:b/>
          <w:bCs/>
          <w:sz w:val="24"/>
          <w:szCs w:val="24"/>
          <w:lang w:val="en"/>
        </w:rPr>
      </w:pPr>
      <w:r w:rsidRPr="00E111ED">
        <w:rPr>
          <w:bCs/>
          <w:sz w:val="24"/>
          <w:szCs w:val="24"/>
          <w:lang w:val="en"/>
        </w:rPr>
        <w:t>More information:</w:t>
      </w:r>
      <w:r>
        <w:rPr>
          <w:b/>
          <w:bCs/>
          <w:sz w:val="24"/>
          <w:szCs w:val="24"/>
          <w:lang w:val="en"/>
        </w:rPr>
        <w:t xml:space="preserve"> </w:t>
      </w:r>
      <w:hyperlink r:id="rId60" w:tgtFrame="_blank" w:history="1">
        <w:r w:rsidRPr="00366CB4">
          <w:rPr>
            <w:rStyle w:val="Hyperlink"/>
            <w:bCs/>
            <w:sz w:val="24"/>
            <w:szCs w:val="24"/>
            <w:lang w:val="en"/>
          </w:rPr>
          <w:t>Website</w:t>
        </w:r>
      </w:hyperlink>
      <w:r w:rsidRPr="00366CB4">
        <w:rPr>
          <w:bCs/>
          <w:sz w:val="24"/>
          <w:szCs w:val="24"/>
          <w:lang w:val="en"/>
        </w:rPr>
        <w:t xml:space="preserve"> &amp; </w:t>
      </w:r>
      <w:hyperlink r:id="rId61" w:tgtFrame="_blank" w:history="1">
        <w:r w:rsidRPr="00366CB4">
          <w:rPr>
            <w:rStyle w:val="Hyperlink"/>
            <w:bCs/>
            <w:sz w:val="24"/>
            <w:szCs w:val="24"/>
            <w:lang w:val="en"/>
          </w:rPr>
          <w:t>Registration</w:t>
        </w:r>
      </w:hyperlink>
      <w:r w:rsidRPr="001819FC">
        <w:rPr>
          <w:b/>
          <w:bCs/>
          <w:sz w:val="24"/>
          <w:szCs w:val="24"/>
          <w:lang w:val="en"/>
        </w:rPr>
        <w:t xml:space="preserve"> </w:t>
      </w:r>
    </w:p>
    <w:p w:rsidR="002F5CD5" w:rsidRPr="005F6A95" w:rsidRDefault="002F5CD5" w:rsidP="002F5CD5">
      <w:pPr>
        <w:rPr>
          <w:b/>
          <w:bCs/>
          <w:color w:val="E36C0A" w:themeColor="accent6" w:themeShade="BF"/>
          <w:sz w:val="24"/>
          <w:szCs w:val="24"/>
          <w:u w:val="single"/>
          <w:lang w:val="en"/>
        </w:rPr>
      </w:pPr>
      <w:r w:rsidRPr="005F6A95">
        <w:rPr>
          <w:b/>
          <w:bCs/>
          <w:color w:val="E36C0A" w:themeColor="accent6" w:themeShade="BF"/>
          <w:sz w:val="24"/>
          <w:szCs w:val="24"/>
          <w:u w:val="single"/>
          <w:lang w:val="en"/>
        </w:rPr>
        <w:t>Boosting Innovation through standards - Your gateway to the market, 13 November 2019, Brussels, Belgium</w:t>
      </w:r>
    </w:p>
    <w:p w:rsidR="002F5CD5" w:rsidRPr="002F5CD5" w:rsidRDefault="002F5CD5" w:rsidP="00A349F0">
      <w:pPr>
        <w:spacing w:after="120"/>
        <w:rPr>
          <w:bCs/>
          <w:sz w:val="24"/>
          <w:szCs w:val="24"/>
          <w:lang w:val="en"/>
        </w:rPr>
      </w:pPr>
      <w:r w:rsidRPr="002F5CD5">
        <w:rPr>
          <w:bCs/>
          <w:sz w:val="24"/>
          <w:szCs w:val="24"/>
          <w:lang w:val="en"/>
        </w:rPr>
        <w:t xml:space="preserve">A major European Conference: Boosting Innovation Through Standards ('Your Gateway To The Market') as an action of the EC co-funded project BRIDGIT. </w:t>
      </w:r>
    </w:p>
    <w:p w:rsidR="002F5CD5" w:rsidRPr="002F5CD5" w:rsidRDefault="002F5CD5" w:rsidP="00A349F0">
      <w:pPr>
        <w:spacing w:after="120"/>
        <w:rPr>
          <w:bCs/>
          <w:sz w:val="24"/>
          <w:szCs w:val="24"/>
          <w:lang w:val="en"/>
        </w:rPr>
      </w:pPr>
      <w:r w:rsidRPr="002F5CD5">
        <w:rPr>
          <w:bCs/>
          <w:sz w:val="24"/>
          <w:szCs w:val="24"/>
          <w:lang w:val="en"/>
        </w:rPr>
        <w:t xml:space="preserve">This is a high-level 1-day event with the intention to gather 350+ participants, predominantly from the research and innovation community to further strength interfaces and connections between innovators and researchers and the standardization community. </w:t>
      </w:r>
    </w:p>
    <w:p w:rsidR="002F5CD5" w:rsidRPr="002F5CD5" w:rsidRDefault="002F5CD5" w:rsidP="00A349F0">
      <w:pPr>
        <w:spacing w:after="120"/>
        <w:rPr>
          <w:bCs/>
          <w:sz w:val="24"/>
          <w:szCs w:val="24"/>
          <w:lang w:val="en"/>
        </w:rPr>
      </w:pPr>
      <w:r w:rsidRPr="002F5CD5">
        <w:rPr>
          <w:bCs/>
          <w:sz w:val="24"/>
          <w:szCs w:val="24"/>
          <w:lang w:val="en"/>
        </w:rPr>
        <w:t>The overall aim of this engagement is boosting the uptake of innovation and research outcomes by the market, using standardization as enabler.</w:t>
      </w:r>
    </w:p>
    <w:p w:rsidR="005F6A95" w:rsidRDefault="002F5CD5" w:rsidP="00A349F0">
      <w:pPr>
        <w:spacing w:after="120"/>
        <w:rPr>
          <w:bCs/>
          <w:sz w:val="24"/>
          <w:szCs w:val="24"/>
          <w:lang w:val="en"/>
        </w:rPr>
      </w:pPr>
      <w:r w:rsidRPr="002F5CD5">
        <w:rPr>
          <w:bCs/>
          <w:sz w:val="24"/>
          <w:szCs w:val="24"/>
          <w:lang w:val="en"/>
        </w:rPr>
        <w:t xml:space="preserve">Objectives of the event: </w:t>
      </w:r>
    </w:p>
    <w:p w:rsidR="005F6A95" w:rsidRPr="005F6A95" w:rsidRDefault="002F5CD5" w:rsidP="005F6A95">
      <w:pPr>
        <w:pStyle w:val="ListParagraph"/>
        <w:numPr>
          <w:ilvl w:val="0"/>
          <w:numId w:val="35"/>
        </w:numPr>
        <w:rPr>
          <w:bCs/>
          <w:sz w:val="24"/>
          <w:szCs w:val="24"/>
          <w:lang w:val="en"/>
        </w:rPr>
      </w:pPr>
      <w:r w:rsidRPr="005F6A95">
        <w:rPr>
          <w:bCs/>
          <w:sz w:val="24"/>
          <w:szCs w:val="24"/>
          <w:lang w:val="en"/>
        </w:rPr>
        <w:t xml:space="preserve">Connecting with Research and Innovation community, particularly those not involved or familiar with standards  </w:t>
      </w:r>
    </w:p>
    <w:p w:rsidR="005F6A95" w:rsidRPr="005F6A95" w:rsidRDefault="005F6A95" w:rsidP="005F6A95">
      <w:pPr>
        <w:pStyle w:val="ListParagraph"/>
        <w:numPr>
          <w:ilvl w:val="0"/>
          <w:numId w:val="35"/>
        </w:numPr>
        <w:rPr>
          <w:bCs/>
          <w:sz w:val="24"/>
          <w:szCs w:val="24"/>
          <w:lang w:val="en"/>
        </w:rPr>
      </w:pPr>
      <w:r>
        <w:rPr>
          <w:bCs/>
          <w:sz w:val="24"/>
          <w:szCs w:val="24"/>
          <w:lang w:val="en"/>
        </w:rPr>
        <w:t>E</w:t>
      </w:r>
      <w:r w:rsidR="002F5CD5" w:rsidRPr="005F6A95">
        <w:rPr>
          <w:bCs/>
          <w:sz w:val="24"/>
          <w:szCs w:val="24"/>
          <w:lang w:val="en"/>
        </w:rPr>
        <w:t>vangelizing and changing perceptions</w:t>
      </w:r>
    </w:p>
    <w:p w:rsidR="005F6A95" w:rsidRDefault="005F6A95" w:rsidP="005F6A95">
      <w:pPr>
        <w:pStyle w:val="ListParagraph"/>
        <w:numPr>
          <w:ilvl w:val="0"/>
          <w:numId w:val="35"/>
        </w:numPr>
        <w:rPr>
          <w:bCs/>
          <w:sz w:val="24"/>
          <w:szCs w:val="24"/>
          <w:lang w:val="en"/>
        </w:rPr>
      </w:pPr>
      <w:r>
        <w:rPr>
          <w:bCs/>
          <w:sz w:val="24"/>
          <w:szCs w:val="24"/>
          <w:lang w:val="en"/>
        </w:rPr>
        <w:t>C</w:t>
      </w:r>
      <w:r w:rsidR="002F5CD5" w:rsidRPr="005F6A95">
        <w:rPr>
          <w:bCs/>
          <w:sz w:val="24"/>
          <w:szCs w:val="24"/>
          <w:lang w:val="en"/>
        </w:rPr>
        <w:t xml:space="preserve">onfirm the understanding that standards can be used successfully for the dispersal of knowledge, scaling of innovation, etc. </w:t>
      </w:r>
    </w:p>
    <w:p w:rsidR="002F5CD5" w:rsidRPr="005F6A95" w:rsidRDefault="005F6A95" w:rsidP="00A349F0">
      <w:pPr>
        <w:pStyle w:val="ListParagraph"/>
        <w:numPr>
          <w:ilvl w:val="0"/>
          <w:numId w:val="35"/>
        </w:numPr>
        <w:spacing w:after="120"/>
        <w:ind w:left="714" w:hanging="357"/>
        <w:rPr>
          <w:bCs/>
          <w:sz w:val="24"/>
          <w:szCs w:val="24"/>
          <w:lang w:val="en"/>
        </w:rPr>
      </w:pPr>
      <w:r>
        <w:rPr>
          <w:bCs/>
          <w:sz w:val="24"/>
          <w:szCs w:val="24"/>
          <w:lang w:val="en"/>
        </w:rPr>
        <w:t>C</w:t>
      </w:r>
      <w:r w:rsidR="002F5CD5" w:rsidRPr="005F6A95">
        <w:rPr>
          <w:bCs/>
          <w:sz w:val="24"/>
          <w:szCs w:val="24"/>
          <w:lang w:val="en"/>
        </w:rPr>
        <w:t>larifying the standards creation and ways to engage, tools and benefits</w:t>
      </w:r>
      <w:r>
        <w:rPr>
          <w:bCs/>
          <w:sz w:val="24"/>
          <w:szCs w:val="24"/>
          <w:lang w:val="en"/>
        </w:rPr>
        <w:t>.</w:t>
      </w:r>
      <w:r w:rsidR="002F5CD5" w:rsidRPr="005F6A95">
        <w:rPr>
          <w:bCs/>
          <w:sz w:val="24"/>
          <w:szCs w:val="24"/>
          <w:lang w:val="en"/>
        </w:rPr>
        <w:t xml:space="preserve"> </w:t>
      </w:r>
    </w:p>
    <w:p w:rsidR="002F5CD5" w:rsidRPr="002F5CD5" w:rsidRDefault="005F6A95" w:rsidP="00A349F0">
      <w:pPr>
        <w:spacing w:after="360"/>
        <w:rPr>
          <w:bCs/>
          <w:sz w:val="24"/>
          <w:szCs w:val="24"/>
          <w:lang w:val="en"/>
        </w:rPr>
      </w:pPr>
      <w:r>
        <w:rPr>
          <w:bCs/>
          <w:sz w:val="24"/>
          <w:szCs w:val="24"/>
          <w:lang w:val="en"/>
        </w:rPr>
        <w:t>More</w:t>
      </w:r>
      <w:r w:rsidR="002F5CD5" w:rsidRPr="002F5CD5">
        <w:rPr>
          <w:bCs/>
          <w:sz w:val="24"/>
          <w:szCs w:val="24"/>
          <w:lang w:val="en"/>
        </w:rPr>
        <w:t xml:space="preserve"> information</w:t>
      </w:r>
      <w:r>
        <w:rPr>
          <w:bCs/>
          <w:sz w:val="24"/>
          <w:szCs w:val="24"/>
          <w:lang w:val="en"/>
        </w:rPr>
        <w:t xml:space="preserve">: </w:t>
      </w:r>
      <w:hyperlink r:id="rId62" w:tgtFrame="_blank" w:history="1">
        <w:r w:rsidR="002F5CD5" w:rsidRPr="002F5CD5">
          <w:rPr>
            <w:rStyle w:val="Hyperlink"/>
            <w:bCs/>
            <w:sz w:val="24"/>
            <w:szCs w:val="24"/>
            <w:lang w:val="en"/>
          </w:rPr>
          <w:t>Website</w:t>
        </w:r>
      </w:hyperlink>
      <w:r w:rsidR="002F5CD5" w:rsidRPr="002F5CD5">
        <w:rPr>
          <w:bCs/>
          <w:sz w:val="24"/>
          <w:szCs w:val="24"/>
          <w:lang w:val="en"/>
        </w:rPr>
        <w:t xml:space="preserve"> </w:t>
      </w:r>
    </w:p>
    <w:p w:rsidR="00E14B3C" w:rsidRDefault="00E14B3C" w:rsidP="00460469">
      <w:pPr>
        <w:rPr>
          <w:lang w:val="en-US"/>
        </w:rPr>
      </w:pPr>
    </w:p>
    <w:p w:rsidR="00A349F0" w:rsidRPr="002A1300" w:rsidRDefault="00A349F0" w:rsidP="00460469">
      <w:pPr>
        <w:rPr>
          <w:lang w:val="en-US"/>
        </w:rPr>
        <w:sectPr w:rsidR="00A349F0" w:rsidRPr="002A1300" w:rsidSect="002852EF">
          <w:footerReference w:type="default" r:id="rId63"/>
          <w:pgSz w:w="11906" w:h="16838"/>
          <w:pgMar w:top="1417" w:right="1417" w:bottom="1417" w:left="1417" w:header="708" w:footer="708" w:gutter="0"/>
          <w:cols w:space="708"/>
          <w:docGrid w:linePitch="360"/>
        </w:sectPr>
      </w:pPr>
    </w:p>
    <w:p w:rsidR="00912146" w:rsidRDefault="00912146" w:rsidP="00B278E8">
      <w:pPr>
        <w:pStyle w:val="Publications"/>
      </w:pPr>
      <w:bookmarkStart w:id="22" w:name="_Toc11064665"/>
      <w:r>
        <w:t>ПУБЛИКАЦИИ</w:t>
      </w:r>
      <w:bookmarkEnd w:id="22"/>
    </w:p>
    <w:p w:rsidR="00D70D6F" w:rsidRDefault="00D70D6F" w:rsidP="00D80D50">
      <w:pPr>
        <w:pStyle w:val="Heading2"/>
        <w:ind w:left="426"/>
        <w:rPr>
          <w:lang w:val="en-US"/>
        </w:rPr>
      </w:pPr>
      <w:bookmarkStart w:id="23" w:name="_Toc11064666"/>
      <w:r>
        <w:rPr>
          <w:lang w:val="en-US"/>
        </w:rPr>
        <w:t>RESEARCH EU</w:t>
      </w:r>
      <w:bookmarkEnd w:id="23"/>
    </w:p>
    <w:p w:rsidR="00AD0E93" w:rsidRDefault="00CD4DB9" w:rsidP="00AD0E93">
      <w:pPr>
        <w:rPr>
          <w:rFonts w:eastAsia="Times New Roman" w:cs="Times New Roman"/>
          <w:b/>
          <w:color w:val="333333"/>
          <w:sz w:val="24"/>
          <w:szCs w:val="24"/>
          <w:lang w:eastAsia="bg-BG"/>
        </w:rPr>
      </w:pPr>
      <w:r w:rsidRPr="00CD4DB9">
        <w:rPr>
          <w:rFonts w:ascii="Helvetica" w:eastAsia="Times New Roman" w:hAnsi="Helvetica" w:cs="Arial"/>
          <w:noProof/>
          <w:color w:val="333333"/>
          <w:sz w:val="21"/>
          <w:szCs w:val="21"/>
          <w:lang w:eastAsia="bg-BG"/>
        </w:rPr>
        <w:drawing>
          <wp:anchor distT="0" distB="0" distL="114300" distR="114300" simplePos="0" relativeHeight="251707392" behindDoc="1" locked="0" layoutInCell="1" allowOverlap="1" wp14:anchorId="21269647" wp14:editId="605FD677">
            <wp:simplePos x="0" y="0"/>
            <wp:positionH relativeFrom="column">
              <wp:posOffset>1270</wp:posOffset>
            </wp:positionH>
            <wp:positionV relativeFrom="paragraph">
              <wp:posOffset>13335</wp:posOffset>
            </wp:positionV>
            <wp:extent cx="1363980" cy="1947545"/>
            <wp:effectExtent l="0" t="0" r="7620" b="0"/>
            <wp:wrapThrough wrapText="bothSides">
              <wp:wrapPolygon edited="0">
                <wp:start x="0" y="0"/>
                <wp:lineTo x="0" y="21339"/>
                <wp:lineTo x="21419" y="21339"/>
                <wp:lineTo x="21419" y="0"/>
                <wp:lineTo x="0" y="0"/>
              </wp:wrapPolygon>
            </wp:wrapThrough>
            <wp:docPr id="13" name="Picture 13"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ation document thumbnail"/>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363980" cy="19475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DB9" w:rsidRDefault="00CD4DB9" w:rsidP="00AD0E93">
      <w:pPr>
        <w:rPr>
          <w:rFonts w:eastAsia="Times New Roman" w:cs="Times New Roman"/>
          <w:b/>
          <w:color w:val="333333"/>
          <w:sz w:val="24"/>
          <w:szCs w:val="24"/>
          <w:lang w:eastAsia="bg-BG"/>
        </w:rPr>
      </w:pPr>
    </w:p>
    <w:p w:rsidR="00CD4DB9" w:rsidRPr="00CD4DB9" w:rsidRDefault="00CD4DB9" w:rsidP="00CD4DB9">
      <w:pPr>
        <w:spacing w:after="0" w:line="240" w:lineRule="auto"/>
        <w:jc w:val="left"/>
        <w:rPr>
          <w:rFonts w:ascii="Helvetica" w:eastAsia="Times New Roman" w:hAnsi="Helvetica" w:cs="Arial"/>
          <w:color w:val="333333"/>
          <w:sz w:val="21"/>
          <w:szCs w:val="21"/>
          <w:lang w:val="en-GB" w:eastAsia="bg-BG"/>
        </w:rPr>
      </w:pPr>
    </w:p>
    <w:p w:rsidR="00CD4DB9" w:rsidRPr="00CD4DB9" w:rsidRDefault="00CD4DB9" w:rsidP="00AD0E93">
      <w:pPr>
        <w:rPr>
          <w:rFonts w:eastAsia="Times New Roman" w:cs="Times New Roman"/>
          <w:b/>
          <w:color w:val="333333"/>
          <w:sz w:val="24"/>
          <w:szCs w:val="24"/>
          <w:lang w:eastAsia="bg-BG"/>
        </w:rPr>
      </w:pPr>
    </w:p>
    <w:p w:rsidR="00AD0E93" w:rsidRDefault="00AD0E93" w:rsidP="00AD0E93">
      <w:pPr>
        <w:rPr>
          <w:rFonts w:eastAsia="Times New Roman" w:cs="Times New Roman"/>
          <w:b/>
          <w:color w:val="333333"/>
          <w:sz w:val="24"/>
          <w:szCs w:val="24"/>
          <w:lang w:val="en-GB" w:eastAsia="bg-BG"/>
        </w:rPr>
      </w:pPr>
    </w:p>
    <w:p w:rsidR="00AD0E93" w:rsidRDefault="00AD0E93" w:rsidP="00AD0E93">
      <w:pPr>
        <w:rPr>
          <w:rFonts w:eastAsia="Times New Roman" w:cs="Times New Roman"/>
          <w:b/>
          <w:color w:val="333333"/>
          <w:sz w:val="24"/>
          <w:szCs w:val="24"/>
          <w:lang w:eastAsia="bg-BG"/>
        </w:rPr>
      </w:pPr>
    </w:p>
    <w:p w:rsidR="00CD4DB9" w:rsidRPr="0042483E" w:rsidRDefault="0042483E" w:rsidP="00AD0E93">
      <w:pPr>
        <w:rPr>
          <w:rFonts w:eastAsia="Times New Roman" w:cs="Times New Roman"/>
          <w:b/>
          <w:color w:val="333333"/>
          <w:sz w:val="24"/>
          <w:szCs w:val="24"/>
          <w:lang w:val="en-US" w:eastAsia="bg-BG"/>
        </w:rPr>
      </w:pPr>
      <w:r>
        <w:rPr>
          <w:rFonts w:eastAsia="Times New Roman" w:cs="Times New Roman"/>
          <w:b/>
          <w:color w:val="333333"/>
          <w:sz w:val="24"/>
          <w:szCs w:val="24"/>
          <w:lang w:val="en-US" w:eastAsia="bg-BG"/>
        </w:rPr>
        <w:t>Issue 83, June 2019</w:t>
      </w:r>
    </w:p>
    <w:p w:rsidR="00CD4DB9" w:rsidRPr="00CD4DB9" w:rsidRDefault="00441D42" w:rsidP="005C11D4">
      <w:pPr>
        <w:spacing w:after="120"/>
        <w:rPr>
          <w:rFonts w:eastAsia="Times New Roman" w:cs="Times New Roman"/>
          <w:color w:val="333333"/>
          <w:sz w:val="24"/>
          <w:szCs w:val="24"/>
          <w:lang w:eastAsia="bg-BG"/>
        </w:rPr>
      </w:pPr>
      <w:r>
        <w:rPr>
          <w:rFonts w:eastAsia="Times New Roman" w:cs="Times New Roman"/>
          <w:color w:val="333333"/>
          <w:sz w:val="24"/>
          <w:szCs w:val="24"/>
          <w:lang w:val="en-GB" w:eastAsia="bg-BG"/>
        </w:rPr>
        <w:t>Special feature</w:t>
      </w:r>
      <w:r w:rsidR="00CD4DB9" w:rsidRPr="00CD4DB9">
        <w:rPr>
          <w:rFonts w:eastAsia="Times New Roman" w:cs="Times New Roman"/>
          <w:color w:val="333333"/>
          <w:sz w:val="24"/>
          <w:szCs w:val="24"/>
          <w:lang w:val="en-GB" w:eastAsia="bg-BG"/>
        </w:rPr>
        <w:t>: increasingly sm</w:t>
      </w:r>
      <w:r>
        <w:rPr>
          <w:rFonts w:eastAsia="Times New Roman" w:cs="Times New Roman"/>
          <w:color w:val="333333"/>
          <w:sz w:val="24"/>
          <w:szCs w:val="24"/>
          <w:lang w:val="en-GB" w:eastAsia="bg-BG"/>
        </w:rPr>
        <w:t>art, increasingly sustainable</w:t>
      </w:r>
      <w:r w:rsidR="0042483E">
        <w:rPr>
          <w:rFonts w:eastAsia="Times New Roman" w:cs="Times New Roman"/>
          <w:color w:val="333333"/>
          <w:sz w:val="24"/>
          <w:szCs w:val="24"/>
          <w:lang w:val="en-GB" w:eastAsia="bg-BG"/>
        </w:rPr>
        <w:t xml:space="preserve">. </w:t>
      </w:r>
      <w:r w:rsidR="00CD4DB9" w:rsidRPr="00CD4DB9">
        <w:rPr>
          <w:rFonts w:eastAsia="Times New Roman" w:cs="Times New Roman"/>
          <w:color w:val="333333"/>
          <w:sz w:val="24"/>
          <w:szCs w:val="24"/>
          <w:lang w:val="en-GB" w:eastAsia="bg-BG"/>
        </w:rPr>
        <w:t>Europe’s cities get an upgrade. In this issue of Research*</w:t>
      </w:r>
      <w:proofErr w:type="spellStart"/>
      <w:r w:rsidR="00CD4DB9" w:rsidRPr="00CD4DB9">
        <w:rPr>
          <w:rFonts w:eastAsia="Times New Roman" w:cs="Times New Roman"/>
          <w:color w:val="333333"/>
          <w:sz w:val="24"/>
          <w:szCs w:val="24"/>
          <w:lang w:val="en-GB" w:eastAsia="bg-BG"/>
        </w:rPr>
        <w:t>eu</w:t>
      </w:r>
      <w:proofErr w:type="spellEnd"/>
      <w:r w:rsidR="00CD4DB9" w:rsidRPr="00CD4DB9">
        <w:rPr>
          <w:rFonts w:eastAsia="Times New Roman" w:cs="Times New Roman"/>
          <w:color w:val="333333"/>
          <w:sz w:val="24"/>
          <w:szCs w:val="24"/>
          <w:lang w:val="en-GB" w:eastAsia="bg-BG"/>
        </w:rPr>
        <w:t xml:space="preserve"> magazine, our special feature highlights seven EU-funded projects that have made important steps into turning the notion of a ‘digital city’ from concept into reality, taking into account smarter and more efficient mobility, waste management, air quality and citizen engagement. One of the key trends from these projects is the sheer number of European cities where their ideas and solutions were tried, implemented and, in some cases, retained by the impressed city... authorities. </w:t>
      </w:r>
      <w:r w:rsidR="005C11D4">
        <w:rPr>
          <w:rFonts w:eastAsia="Times New Roman" w:cs="Times New Roman"/>
          <w:color w:val="333333"/>
          <w:sz w:val="24"/>
          <w:szCs w:val="24"/>
          <w:lang w:val="en-GB" w:eastAsia="bg-BG"/>
        </w:rPr>
        <w:t>The</w:t>
      </w:r>
      <w:r w:rsidR="00CD4DB9" w:rsidRPr="00CD4DB9">
        <w:rPr>
          <w:rFonts w:eastAsia="Times New Roman" w:cs="Times New Roman"/>
          <w:color w:val="333333"/>
          <w:sz w:val="24"/>
          <w:szCs w:val="24"/>
          <w:lang w:val="en-GB" w:eastAsia="bg-BG"/>
        </w:rPr>
        <w:t xml:space="preserve"> editor counts at least 15 cities from across the continent that took part in these projects and even some in countries beyond Europe’s shores, such as Japan – highlighting that Europe can and is playing a key role in designing, implementing and guiding the development of what will be the cities of tomorrow</w:t>
      </w:r>
      <w:r w:rsidR="00CD4DB9">
        <w:rPr>
          <w:rFonts w:eastAsia="Times New Roman" w:cs="Times New Roman"/>
          <w:color w:val="333333"/>
          <w:sz w:val="24"/>
          <w:szCs w:val="24"/>
          <w:lang w:eastAsia="bg-BG"/>
        </w:rPr>
        <w:t>.</w:t>
      </w:r>
    </w:p>
    <w:p w:rsidR="00CD4DB9" w:rsidRDefault="008E0A6B" w:rsidP="007B30C0">
      <w:pPr>
        <w:spacing w:after="600"/>
        <w:rPr>
          <w:rStyle w:val="Hyperlink"/>
          <w:rFonts w:eastAsia="Times New Roman" w:cs="Times New Roman"/>
          <w:sz w:val="24"/>
          <w:szCs w:val="24"/>
          <w:lang w:val="en-US" w:eastAsia="bg-BG"/>
        </w:rPr>
      </w:pPr>
      <w:hyperlink r:id="rId65" w:history="1">
        <w:r w:rsidR="00CD4DB9" w:rsidRPr="00441D42">
          <w:rPr>
            <w:rStyle w:val="Hyperlink"/>
            <w:rFonts w:eastAsia="Times New Roman" w:cs="Times New Roman"/>
            <w:sz w:val="24"/>
            <w:szCs w:val="24"/>
            <w:lang w:val="en-US" w:eastAsia="bg-BG"/>
          </w:rPr>
          <w:t>Download</w:t>
        </w:r>
      </w:hyperlink>
    </w:p>
    <w:p w:rsidR="007B30C0" w:rsidRPr="00F671CF" w:rsidRDefault="007B30C0" w:rsidP="007B30C0">
      <w:pPr>
        <w:pStyle w:val="Heading2"/>
        <w:rPr>
          <w:lang w:val="en-GB" w:eastAsia="bg-BG"/>
        </w:rPr>
      </w:pPr>
      <w:bookmarkStart w:id="24" w:name="_Toc11064667"/>
      <w:r w:rsidRPr="00BC015E">
        <w:rPr>
          <w:lang w:val="en-GB" w:eastAsia="bg-BG"/>
        </w:rPr>
        <w:t>Reassembling the Republic of Letters in the Digital Age</w:t>
      </w:r>
      <w:bookmarkEnd w:id="24"/>
      <w:r>
        <w:rPr>
          <w:lang w:eastAsia="bg-BG"/>
        </w:rPr>
        <w:t xml:space="preserve"> </w:t>
      </w:r>
    </w:p>
    <w:p w:rsidR="007B30C0" w:rsidRDefault="007B30C0" w:rsidP="007B30C0">
      <w:pPr>
        <w:rPr>
          <w:sz w:val="24"/>
          <w:szCs w:val="24"/>
          <w:lang w:eastAsia="bg-BG"/>
        </w:rPr>
      </w:pPr>
      <w:r>
        <w:rPr>
          <w:noProof/>
          <w:sz w:val="24"/>
          <w:szCs w:val="24"/>
          <w:lang w:eastAsia="bg-BG"/>
        </w:rPr>
        <w:drawing>
          <wp:inline distT="0" distB="0" distL="0" distR="0" wp14:anchorId="4C1A97B6" wp14:editId="333B0BD1">
            <wp:extent cx="1324800" cy="1868400"/>
            <wp:effectExtent l="0" t="0" r="8890" b="0"/>
            <wp:docPr id="1" name="Picture 1" descr="C:\Users\Compaq\Desktop\cost_hot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mpaq\Desktop\cost_hotson.jp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24800" cy="1868400"/>
                    </a:xfrm>
                    <a:prstGeom prst="rect">
                      <a:avLst/>
                    </a:prstGeom>
                    <a:noFill/>
                    <a:ln>
                      <a:noFill/>
                    </a:ln>
                  </pic:spPr>
                </pic:pic>
              </a:graphicData>
            </a:graphic>
          </wp:inline>
        </w:drawing>
      </w:r>
    </w:p>
    <w:p w:rsidR="007B30C0" w:rsidRPr="00F671CF" w:rsidRDefault="007B30C0" w:rsidP="007B30C0">
      <w:pPr>
        <w:rPr>
          <w:sz w:val="24"/>
          <w:szCs w:val="24"/>
          <w:lang w:val="en-GB" w:eastAsia="bg-BG"/>
        </w:rPr>
      </w:pPr>
      <w:r w:rsidRPr="00F671CF">
        <w:rPr>
          <w:sz w:val="24"/>
          <w:szCs w:val="24"/>
          <w:lang w:val="en-GB" w:eastAsia="bg-BG"/>
        </w:rPr>
        <w:t>Author(s): </w:t>
      </w:r>
      <w:proofErr w:type="spellStart"/>
      <w:r w:rsidRPr="00F671CF">
        <w:rPr>
          <w:sz w:val="24"/>
          <w:szCs w:val="24"/>
          <w:lang w:val="en-GB" w:eastAsia="bg-BG"/>
        </w:rPr>
        <w:t>Hotson</w:t>
      </w:r>
      <w:proofErr w:type="spellEnd"/>
      <w:r w:rsidRPr="00F671CF">
        <w:rPr>
          <w:sz w:val="24"/>
          <w:szCs w:val="24"/>
          <w:lang w:val="en-GB" w:eastAsia="bg-BG"/>
        </w:rPr>
        <w:t xml:space="preserve">, Howard; </w:t>
      </w:r>
      <w:proofErr w:type="spellStart"/>
      <w:r w:rsidRPr="00F671CF">
        <w:rPr>
          <w:sz w:val="24"/>
          <w:szCs w:val="24"/>
          <w:lang w:val="en-GB" w:eastAsia="bg-BG"/>
        </w:rPr>
        <w:t>Wallnig</w:t>
      </w:r>
      <w:proofErr w:type="spellEnd"/>
      <w:r w:rsidRPr="00F671CF">
        <w:rPr>
          <w:sz w:val="24"/>
          <w:szCs w:val="24"/>
          <w:lang w:val="en-GB" w:eastAsia="bg-BG"/>
        </w:rPr>
        <w:t>, Thomas (eds.)</w:t>
      </w:r>
    </w:p>
    <w:p w:rsidR="007B30C0" w:rsidRDefault="007B30C0" w:rsidP="007B30C0">
      <w:pPr>
        <w:spacing w:after="120"/>
        <w:rPr>
          <w:sz w:val="24"/>
          <w:szCs w:val="24"/>
          <w:lang w:val="en-GB" w:eastAsia="bg-BG"/>
        </w:rPr>
      </w:pPr>
      <w:r w:rsidRPr="00F671CF">
        <w:rPr>
          <w:sz w:val="24"/>
          <w:szCs w:val="24"/>
          <w:lang w:val="en-GB" w:eastAsia="bg-BG"/>
        </w:rPr>
        <w:t>Between 1500 and 1800, the rapid evolution of postal communication allowed ordinary men and women to scatter letters across Europe like never before. This exchange helped knit together what contemporaries called the ‘</w:t>
      </w:r>
      <w:proofErr w:type="spellStart"/>
      <w:r w:rsidRPr="00F671CF">
        <w:rPr>
          <w:sz w:val="24"/>
          <w:szCs w:val="24"/>
          <w:lang w:val="en-GB" w:eastAsia="bg-BG"/>
        </w:rPr>
        <w:t>respublica</w:t>
      </w:r>
      <w:proofErr w:type="spellEnd"/>
      <w:r w:rsidRPr="00F671CF">
        <w:rPr>
          <w:sz w:val="24"/>
          <w:szCs w:val="24"/>
          <w:lang w:val="en-GB" w:eastAsia="bg-BG"/>
        </w:rPr>
        <w:t xml:space="preserve"> </w:t>
      </w:r>
      <w:proofErr w:type="spellStart"/>
      <w:r w:rsidRPr="00F671CF">
        <w:rPr>
          <w:sz w:val="24"/>
          <w:szCs w:val="24"/>
          <w:lang w:val="en-GB" w:eastAsia="bg-BG"/>
        </w:rPr>
        <w:t>litteraria</w:t>
      </w:r>
      <w:proofErr w:type="spellEnd"/>
      <w:r w:rsidRPr="00F671CF">
        <w:rPr>
          <w:sz w:val="24"/>
          <w:szCs w:val="24"/>
          <w:lang w:val="en-GB" w:eastAsia="bg-BG"/>
        </w:rPr>
        <w:t xml:space="preserve">’, a knowledge-based civil society, crucial to that era’s intellectual breakthroughs, formative of many modern values and institutions, and a potential cornerstone of a transnational level of European identity. Ironically, the exchange of letters which created this community also dispersed the documentation required to study it, posing enormous difficulties for historians of the subject ever since. To reassemble that scattered material and chart the history of that imagined community, we need a revolution in digital communications. </w:t>
      </w:r>
    </w:p>
    <w:p w:rsidR="007B30C0" w:rsidRPr="00F671CF" w:rsidRDefault="007B30C0" w:rsidP="007B30C0">
      <w:pPr>
        <w:spacing w:after="120"/>
        <w:rPr>
          <w:sz w:val="24"/>
          <w:szCs w:val="24"/>
          <w:lang w:val="en-GB" w:eastAsia="bg-BG"/>
        </w:rPr>
      </w:pPr>
      <w:r w:rsidRPr="00F671CF">
        <w:rPr>
          <w:sz w:val="24"/>
          <w:szCs w:val="24"/>
          <w:lang w:val="en-GB" w:eastAsia="bg-BG"/>
        </w:rPr>
        <w:t>Between 2014 and 2018, a</w:t>
      </w:r>
      <w:r>
        <w:rPr>
          <w:sz w:val="24"/>
          <w:szCs w:val="24"/>
          <w:lang w:val="en-GB" w:eastAsia="bg-BG"/>
        </w:rPr>
        <w:t>n</w:t>
      </w:r>
      <w:r w:rsidRPr="00F671CF">
        <w:rPr>
          <w:sz w:val="24"/>
          <w:szCs w:val="24"/>
          <w:lang w:val="en-GB" w:eastAsia="bg-BG"/>
        </w:rPr>
        <w:t xml:space="preserve"> EU networking grant assembled an interdisciplinary community of over 200 experts from 33 different countries and many different fields for four years of structured discussion. The aim was to envisage transnational digital infrastructure for facilitating the radically multilateral collaboration needed to reassemble this scattered documentation and to support a new generation of scholarly work and public dissemination. The framework emerging from those discussions – potentially applicable also to other forms of intellectual, cultural and economic exchange in other periods and regions – is documented in this book.</w:t>
      </w:r>
    </w:p>
    <w:p w:rsidR="007B30C0" w:rsidRPr="00F671CF" w:rsidRDefault="008E0A6B" w:rsidP="007B30C0">
      <w:pPr>
        <w:spacing w:after="600"/>
        <w:rPr>
          <w:sz w:val="24"/>
          <w:szCs w:val="24"/>
          <w:lang w:val="en-GB" w:eastAsia="bg-BG"/>
        </w:rPr>
      </w:pPr>
      <w:hyperlink r:id="rId67" w:tgtFrame="_blank" w:history="1">
        <w:r w:rsidR="007B30C0" w:rsidRPr="00F671CF">
          <w:rPr>
            <w:rStyle w:val="Hyperlink"/>
            <w:sz w:val="24"/>
            <w:szCs w:val="24"/>
            <w:lang w:val="en-GB" w:eastAsia="bg-BG"/>
          </w:rPr>
          <w:t>Download</w:t>
        </w:r>
      </w:hyperlink>
    </w:p>
    <w:p w:rsidR="005E1660" w:rsidRPr="005E1660" w:rsidRDefault="005E1660" w:rsidP="005E1660">
      <w:pPr>
        <w:pStyle w:val="Heading2"/>
      </w:pPr>
      <w:bookmarkStart w:id="25" w:name="_Toc11064668"/>
      <w:r w:rsidRPr="005E1660">
        <w:t>European University Association: University Mergers in Europe</w:t>
      </w:r>
      <w:bookmarkEnd w:id="25"/>
    </w:p>
    <w:p w:rsidR="005E1660" w:rsidRPr="00313C8D" w:rsidRDefault="005E1660" w:rsidP="005E1660">
      <w:pPr>
        <w:rPr>
          <w:rFonts w:eastAsia="Times New Roman" w:cs="Times New Roman"/>
          <w:sz w:val="24"/>
          <w:szCs w:val="24"/>
          <w:lang w:val="en-GB" w:eastAsia="bg-BG"/>
        </w:rPr>
      </w:pPr>
      <w:r w:rsidRPr="00313C8D">
        <w:rPr>
          <w:rFonts w:eastAsia="Times New Roman" w:cs="Times New Roman"/>
          <w:sz w:val="24"/>
          <w:szCs w:val="24"/>
          <w:lang w:val="en-GB" w:eastAsia="bg-BG"/>
        </w:rPr>
        <w:t xml:space="preserve">University mergers are a widely spread phenomenon in Europe. This briefing analyses the features of close to 130 cases of university mergers and clusters (since 2000) recorded in the </w:t>
      </w:r>
      <w:hyperlink r:id="rId68" w:tgtFrame="_blank" w:history="1">
        <w:r w:rsidRPr="00313C8D">
          <w:rPr>
            <w:rStyle w:val="Hyperlink"/>
            <w:rFonts w:eastAsia="Times New Roman" w:cs="Times New Roman"/>
            <w:sz w:val="24"/>
            <w:szCs w:val="24"/>
            <w:lang w:val="en-GB" w:eastAsia="bg-BG"/>
          </w:rPr>
          <w:t>EUA University Merger Tool</w:t>
        </w:r>
      </w:hyperlink>
      <w:r w:rsidRPr="00313C8D">
        <w:rPr>
          <w:rFonts w:eastAsia="Times New Roman" w:cs="Times New Roman"/>
          <w:sz w:val="24"/>
          <w:szCs w:val="24"/>
          <w:lang w:val="en-GB" w:eastAsia="bg-BG"/>
        </w:rPr>
        <w:t>, and identifies different patterns across the continent.</w:t>
      </w:r>
    </w:p>
    <w:p w:rsidR="005E1660" w:rsidRDefault="005E1660" w:rsidP="005E1660">
      <w:pPr>
        <w:spacing w:after="120"/>
        <w:rPr>
          <w:rFonts w:eastAsia="Times New Roman" w:cs="Times New Roman"/>
          <w:sz w:val="24"/>
          <w:szCs w:val="24"/>
          <w:lang w:val="en-GB" w:eastAsia="bg-BG"/>
        </w:rPr>
      </w:pPr>
      <w:r w:rsidRPr="00313C8D">
        <w:rPr>
          <w:rFonts w:eastAsia="Times New Roman" w:cs="Times New Roman"/>
          <w:sz w:val="24"/>
          <w:szCs w:val="24"/>
          <w:lang w:val="en-GB" w:eastAsia="bg-BG"/>
        </w:rPr>
        <w:t>Merger and concentration activity takes various forms and has evolved across the period; it is given renewed attention in a context of consolidation of the higher education landscape as well as in light of new modes of inter-institutional collaboration.</w:t>
      </w:r>
      <w:r>
        <w:rPr>
          <w:rFonts w:eastAsia="Times New Roman" w:cs="Times New Roman"/>
          <w:sz w:val="24"/>
          <w:szCs w:val="24"/>
          <w:lang w:val="en-GB" w:eastAsia="bg-BG"/>
        </w:rPr>
        <w:t xml:space="preserve"> </w:t>
      </w:r>
      <w:hyperlink r:id="rId69" w:tgtFrame="_blank" w:history="1">
        <w:r w:rsidRPr="00313C8D">
          <w:rPr>
            <w:rStyle w:val="Hyperlink"/>
            <w:rFonts w:eastAsia="Times New Roman" w:cs="Times New Roman"/>
            <w:sz w:val="24"/>
            <w:szCs w:val="24"/>
            <w:lang w:val="en-GB" w:eastAsia="bg-BG"/>
          </w:rPr>
          <w:t>Download</w:t>
        </w:r>
      </w:hyperlink>
    </w:p>
    <w:p w:rsidR="005E1660" w:rsidRPr="00C97EAD" w:rsidRDefault="005E1660" w:rsidP="005E1660">
      <w:pPr>
        <w:pStyle w:val="Heading2"/>
        <w:rPr>
          <w:rFonts w:eastAsia="Times New Roman"/>
          <w:lang w:val="en-GB" w:eastAsia="bg-BG"/>
        </w:rPr>
      </w:pPr>
      <w:bookmarkStart w:id="26" w:name="_Toc11064669"/>
      <w:r>
        <w:rPr>
          <w:rFonts w:eastAsia="Times New Roman"/>
          <w:lang w:val="en-GB" w:eastAsia="bg-BG"/>
        </w:rPr>
        <w:t xml:space="preserve">European University Association: </w:t>
      </w:r>
      <w:r w:rsidRPr="00C97EAD">
        <w:rPr>
          <w:rFonts w:eastAsia="Times New Roman"/>
          <w:lang w:val="en-GB" w:eastAsia="bg-BG"/>
        </w:rPr>
        <w:t>Reflections on University Research Assessment: key concepts, issues and actors</w:t>
      </w:r>
      <w:bookmarkEnd w:id="26"/>
    </w:p>
    <w:p w:rsidR="005E1660" w:rsidRPr="00C97EAD" w:rsidRDefault="005E1660" w:rsidP="005E1660">
      <w:pPr>
        <w:spacing w:after="120"/>
        <w:rPr>
          <w:rFonts w:eastAsia="Times New Roman" w:cs="Times New Roman"/>
          <w:sz w:val="24"/>
          <w:szCs w:val="24"/>
          <w:lang w:val="en-GB" w:eastAsia="bg-BG"/>
        </w:rPr>
      </w:pPr>
      <w:r w:rsidRPr="00C97EAD">
        <w:rPr>
          <w:rFonts w:eastAsia="Times New Roman" w:cs="Times New Roman"/>
          <w:sz w:val="24"/>
          <w:szCs w:val="24"/>
          <w:lang w:val="en-GB" w:eastAsia="bg-BG"/>
        </w:rPr>
        <w:t>This briefing is the first step towards EUA’s commitment to raise awareness and support universities by providing an overview of the key concepts, issues and actors involved in research assessment. It provides the state of play and connects discussions among researchers, universities and other research performing organisations, research funders and policymakers.</w:t>
      </w:r>
    </w:p>
    <w:p w:rsidR="005E1660" w:rsidRPr="002250E7" w:rsidRDefault="005E1660" w:rsidP="005E1660">
      <w:pPr>
        <w:spacing w:after="120"/>
        <w:rPr>
          <w:rFonts w:eastAsia="Times New Roman" w:cs="Times New Roman"/>
          <w:sz w:val="24"/>
          <w:szCs w:val="24"/>
          <w:lang w:val="en-GB" w:eastAsia="bg-BG"/>
        </w:rPr>
      </w:pPr>
      <w:r w:rsidRPr="00C97EAD">
        <w:rPr>
          <w:rFonts w:eastAsia="Times New Roman" w:cs="Times New Roman"/>
          <w:sz w:val="24"/>
          <w:szCs w:val="24"/>
          <w:lang w:val="en-GB" w:eastAsia="bg-BG"/>
        </w:rPr>
        <w:t>Particular attention is given to practical examples of new and innovative practices being developed and implemented. The publication is part of EUA’s broader efforts to support institutions in developing research assessment approaches that focus on quality, potential and impact, and take into account Open Science practices.</w:t>
      </w:r>
      <w:r>
        <w:rPr>
          <w:rFonts w:eastAsia="Times New Roman" w:cs="Times New Roman"/>
          <w:sz w:val="24"/>
          <w:szCs w:val="24"/>
          <w:lang w:val="en-GB" w:eastAsia="bg-BG"/>
        </w:rPr>
        <w:t xml:space="preserve"> </w:t>
      </w:r>
      <w:hyperlink r:id="rId70" w:tgtFrame="_blank" w:history="1">
        <w:r w:rsidRPr="00C97EAD">
          <w:rPr>
            <w:rStyle w:val="Hyperlink"/>
            <w:rFonts w:eastAsia="Times New Roman" w:cs="Times New Roman"/>
            <w:sz w:val="24"/>
            <w:szCs w:val="24"/>
            <w:lang w:val="en-GB" w:eastAsia="bg-BG"/>
          </w:rPr>
          <w:t>Download</w:t>
        </w:r>
      </w:hyperlink>
    </w:p>
    <w:p w:rsidR="00F30BAE" w:rsidRPr="00F30BAE" w:rsidRDefault="00F30BAE" w:rsidP="00F30BAE">
      <w:pPr>
        <w:pStyle w:val="Heading2"/>
        <w:ind w:left="426"/>
        <w:rPr>
          <w:lang w:val="en-GB"/>
        </w:rPr>
      </w:pPr>
      <w:bookmarkStart w:id="27" w:name="_Toc11064670"/>
      <w:r w:rsidRPr="00F30BAE">
        <w:t>European University Association</w:t>
      </w:r>
      <w:r w:rsidRPr="00F30BAE">
        <w:rPr>
          <w:lang w:val="en-US"/>
        </w:rPr>
        <w:t xml:space="preserve"> Study: </w:t>
      </w:r>
      <w:r w:rsidRPr="00F30BAE">
        <w:rPr>
          <w:lang w:val="en-GB"/>
        </w:rPr>
        <w:t>The Role of Universities in Regional Innovation Ecosystems</w:t>
      </w:r>
      <w:bookmarkEnd w:id="27"/>
    </w:p>
    <w:p w:rsidR="00F30BAE" w:rsidRPr="00F30BAE" w:rsidRDefault="00F30BAE" w:rsidP="005E1660">
      <w:pPr>
        <w:spacing w:after="120"/>
        <w:rPr>
          <w:sz w:val="24"/>
          <w:szCs w:val="24"/>
          <w:lang w:val="en-GB"/>
        </w:rPr>
      </w:pPr>
      <w:r w:rsidRPr="00F30BAE">
        <w:rPr>
          <w:sz w:val="24"/>
          <w:szCs w:val="24"/>
          <w:lang w:val="en-GB"/>
        </w:rPr>
        <w:t>Universities are moving away from linear concepts of innovation to closer co-creative approaches with external partners, which help them take on a new central role in their innovation ecosystems. This EUA study</w:t>
      </w:r>
      <w:r w:rsidR="00962D44">
        <w:rPr>
          <w:sz w:val="24"/>
          <w:szCs w:val="24"/>
        </w:rPr>
        <w:t xml:space="preserve"> </w:t>
      </w:r>
      <w:r w:rsidR="00962D44">
        <w:rPr>
          <w:sz w:val="24"/>
          <w:szCs w:val="24"/>
          <w:lang w:val="en-US"/>
        </w:rPr>
        <w:t>conducted by</w:t>
      </w:r>
      <w:r w:rsidRPr="00F30BAE">
        <w:rPr>
          <w:sz w:val="24"/>
          <w:szCs w:val="24"/>
          <w:lang w:val="en-GB"/>
        </w:rPr>
        <w:t xml:space="preserve"> </w:t>
      </w:r>
      <w:proofErr w:type="spellStart"/>
      <w:r w:rsidR="00962D44" w:rsidRPr="00F30BAE">
        <w:rPr>
          <w:sz w:val="24"/>
          <w:szCs w:val="24"/>
          <w:lang w:val="en-GB"/>
        </w:rPr>
        <w:t>Dr.</w:t>
      </w:r>
      <w:proofErr w:type="spellEnd"/>
      <w:r w:rsidR="00962D44" w:rsidRPr="00F30BAE">
        <w:rPr>
          <w:sz w:val="24"/>
          <w:szCs w:val="24"/>
          <w:lang w:val="en-GB"/>
        </w:rPr>
        <w:t xml:space="preserve"> Sybille Reichert</w:t>
      </w:r>
      <w:r w:rsidR="00962D44">
        <w:rPr>
          <w:sz w:val="24"/>
          <w:szCs w:val="24"/>
          <w:lang w:val="en-GB"/>
        </w:rPr>
        <w:t xml:space="preserve"> </w:t>
      </w:r>
      <w:r w:rsidRPr="00F30BAE">
        <w:rPr>
          <w:sz w:val="24"/>
          <w:szCs w:val="24"/>
          <w:lang w:val="en-GB"/>
        </w:rPr>
        <w:t>focuses on the role of universities in these innovation ecosystems by analysing the nature and changing quality of the interactions between universities, companies, governmental agencies and other public organisations in nine different European regions.</w:t>
      </w:r>
    </w:p>
    <w:p w:rsidR="00F30BAE" w:rsidRDefault="00F30BAE" w:rsidP="0010243F">
      <w:pPr>
        <w:spacing w:after="600"/>
        <w:rPr>
          <w:rStyle w:val="Hyperlink"/>
          <w:b/>
          <w:sz w:val="24"/>
          <w:szCs w:val="24"/>
          <w:lang w:val="en-GB"/>
        </w:rPr>
      </w:pPr>
      <w:r w:rsidRPr="00F30BAE">
        <w:rPr>
          <w:sz w:val="24"/>
          <w:szCs w:val="24"/>
          <w:lang w:val="en-GB"/>
        </w:rPr>
        <w:t>The study clearly shows the role that universities and university leadership play in this multi-actor orchestration of innovation. Moreover, it looks at how universities are developing the interplay between research, education, and innovation within the institutions.</w:t>
      </w:r>
      <w:r w:rsidR="005E1660">
        <w:rPr>
          <w:sz w:val="24"/>
          <w:szCs w:val="24"/>
          <w:lang w:val="en-GB"/>
        </w:rPr>
        <w:t xml:space="preserve"> </w:t>
      </w:r>
      <w:hyperlink r:id="rId71" w:tgtFrame="_blank" w:history="1">
        <w:r w:rsidRPr="007B30C0">
          <w:rPr>
            <w:rStyle w:val="Hyperlink"/>
            <w:sz w:val="24"/>
            <w:szCs w:val="24"/>
            <w:lang w:val="en-GB"/>
          </w:rPr>
          <w:t>Download</w:t>
        </w:r>
      </w:hyperlink>
    </w:p>
    <w:p w:rsidR="007B30C0" w:rsidRDefault="007B30C0" w:rsidP="007B30C0">
      <w:pPr>
        <w:pStyle w:val="Heading2"/>
        <w:rPr>
          <w:rFonts w:eastAsia="Times New Roman"/>
          <w:lang w:eastAsia="bg-BG"/>
        </w:rPr>
      </w:pPr>
      <w:bookmarkStart w:id="28" w:name="_Toc11064671"/>
      <w:r w:rsidRPr="002250E7">
        <w:rPr>
          <w:rFonts w:eastAsia="Times New Roman"/>
          <w:lang w:val="en-GB" w:eastAsia="bg-BG"/>
        </w:rPr>
        <w:t>Ultrascale Computing Systems</w:t>
      </w:r>
      <w:bookmarkEnd w:id="28"/>
    </w:p>
    <w:p w:rsidR="007B30C0" w:rsidRDefault="007B30C0" w:rsidP="007B30C0">
      <w:pPr>
        <w:rPr>
          <w:rFonts w:eastAsia="Times New Roman" w:cs="Times New Roman"/>
          <w:sz w:val="24"/>
          <w:szCs w:val="24"/>
          <w:lang w:eastAsia="bg-BG"/>
        </w:rPr>
      </w:pPr>
      <w:r>
        <w:rPr>
          <w:rFonts w:eastAsia="Times New Roman" w:cs="Times New Roman"/>
          <w:noProof/>
          <w:sz w:val="24"/>
          <w:szCs w:val="24"/>
          <w:lang w:eastAsia="bg-BG"/>
        </w:rPr>
        <w:drawing>
          <wp:inline distT="0" distB="0" distL="0" distR="0" wp14:anchorId="229CC512" wp14:editId="73411894">
            <wp:extent cx="1170000" cy="1756800"/>
            <wp:effectExtent l="0" t="0" r="0" b="0"/>
            <wp:docPr id="14" name="Picture 14" descr="C:\Users\Compaq\Desktop\UltrascaleComputing-Syst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aq\Desktop\UltrascaleComputing-Systems.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170000" cy="1756800"/>
                    </a:xfrm>
                    <a:prstGeom prst="rect">
                      <a:avLst/>
                    </a:prstGeom>
                    <a:noFill/>
                    <a:ln>
                      <a:noFill/>
                    </a:ln>
                  </pic:spPr>
                </pic:pic>
              </a:graphicData>
            </a:graphic>
          </wp:inline>
        </w:drawing>
      </w:r>
    </w:p>
    <w:p w:rsidR="007B30C0" w:rsidRPr="002250E7" w:rsidRDefault="007B30C0" w:rsidP="007B30C0">
      <w:pPr>
        <w:rPr>
          <w:rFonts w:eastAsia="Times New Roman" w:cs="Times New Roman"/>
          <w:sz w:val="24"/>
          <w:szCs w:val="24"/>
          <w:lang w:val="en-GB" w:eastAsia="bg-BG"/>
        </w:rPr>
      </w:pPr>
      <w:r w:rsidRPr="002250E7">
        <w:rPr>
          <w:rFonts w:eastAsia="Times New Roman" w:cs="Times New Roman"/>
          <w:sz w:val="24"/>
          <w:szCs w:val="24"/>
          <w:lang w:val="en-GB" w:eastAsia="bg-BG"/>
        </w:rPr>
        <w:t xml:space="preserve">Edited by  Jesus </w:t>
      </w:r>
      <w:proofErr w:type="spellStart"/>
      <w:r w:rsidRPr="002250E7">
        <w:rPr>
          <w:rFonts w:eastAsia="Times New Roman" w:cs="Times New Roman"/>
          <w:sz w:val="24"/>
          <w:szCs w:val="24"/>
          <w:lang w:val="en-GB" w:eastAsia="bg-BG"/>
        </w:rPr>
        <w:t>Carretero</w:t>
      </w:r>
      <w:proofErr w:type="spellEnd"/>
      <w:r w:rsidRPr="002250E7">
        <w:rPr>
          <w:rFonts w:eastAsia="Times New Roman" w:cs="Times New Roman"/>
          <w:sz w:val="24"/>
          <w:szCs w:val="24"/>
          <w:lang w:val="en-GB" w:eastAsia="bg-BG"/>
        </w:rPr>
        <w:t xml:space="preserve">,  Emmanuel </w:t>
      </w:r>
      <w:proofErr w:type="spellStart"/>
      <w:r w:rsidRPr="002250E7">
        <w:rPr>
          <w:rFonts w:eastAsia="Times New Roman" w:cs="Times New Roman"/>
          <w:sz w:val="24"/>
          <w:szCs w:val="24"/>
          <w:lang w:val="en-GB" w:eastAsia="bg-BG"/>
        </w:rPr>
        <w:t>Jeannot</w:t>
      </w:r>
      <w:proofErr w:type="spellEnd"/>
      <w:r w:rsidRPr="002250E7">
        <w:rPr>
          <w:rFonts w:eastAsia="Times New Roman" w:cs="Times New Roman"/>
          <w:sz w:val="24"/>
          <w:szCs w:val="24"/>
          <w:lang w:val="en-GB" w:eastAsia="bg-BG"/>
        </w:rPr>
        <w:t xml:space="preserve"> and Albert Y. </w:t>
      </w:r>
      <w:proofErr w:type="spellStart"/>
      <w:r w:rsidRPr="002250E7">
        <w:rPr>
          <w:rFonts w:eastAsia="Times New Roman" w:cs="Times New Roman"/>
          <w:sz w:val="24"/>
          <w:szCs w:val="24"/>
          <w:lang w:val="en-GB" w:eastAsia="bg-BG"/>
        </w:rPr>
        <w:t>Zomaya</w:t>
      </w:r>
      <w:proofErr w:type="spellEnd"/>
    </w:p>
    <w:p w:rsidR="007B30C0" w:rsidRDefault="007B30C0" w:rsidP="007B30C0">
      <w:pPr>
        <w:spacing w:after="120"/>
        <w:rPr>
          <w:rFonts w:eastAsia="Times New Roman" w:cs="Times New Roman"/>
          <w:sz w:val="24"/>
          <w:szCs w:val="24"/>
          <w:lang w:val="en-GB" w:eastAsia="bg-BG"/>
        </w:rPr>
      </w:pPr>
      <w:r w:rsidRPr="002250E7">
        <w:rPr>
          <w:rFonts w:eastAsia="Times New Roman" w:cs="Times New Roman"/>
          <w:sz w:val="24"/>
          <w:szCs w:val="24"/>
          <w:lang w:val="en-GB" w:eastAsia="bg-BG"/>
        </w:rPr>
        <w:t xml:space="preserve">The needs of future digital data and computer systems are expected to be two to three orders of magnitude larger than for today's systems, to take account of unprecedented amounts of heterogeneous hardware, lines of source code, numbers of users, and volumes of data. </w:t>
      </w:r>
      <w:proofErr w:type="spellStart"/>
      <w:r w:rsidRPr="002250E7">
        <w:rPr>
          <w:rFonts w:eastAsia="Times New Roman" w:cs="Times New Roman"/>
          <w:sz w:val="24"/>
          <w:szCs w:val="24"/>
          <w:lang w:val="en-GB" w:eastAsia="bg-BG"/>
        </w:rPr>
        <w:t>Ultrascale</w:t>
      </w:r>
      <w:proofErr w:type="spellEnd"/>
      <w:r w:rsidRPr="002250E7">
        <w:rPr>
          <w:rFonts w:eastAsia="Times New Roman" w:cs="Times New Roman"/>
          <w:sz w:val="24"/>
          <w:szCs w:val="24"/>
          <w:lang w:val="en-GB" w:eastAsia="bg-BG"/>
        </w:rPr>
        <w:t xml:space="preserve"> computing systems (UCS) are a solution. Envisioned as large-scale complex systems joining parallel and distributed computing systems, which can be located at multiple sites and cooperate to provide the required resources and performance to the users, these technologies will extend individual systems to provide the resources that are very much needed. </w:t>
      </w:r>
    </w:p>
    <w:p w:rsidR="007B30C0" w:rsidRPr="002250E7" w:rsidRDefault="007B30C0" w:rsidP="007B30C0">
      <w:pPr>
        <w:spacing w:after="600"/>
        <w:rPr>
          <w:rFonts w:eastAsia="Times New Roman" w:cs="Times New Roman"/>
          <w:sz w:val="24"/>
          <w:szCs w:val="24"/>
          <w:lang w:val="en-GB" w:eastAsia="bg-BG"/>
        </w:rPr>
      </w:pPr>
      <w:r w:rsidRPr="002250E7">
        <w:rPr>
          <w:rFonts w:eastAsia="Times New Roman" w:cs="Times New Roman"/>
          <w:sz w:val="24"/>
          <w:szCs w:val="24"/>
          <w:lang w:val="en-GB" w:eastAsia="bg-BG"/>
        </w:rPr>
        <w:t xml:space="preserve">Based on the research work in the COST Action IC 1305 </w:t>
      </w:r>
      <w:hyperlink r:id="rId73" w:anchor="tabs|Name:overview" w:tgtFrame="_blank" w:history="1">
        <w:r w:rsidRPr="002250E7">
          <w:rPr>
            <w:rStyle w:val="Hyperlink"/>
            <w:rFonts w:eastAsia="Times New Roman" w:cs="Times New Roman"/>
            <w:sz w:val="24"/>
            <w:szCs w:val="24"/>
            <w:lang w:val="en-GB" w:eastAsia="bg-BG"/>
          </w:rPr>
          <w:t xml:space="preserve">Network for Sustainable </w:t>
        </w:r>
        <w:proofErr w:type="spellStart"/>
        <w:r w:rsidRPr="002250E7">
          <w:rPr>
            <w:rStyle w:val="Hyperlink"/>
            <w:rFonts w:eastAsia="Times New Roman" w:cs="Times New Roman"/>
            <w:sz w:val="24"/>
            <w:szCs w:val="24"/>
            <w:lang w:val="en-GB" w:eastAsia="bg-BG"/>
          </w:rPr>
          <w:t>Ultrascale</w:t>
        </w:r>
        <w:proofErr w:type="spellEnd"/>
        <w:r w:rsidRPr="002250E7">
          <w:rPr>
            <w:rStyle w:val="Hyperlink"/>
            <w:rFonts w:eastAsia="Times New Roman" w:cs="Times New Roman"/>
            <w:sz w:val="24"/>
            <w:szCs w:val="24"/>
            <w:lang w:val="en-GB" w:eastAsia="bg-BG"/>
          </w:rPr>
          <w:t xml:space="preserve"> Computing (NESUS)</w:t>
        </w:r>
      </w:hyperlink>
      <w:r w:rsidRPr="002250E7">
        <w:rPr>
          <w:rFonts w:eastAsia="Times New Roman" w:cs="Times New Roman"/>
          <w:sz w:val="24"/>
          <w:szCs w:val="24"/>
          <w:lang w:val="en-GB" w:eastAsia="bg-BG"/>
        </w:rPr>
        <w:t xml:space="preserve"> this book presents important results and methods towards achieving sustainable UCS. The authors present a wide range of emerging programming models that facilitate the task of scaling and extracting performance on continuously evolving platforms, while providing resilience and fault-tolerant mechanisms to tackle the increasing probability of failures throughout the entire software stack. These methods are needed to achieve scale handling, better programmability and adaptation to rapidly changing underlying computing architecture, data centric programming models, resilience, and energy-efficiency.</w:t>
      </w:r>
    </w:p>
    <w:p w:rsidR="005E1660" w:rsidRPr="002945FE" w:rsidRDefault="005E1660" w:rsidP="005E1660">
      <w:pPr>
        <w:pStyle w:val="Heading2"/>
        <w:ind w:left="426"/>
        <w:rPr>
          <w:rFonts w:eastAsia="Times New Roman"/>
          <w:lang w:val="en-US" w:eastAsia="bg-BG"/>
        </w:rPr>
      </w:pPr>
      <w:bookmarkStart w:id="29" w:name="_Toc11064672"/>
      <w:r w:rsidRPr="002945FE">
        <w:rPr>
          <w:rFonts w:eastAsia="Times New Roman"/>
          <w:lang w:val="en-US" w:eastAsia="bg-BG"/>
        </w:rPr>
        <w:t>CERN COURIER</w:t>
      </w:r>
      <w:bookmarkEnd w:id="29"/>
    </w:p>
    <w:p w:rsidR="00D329BB" w:rsidRDefault="007B30C0" w:rsidP="005E1660">
      <w:pPr>
        <w:spacing w:after="720"/>
        <w:rPr>
          <w:b/>
          <w:noProof/>
          <w:sz w:val="24"/>
          <w:szCs w:val="24"/>
          <w:lang w:val="en-US" w:eastAsia="bg-BG"/>
        </w:rPr>
      </w:pPr>
      <w:r w:rsidRPr="001A30DD">
        <w:rPr>
          <w:b/>
          <w:noProof/>
          <w:sz w:val="24"/>
          <w:szCs w:val="24"/>
          <w:lang w:eastAsia="bg-BG"/>
        </w:rPr>
        <w:drawing>
          <wp:anchor distT="0" distB="0" distL="114300" distR="114300" simplePos="0" relativeHeight="251706368" behindDoc="1" locked="0" layoutInCell="1" allowOverlap="1" wp14:anchorId="42496083" wp14:editId="14085058">
            <wp:simplePos x="0" y="0"/>
            <wp:positionH relativeFrom="column">
              <wp:posOffset>108585</wp:posOffset>
            </wp:positionH>
            <wp:positionV relativeFrom="paragraph">
              <wp:posOffset>76835</wp:posOffset>
            </wp:positionV>
            <wp:extent cx="1227600" cy="1846800"/>
            <wp:effectExtent l="0" t="0" r="0" b="1270"/>
            <wp:wrapThrough wrapText="bothSides">
              <wp:wrapPolygon edited="0">
                <wp:start x="0" y="0"/>
                <wp:lineTo x="0" y="21392"/>
                <wp:lineTo x="21120" y="21392"/>
                <wp:lineTo x="21120" y="0"/>
                <wp:lineTo x="0" y="0"/>
              </wp:wrapPolygon>
            </wp:wrapThrough>
            <wp:docPr id="17" name="Picture 17" descr="https://cerncourier.com/wp-content/uploads/2019/05/CCMayJun19_pOFCL-151x200.jpg">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19/05/CCMayJun19_pOFCL-151x200.jp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227600" cy="184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9BB" w:rsidRDefault="00D329BB" w:rsidP="005E1660">
      <w:pPr>
        <w:spacing w:after="720"/>
        <w:rPr>
          <w:b/>
          <w:noProof/>
          <w:sz w:val="24"/>
          <w:szCs w:val="24"/>
          <w:lang w:val="en-US" w:eastAsia="bg-BG"/>
        </w:rPr>
      </w:pPr>
    </w:p>
    <w:p w:rsidR="007B30C0" w:rsidRDefault="007B30C0" w:rsidP="007B30C0">
      <w:pPr>
        <w:spacing w:after="120"/>
        <w:rPr>
          <w:b/>
          <w:noProof/>
          <w:sz w:val="24"/>
          <w:szCs w:val="24"/>
          <w:lang w:val="en-US" w:eastAsia="bg-BG"/>
        </w:rPr>
      </w:pPr>
    </w:p>
    <w:p w:rsidR="00C30838" w:rsidRDefault="005E1660" w:rsidP="007B30C0">
      <w:pPr>
        <w:spacing w:after="720"/>
        <w:rPr>
          <w:b/>
          <w:noProof/>
          <w:sz w:val="24"/>
          <w:szCs w:val="24"/>
          <w:lang w:val="en-US" w:eastAsia="bg-BG"/>
        </w:rPr>
      </w:pPr>
      <w:r>
        <w:rPr>
          <w:b/>
          <w:noProof/>
          <w:sz w:val="24"/>
          <w:szCs w:val="24"/>
          <w:lang w:val="en-US" w:eastAsia="bg-BG"/>
        </w:rPr>
        <w:t>May</w:t>
      </w:r>
      <w:r w:rsidRPr="00981704">
        <w:rPr>
          <w:b/>
          <w:noProof/>
          <w:sz w:val="24"/>
          <w:szCs w:val="24"/>
          <w:lang w:val="en-US" w:eastAsia="bg-BG"/>
        </w:rPr>
        <w:t>/</w:t>
      </w:r>
      <w:r>
        <w:rPr>
          <w:b/>
          <w:noProof/>
          <w:sz w:val="24"/>
          <w:szCs w:val="24"/>
          <w:lang w:val="en-US" w:eastAsia="bg-BG"/>
        </w:rPr>
        <w:t>June</w:t>
      </w:r>
      <w:r w:rsidRPr="00981704">
        <w:rPr>
          <w:b/>
          <w:noProof/>
          <w:sz w:val="24"/>
          <w:szCs w:val="24"/>
          <w:lang w:val="en-US" w:eastAsia="bg-BG"/>
        </w:rPr>
        <w:t xml:space="preserve"> 2019</w:t>
      </w:r>
    </w:p>
    <w:p w:rsidR="00CD3914" w:rsidRPr="00CD3914" w:rsidRDefault="00CD3914" w:rsidP="0035614E">
      <w:pPr>
        <w:pStyle w:val="Heading2"/>
        <w:ind w:left="426"/>
        <w:rPr>
          <w:rFonts w:eastAsia="Times New Roman"/>
          <w:lang w:val="en" w:eastAsia="bg-BG"/>
        </w:rPr>
      </w:pPr>
      <w:bookmarkStart w:id="30" w:name="_Toc11064673"/>
      <w:r w:rsidRPr="00CD3914">
        <w:rPr>
          <w:rFonts w:eastAsia="Times New Roman"/>
          <w:lang w:val="en" w:eastAsia="bg-BG"/>
        </w:rPr>
        <w:t>Икономика на "Възродителния процес"</w:t>
      </w:r>
      <w:bookmarkEnd w:id="30"/>
      <w:r w:rsidRPr="00CD3914">
        <w:rPr>
          <w:rFonts w:eastAsia="Times New Roman"/>
          <w:lang w:val="en" w:eastAsia="bg-BG"/>
        </w:rPr>
        <w:t xml:space="preserve"> </w:t>
      </w:r>
    </w:p>
    <w:p w:rsidR="005E1660" w:rsidRDefault="005E1660" w:rsidP="00CD3914">
      <w:pPr>
        <w:rPr>
          <w:rFonts w:eastAsia="Times New Roman" w:cs="Times New Roman"/>
          <w:sz w:val="24"/>
          <w:szCs w:val="24"/>
          <w:lang w:val="en-US" w:eastAsia="bg-BG"/>
        </w:rPr>
      </w:pPr>
      <w:r w:rsidRPr="00CD3914">
        <w:rPr>
          <w:rFonts w:eastAsia="Times New Roman" w:cs="Times New Roman"/>
          <w:noProof/>
          <w:sz w:val="24"/>
          <w:szCs w:val="24"/>
          <w:lang w:eastAsia="bg-BG"/>
        </w:rPr>
        <w:drawing>
          <wp:anchor distT="93345" distB="93345" distL="93345" distR="93345" simplePos="0" relativeHeight="251702272" behindDoc="1" locked="0" layoutInCell="1" allowOverlap="0" wp14:anchorId="2C8EC715" wp14:editId="7C783543">
            <wp:simplePos x="0" y="0"/>
            <wp:positionH relativeFrom="column">
              <wp:posOffset>-18415</wp:posOffset>
            </wp:positionH>
            <wp:positionV relativeFrom="line">
              <wp:posOffset>259080</wp:posOffset>
            </wp:positionV>
            <wp:extent cx="1403985" cy="2023110"/>
            <wp:effectExtent l="0" t="0" r="5715" b="0"/>
            <wp:wrapThrough wrapText="bothSides">
              <wp:wrapPolygon edited="0">
                <wp:start x="0" y="0"/>
                <wp:lineTo x="0" y="21356"/>
                <wp:lineTo x="21395" y="21356"/>
                <wp:lineTo x="21395" y="0"/>
                <wp:lineTo x="0" y="0"/>
              </wp:wrapPolygon>
            </wp:wrapThrough>
            <wp:docPr id="4" name="Picture 4" descr="https://www.cas.bg/uploads/images/books/avramov_book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s.bg/uploads/images/books/avramov_book_cover.jp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03985" cy="202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1660" w:rsidRDefault="005E1660" w:rsidP="00CD3914">
      <w:pPr>
        <w:rPr>
          <w:rFonts w:eastAsia="Times New Roman" w:cs="Times New Roman"/>
          <w:sz w:val="24"/>
          <w:szCs w:val="24"/>
          <w:lang w:val="en-US" w:eastAsia="bg-BG"/>
        </w:rPr>
      </w:pPr>
    </w:p>
    <w:p w:rsidR="005E1660" w:rsidRDefault="005E1660" w:rsidP="00CD3914">
      <w:pPr>
        <w:rPr>
          <w:rFonts w:eastAsia="Times New Roman" w:cs="Times New Roman"/>
          <w:sz w:val="24"/>
          <w:szCs w:val="24"/>
          <w:lang w:val="en-US" w:eastAsia="bg-BG"/>
        </w:rPr>
      </w:pPr>
    </w:p>
    <w:p w:rsidR="005E1660" w:rsidRDefault="005E1660" w:rsidP="00CD3914">
      <w:pPr>
        <w:rPr>
          <w:rFonts w:eastAsia="Times New Roman" w:cs="Times New Roman"/>
          <w:sz w:val="24"/>
          <w:szCs w:val="24"/>
          <w:lang w:val="en-US" w:eastAsia="bg-BG"/>
        </w:rPr>
      </w:pPr>
    </w:p>
    <w:p w:rsidR="005E1660" w:rsidRDefault="005E1660" w:rsidP="005E1660">
      <w:pPr>
        <w:spacing w:after="0"/>
        <w:rPr>
          <w:rFonts w:eastAsia="Times New Roman" w:cs="Times New Roman"/>
          <w:sz w:val="24"/>
          <w:szCs w:val="24"/>
          <w:lang w:val="en-US" w:eastAsia="bg-BG"/>
        </w:rPr>
      </w:pPr>
    </w:p>
    <w:p w:rsidR="005E1660" w:rsidRDefault="005E1660" w:rsidP="005E1660">
      <w:pPr>
        <w:spacing w:after="0"/>
        <w:rPr>
          <w:rFonts w:eastAsia="Times New Roman" w:cs="Times New Roman"/>
          <w:sz w:val="24"/>
          <w:szCs w:val="24"/>
          <w:lang w:val="en-US" w:eastAsia="bg-BG"/>
        </w:rPr>
      </w:pPr>
    </w:p>
    <w:p w:rsidR="005E1660" w:rsidRDefault="005E1660" w:rsidP="005E1660">
      <w:pPr>
        <w:spacing w:after="0"/>
        <w:rPr>
          <w:rFonts w:eastAsia="Times New Roman" w:cs="Times New Roman"/>
          <w:sz w:val="24"/>
          <w:szCs w:val="24"/>
          <w:lang w:val="en-US" w:eastAsia="bg-BG"/>
        </w:rPr>
      </w:pPr>
    </w:p>
    <w:p w:rsidR="005E1660" w:rsidRDefault="005E1660" w:rsidP="005E1660">
      <w:pPr>
        <w:spacing w:after="0"/>
        <w:rPr>
          <w:rFonts w:eastAsia="Times New Roman" w:cs="Times New Roman"/>
          <w:sz w:val="24"/>
          <w:szCs w:val="24"/>
          <w:lang w:val="en-US" w:eastAsia="bg-BG"/>
        </w:rPr>
      </w:pPr>
      <w:r>
        <w:rPr>
          <w:rFonts w:eastAsia="Times New Roman" w:cs="Times New Roman"/>
          <w:sz w:val="24"/>
          <w:szCs w:val="24"/>
          <w:lang w:eastAsia="bg-BG"/>
        </w:rPr>
        <w:t>А</w:t>
      </w:r>
      <w:r w:rsidRPr="00CD3914">
        <w:rPr>
          <w:rFonts w:eastAsia="Times New Roman" w:cs="Times New Roman"/>
          <w:sz w:val="24"/>
          <w:szCs w:val="24"/>
          <w:lang w:eastAsia="bg-BG"/>
        </w:rPr>
        <w:t>втор: Румен Аврамов</w:t>
      </w:r>
    </w:p>
    <w:p w:rsidR="005E1660" w:rsidRPr="005E1660" w:rsidRDefault="005E1660" w:rsidP="00CD3914">
      <w:pPr>
        <w:rPr>
          <w:rFonts w:eastAsia="Times New Roman" w:cs="Times New Roman"/>
          <w:noProof/>
          <w:sz w:val="24"/>
          <w:szCs w:val="24"/>
          <w:lang w:val="ru-RU" w:eastAsia="bg-BG"/>
        </w:rPr>
      </w:pPr>
      <w:r w:rsidRPr="00CD3914">
        <w:rPr>
          <w:rFonts w:eastAsia="Times New Roman" w:cs="Times New Roman"/>
          <w:sz w:val="24"/>
          <w:szCs w:val="24"/>
          <w:lang w:eastAsia="bg-BG"/>
        </w:rPr>
        <w:t>Издател: ЦАИ/Издателство "Рива</w:t>
      </w:r>
      <w:r w:rsidRPr="00CD3914">
        <w:rPr>
          <w:rFonts w:eastAsia="Times New Roman" w:cs="Times New Roman"/>
          <w:noProof/>
          <w:sz w:val="24"/>
          <w:szCs w:val="24"/>
          <w:lang w:eastAsia="bg-BG"/>
        </w:rPr>
        <w:t xml:space="preserve"> </w:t>
      </w:r>
    </w:p>
    <w:p w:rsidR="005E1660" w:rsidRPr="008E2DB3" w:rsidRDefault="00CD3914" w:rsidP="005E1660">
      <w:pPr>
        <w:spacing w:after="120"/>
        <w:rPr>
          <w:rFonts w:eastAsia="Times New Roman" w:cs="Times New Roman"/>
          <w:sz w:val="24"/>
          <w:szCs w:val="24"/>
          <w:lang w:val="ru-RU" w:eastAsia="bg-BG"/>
        </w:rPr>
      </w:pPr>
      <w:r w:rsidRPr="00CD3914">
        <w:rPr>
          <w:rFonts w:eastAsia="Times New Roman" w:cs="Times New Roman"/>
          <w:sz w:val="24"/>
          <w:szCs w:val="24"/>
          <w:lang w:val="ru-RU" w:eastAsia="bg-BG"/>
        </w:rPr>
        <w:t>„Възродителният процес" (1984-1989 г.) е оставил дълбок</w:t>
      </w:r>
      <w:r w:rsidR="0035614E">
        <w:rPr>
          <w:rFonts w:eastAsia="Times New Roman" w:cs="Times New Roman"/>
          <w:sz w:val="24"/>
          <w:szCs w:val="24"/>
          <w:lang w:val="ru-RU" w:eastAsia="bg-BG"/>
        </w:rPr>
        <w:t>а следа</w:t>
      </w:r>
      <w:r w:rsidRPr="00CD3914">
        <w:rPr>
          <w:rFonts w:eastAsia="Times New Roman" w:cs="Times New Roman"/>
          <w:sz w:val="24"/>
          <w:szCs w:val="24"/>
          <w:lang w:val="ru-RU" w:eastAsia="bg-BG"/>
        </w:rPr>
        <w:t xml:space="preserve"> в българската колективна памет. Волно или неволно, обществото се връща към не</w:t>
      </w:r>
      <w:r w:rsidR="0035614E">
        <w:rPr>
          <w:rFonts w:eastAsia="Times New Roman" w:cs="Times New Roman"/>
          <w:sz w:val="24"/>
          <w:szCs w:val="24"/>
          <w:lang w:val="ru-RU" w:eastAsia="bg-BG"/>
        </w:rPr>
        <w:t>я</w:t>
      </w:r>
      <w:r w:rsidRPr="00CD3914">
        <w:rPr>
          <w:rFonts w:eastAsia="Times New Roman" w:cs="Times New Roman"/>
          <w:sz w:val="24"/>
          <w:szCs w:val="24"/>
          <w:lang w:val="ru-RU" w:eastAsia="bg-BG"/>
        </w:rPr>
        <w:t xml:space="preserve"> по различни поводи, за да установи всеки път колко разнопосочни са реалиите на този непознат по замаха си епизод на зловещо социално инженерство. Асимилационната кампания срещу турското малцинство в страната и крахът на начинанието са осмисляни от не една гледна точка, но в знанието за събитията все още остават сиви зони.</w:t>
      </w:r>
    </w:p>
    <w:p w:rsidR="00CD3914" w:rsidRDefault="00CD3914" w:rsidP="009C542B">
      <w:pPr>
        <w:spacing w:after="120"/>
        <w:rPr>
          <w:rFonts w:eastAsia="Times New Roman" w:cs="Times New Roman"/>
          <w:sz w:val="24"/>
          <w:szCs w:val="24"/>
          <w:lang w:val="ru-RU" w:eastAsia="bg-BG"/>
        </w:rPr>
      </w:pPr>
      <w:r w:rsidRPr="00CD3914">
        <w:rPr>
          <w:rFonts w:eastAsia="Times New Roman" w:cs="Times New Roman"/>
          <w:sz w:val="24"/>
          <w:szCs w:val="24"/>
          <w:lang w:val="ru-RU" w:eastAsia="bg-BG"/>
        </w:rPr>
        <w:t xml:space="preserve">Книгата навлиза в по-слабо проучените икономически пластове, прочитайки случилото се през неговите стопански аспекти. Тя търси да структурира и оразмери цената, платена за агресивната политика спрямо българските турци. В общ план „Възродителният процес" изпъква най-вече като решаващ катализатор на Големия взрив, довел до окончателния разпад на комунистическия режим у нас. Под напора на острия етнически конфликт системата се срива в условия, които едновременно разлагат необратимо плановия стопански ред и възкресяват най-ретроградните методи на „военния комунизъм". А пейзажът след битката оставя наследство, повлияло осезаемо върху стопанската култура на последвалия преход. </w:t>
      </w:r>
    </w:p>
    <w:p w:rsidR="005E1660" w:rsidRDefault="008E0A6B" w:rsidP="005E1660">
      <w:pPr>
        <w:spacing w:after="600"/>
        <w:rPr>
          <w:lang w:val="ru-RU" w:eastAsia="bg-BG"/>
        </w:rPr>
      </w:pPr>
      <w:hyperlink r:id="rId77" w:tooltip="Икономика на &quot;Възродителния процес&quot; " w:history="1">
        <w:r w:rsidR="00CD3914" w:rsidRPr="00CD3914">
          <w:rPr>
            <w:rStyle w:val="Hyperlink"/>
            <w:rFonts w:eastAsia="Times New Roman" w:cs="Times New Roman"/>
            <w:b/>
            <w:bCs/>
            <w:noProof/>
            <w:sz w:val="24"/>
            <w:szCs w:val="24"/>
            <w:lang w:eastAsia="bg-BG"/>
          </w:rPr>
          <w:drawing>
            <wp:inline distT="0" distB="0" distL="0" distR="0" wp14:anchorId="75D1AED8" wp14:editId="082D7A73">
              <wp:extent cx="151130" cy="151130"/>
              <wp:effectExtent l="0" t="0" r="1270" b="1270"/>
              <wp:docPr id="2" name="Picture 2" descr="https://www.cas.bg/images/fileicons/pdf_file.gif">
                <a:hlinkClick xmlns:a="http://schemas.openxmlformats.org/drawingml/2006/main" r:id="rId77" tooltip="'Икономика на &quot;Възродителния процес&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s.bg/images/fileicons/pdf_file.gif">
                        <a:hlinkClick r:id="rId77" tooltip="'Икономика на &quot;Възродителния процес&quot; '"/>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00CD3914" w:rsidRPr="00CD3914">
          <w:rPr>
            <w:rStyle w:val="Hyperlink"/>
            <w:rFonts w:eastAsia="Times New Roman" w:cs="Times New Roman"/>
            <w:b/>
            <w:bCs/>
            <w:sz w:val="24"/>
            <w:szCs w:val="24"/>
            <w:lang w:val="ru-RU" w:eastAsia="bg-BG"/>
          </w:rPr>
          <w:t xml:space="preserve">Икономика на "Възродителния процес" </w:t>
        </w:r>
      </w:hyperlink>
      <w:r w:rsidR="00CD3914" w:rsidRPr="00CD3914">
        <w:rPr>
          <w:rFonts w:eastAsia="Times New Roman" w:cs="Times New Roman"/>
          <w:sz w:val="24"/>
          <w:szCs w:val="24"/>
          <w:lang w:val="ru-RU" w:eastAsia="bg-BG"/>
        </w:rPr>
        <w:t xml:space="preserve">(~9.27 </w:t>
      </w:r>
      <w:r w:rsidR="00CD3914" w:rsidRPr="00CD3914">
        <w:rPr>
          <w:rFonts w:eastAsia="Times New Roman" w:cs="Times New Roman"/>
          <w:sz w:val="24"/>
          <w:szCs w:val="24"/>
          <w:lang w:val="en" w:eastAsia="bg-BG"/>
        </w:rPr>
        <w:t>MB</w:t>
      </w:r>
      <w:r w:rsidR="00CD3914" w:rsidRPr="00CD3914">
        <w:rPr>
          <w:rFonts w:eastAsia="Times New Roman" w:cs="Times New Roman"/>
          <w:sz w:val="24"/>
          <w:szCs w:val="24"/>
          <w:lang w:val="ru-RU" w:eastAsia="bg-BG"/>
        </w:rPr>
        <w:t xml:space="preserve">) </w:t>
      </w:r>
    </w:p>
    <w:p w:rsidR="006D65A7" w:rsidRPr="006D65A7" w:rsidRDefault="006D65A7" w:rsidP="0035614E">
      <w:pPr>
        <w:pStyle w:val="Heading2"/>
        <w:ind w:left="426"/>
        <w:rPr>
          <w:rFonts w:eastAsia="Times New Roman"/>
          <w:lang w:val="ru-RU" w:eastAsia="bg-BG"/>
        </w:rPr>
      </w:pPr>
      <w:bookmarkStart w:id="31" w:name="_Toc11064674"/>
      <w:r w:rsidRPr="006D65A7">
        <w:rPr>
          <w:rFonts w:eastAsia="Times New Roman"/>
          <w:lang w:val="ru-RU" w:eastAsia="bg-BG"/>
        </w:rPr>
        <w:t>Тялото при социализма - режими и репрезентации</w:t>
      </w:r>
      <w:bookmarkEnd w:id="31"/>
    </w:p>
    <w:tbl>
      <w:tblPr>
        <w:tblW w:w="0" w:type="auto"/>
        <w:tblCellSpacing w:w="0" w:type="dxa"/>
        <w:tblCellMar>
          <w:left w:w="0" w:type="dxa"/>
          <w:right w:w="0" w:type="dxa"/>
        </w:tblCellMar>
        <w:tblLook w:val="04A0" w:firstRow="1" w:lastRow="0" w:firstColumn="1" w:lastColumn="0" w:noHBand="0" w:noVBand="1"/>
      </w:tblPr>
      <w:tblGrid>
        <w:gridCol w:w="2250"/>
        <w:gridCol w:w="4581"/>
      </w:tblGrid>
      <w:tr w:rsidR="006D65A7" w:rsidRPr="006D65A7" w:rsidTr="006D65A7">
        <w:trPr>
          <w:tblCellSpacing w:w="0" w:type="dxa"/>
        </w:trPr>
        <w:tc>
          <w:tcPr>
            <w:tcW w:w="0" w:type="auto"/>
            <w:vMerge w:val="restart"/>
            <w:hideMark/>
          </w:tcPr>
          <w:p w:rsidR="006D65A7" w:rsidRPr="006D65A7" w:rsidRDefault="0035614E" w:rsidP="006D65A7">
            <w:pPr>
              <w:rPr>
                <w:rFonts w:eastAsia="Times New Roman" w:cs="Times New Roman"/>
                <w:sz w:val="24"/>
                <w:szCs w:val="24"/>
                <w:lang w:eastAsia="bg-BG"/>
              </w:rPr>
            </w:pPr>
            <w:r w:rsidRPr="006D65A7">
              <w:rPr>
                <w:rFonts w:eastAsia="Times New Roman" w:cs="Times New Roman"/>
                <w:noProof/>
                <w:sz w:val="24"/>
                <w:szCs w:val="24"/>
                <w:lang w:eastAsia="bg-BG"/>
              </w:rPr>
              <w:drawing>
                <wp:anchor distT="95250" distB="95250" distL="95250" distR="95250" simplePos="0" relativeHeight="251704320" behindDoc="0" locked="0" layoutInCell="1" allowOverlap="0" wp14:anchorId="1C966F7F" wp14:editId="52402970">
                  <wp:simplePos x="0" y="0"/>
                  <wp:positionH relativeFrom="column">
                    <wp:posOffset>3175</wp:posOffset>
                  </wp:positionH>
                  <wp:positionV relativeFrom="line">
                    <wp:posOffset>54610</wp:posOffset>
                  </wp:positionV>
                  <wp:extent cx="1428750" cy="2076450"/>
                  <wp:effectExtent l="0" t="0" r="0" b="0"/>
                  <wp:wrapSquare wrapText="bothSides"/>
                  <wp:docPr id="12" name="Picture 12" descr="https://www.cas.bg/uploads/images/books/body_under_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as.bg/uploads/images/books/body_under_soc.jpg"/>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2875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hideMark/>
          </w:tcPr>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35614E" w:rsidRDefault="0035614E" w:rsidP="006D65A7">
            <w:pPr>
              <w:rPr>
                <w:rFonts w:eastAsia="Times New Roman" w:cs="Times New Roman"/>
                <w:sz w:val="24"/>
                <w:szCs w:val="24"/>
                <w:lang w:eastAsia="bg-BG"/>
              </w:rPr>
            </w:pPr>
          </w:p>
          <w:p w:rsidR="006D65A7" w:rsidRPr="006D65A7" w:rsidRDefault="006D65A7" w:rsidP="0035614E">
            <w:pPr>
              <w:rPr>
                <w:rFonts w:eastAsia="Times New Roman" w:cs="Times New Roman"/>
                <w:sz w:val="24"/>
                <w:szCs w:val="24"/>
                <w:lang w:eastAsia="bg-BG"/>
              </w:rPr>
            </w:pPr>
            <w:r w:rsidRPr="006D65A7">
              <w:rPr>
                <w:rFonts w:eastAsia="Times New Roman" w:cs="Times New Roman"/>
                <w:sz w:val="24"/>
                <w:szCs w:val="24"/>
                <w:lang w:eastAsia="bg-BG"/>
              </w:rPr>
              <w:t>Съставителство и редакц</w:t>
            </w:r>
            <w:r w:rsidR="0035614E">
              <w:rPr>
                <w:rFonts w:eastAsia="Times New Roman" w:cs="Times New Roman"/>
                <w:sz w:val="24"/>
                <w:szCs w:val="24"/>
                <w:lang w:eastAsia="bg-BG"/>
              </w:rPr>
              <w:t>ия: Даниела Колева</w:t>
            </w:r>
            <w:r w:rsidR="0035614E">
              <w:rPr>
                <w:rFonts w:eastAsia="Times New Roman" w:cs="Times New Roman"/>
                <w:sz w:val="24"/>
                <w:szCs w:val="24"/>
                <w:lang w:eastAsia="bg-BG"/>
              </w:rPr>
              <w:br/>
              <w:t>Издател: ЦАИ</w:t>
            </w:r>
            <w:r w:rsidRPr="006D65A7">
              <w:rPr>
                <w:rFonts w:eastAsia="Times New Roman" w:cs="Times New Roman"/>
                <w:sz w:val="24"/>
                <w:szCs w:val="24"/>
                <w:lang w:eastAsia="bg-BG"/>
              </w:rPr>
              <w:t>/ Издателство "Рива"</w:t>
            </w:r>
            <w:r w:rsidRPr="006D65A7">
              <w:rPr>
                <w:rFonts w:eastAsia="Times New Roman" w:cs="Times New Roman"/>
                <w:sz w:val="24"/>
                <w:szCs w:val="24"/>
                <w:lang w:eastAsia="bg-BG"/>
              </w:rPr>
              <w:br/>
            </w:r>
          </w:p>
        </w:tc>
      </w:tr>
      <w:tr w:rsidR="006D65A7" w:rsidRPr="006D65A7" w:rsidTr="006D65A7">
        <w:trPr>
          <w:gridAfter w:val="1"/>
          <w:trHeight w:val="517"/>
          <w:tblCellSpacing w:w="0" w:type="dxa"/>
        </w:trPr>
        <w:tc>
          <w:tcPr>
            <w:tcW w:w="0" w:type="auto"/>
            <w:vMerge/>
            <w:vAlign w:val="center"/>
            <w:hideMark/>
          </w:tcPr>
          <w:p w:rsidR="006D65A7" w:rsidRPr="006D65A7" w:rsidRDefault="006D65A7" w:rsidP="006D65A7">
            <w:pPr>
              <w:rPr>
                <w:rFonts w:eastAsia="Times New Roman" w:cs="Times New Roman"/>
                <w:sz w:val="24"/>
                <w:szCs w:val="24"/>
                <w:lang w:eastAsia="bg-BG"/>
              </w:rPr>
            </w:pPr>
          </w:p>
        </w:tc>
      </w:tr>
    </w:tbl>
    <w:p w:rsidR="006D65A7" w:rsidRPr="006D65A7" w:rsidRDefault="006D65A7" w:rsidP="005E1660">
      <w:pPr>
        <w:spacing w:after="120"/>
        <w:rPr>
          <w:rFonts w:eastAsia="Times New Roman" w:cs="Times New Roman"/>
          <w:sz w:val="24"/>
          <w:szCs w:val="24"/>
          <w:lang w:val="ru-RU" w:eastAsia="bg-BG"/>
        </w:rPr>
      </w:pPr>
      <w:r w:rsidRPr="006D65A7">
        <w:rPr>
          <w:rFonts w:eastAsia="Times New Roman" w:cs="Times New Roman"/>
          <w:sz w:val="24"/>
          <w:szCs w:val="24"/>
          <w:lang w:val="ru-RU" w:eastAsia="bg-BG"/>
        </w:rPr>
        <w:t xml:space="preserve">Макар да изглеждат биологични константи, телата са всъщност исторични, културно ситуирани и опосредствани. Ето защо са основателни въпросите за тялото и телесността, за репрезентациите и режимите на телесност при социализма. Какви са преплитанията и взаимодействията между социалното и телесното, как символният ред се транспонира в соматичен? </w:t>
      </w:r>
    </w:p>
    <w:p w:rsidR="006D65A7" w:rsidRPr="006D65A7" w:rsidRDefault="006D65A7" w:rsidP="006D65A7">
      <w:pPr>
        <w:rPr>
          <w:rFonts w:eastAsia="Times New Roman" w:cs="Times New Roman"/>
          <w:sz w:val="24"/>
          <w:szCs w:val="24"/>
          <w:lang w:val="ru-RU" w:eastAsia="bg-BG"/>
        </w:rPr>
      </w:pPr>
      <w:r w:rsidRPr="006D65A7">
        <w:rPr>
          <w:rFonts w:eastAsia="Times New Roman" w:cs="Times New Roman"/>
          <w:sz w:val="24"/>
          <w:szCs w:val="24"/>
          <w:lang w:val="ru-RU" w:eastAsia="bg-BG"/>
        </w:rPr>
        <w:t xml:space="preserve">Авторите в този том подхождат към темата през различни аспекти на биополитическото въображаемо: от научните теоретизации и произтичащите от тях медицински и възпитателни практики, през юридическия и институционалния дискурс около здравето и възпроизводството, до усилията за моделиране на потреблението и, най-сетне, до метафориката на телесността в тогавашния мемориален пейзаж. Те питат за дневния ред, наложил модела и режимите на социалистическата телесност, както и за промените на този модел и тези режими през годините; за причините и начините, по които се постигат дисциплиниранията, нормализациите и стилизациите на тялото. В своята съвкупност изследванията демонстрират, че като вместилище на смисли тялото няма непосредствена политическа принадлежност и тъкмо поради това може да носи ефикасни политически и идеологически послания. </w:t>
      </w:r>
    </w:p>
    <w:p w:rsidR="006D65A7" w:rsidRDefault="006D65A7" w:rsidP="0007095F">
      <w:pPr>
        <w:rPr>
          <w:rFonts w:eastAsia="Times New Roman" w:cs="Times New Roman"/>
          <w:sz w:val="24"/>
          <w:szCs w:val="24"/>
          <w:lang w:val="ru-RU" w:eastAsia="bg-BG"/>
        </w:rPr>
      </w:pPr>
    </w:p>
    <w:p w:rsidR="002250E7" w:rsidRPr="00033720" w:rsidRDefault="002250E7" w:rsidP="0007095F">
      <w:pPr>
        <w:rPr>
          <w:rFonts w:eastAsia="Times New Roman" w:cs="Times New Roman"/>
          <w:sz w:val="24"/>
          <w:szCs w:val="24"/>
          <w:lang w:eastAsia="bg-BG"/>
        </w:rPr>
      </w:pPr>
    </w:p>
    <w:sectPr w:rsidR="002250E7" w:rsidRPr="00033720" w:rsidSect="002852EF">
      <w:foot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A6B" w:rsidRDefault="008E0A6B" w:rsidP="003B2D94">
      <w:pPr>
        <w:spacing w:after="0" w:line="240" w:lineRule="auto"/>
      </w:pPr>
      <w:r>
        <w:separator/>
      </w:r>
    </w:p>
  </w:endnote>
  <w:endnote w:type="continuationSeparator" w:id="0">
    <w:p w:rsidR="008E0A6B" w:rsidRDefault="008E0A6B"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75494">
      <w:tc>
        <w:tcPr>
          <w:tcW w:w="4500" w:type="pct"/>
          <w:tcBorders>
            <w:top w:val="single" w:sz="4" w:space="0" w:color="000000" w:themeColor="text1"/>
          </w:tcBorders>
        </w:tcPr>
        <w:p w:rsidR="00675494" w:rsidRPr="00D22505" w:rsidRDefault="0067549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675494" w:rsidRDefault="00675494">
          <w:pPr>
            <w:pStyle w:val="Header"/>
            <w:rPr>
              <w:color w:val="FFFFFF" w:themeColor="background1"/>
            </w:rPr>
          </w:pPr>
          <w:r>
            <w:fldChar w:fldCharType="begin"/>
          </w:r>
          <w:r>
            <w:instrText xml:space="preserve"> PAGE   \* MERGEFORMAT </w:instrText>
          </w:r>
          <w:r>
            <w:fldChar w:fldCharType="separate"/>
          </w:r>
          <w:r w:rsidR="00AF217C" w:rsidRPr="00AF217C">
            <w:rPr>
              <w:noProof/>
              <w:color w:val="FFFFFF" w:themeColor="background1"/>
            </w:rPr>
            <w:t>2</w:t>
          </w:r>
          <w:r>
            <w:rPr>
              <w:noProof/>
              <w:color w:val="FFFFFF" w:themeColor="background1"/>
            </w:rPr>
            <w:fldChar w:fldCharType="end"/>
          </w:r>
        </w:p>
      </w:tc>
    </w:tr>
  </w:tbl>
  <w:p w:rsidR="00675494" w:rsidRDefault="00675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75494">
      <w:tc>
        <w:tcPr>
          <w:tcW w:w="4500" w:type="pct"/>
          <w:tcBorders>
            <w:top w:val="single" w:sz="4" w:space="0" w:color="000000" w:themeColor="text1"/>
          </w:tcBorders>
        </w:tcPr>
        <w:p w:rsidR="00675494" w:rsidRPr="00D22505" w:rsidRDefault="0067549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675494" w:rsidRDefault="00675494">
          <w:pPr>
            <w:pStyle w:val="Header"/>
            <w:rPr>
              <w:color w:val="FFFFFF" w:themeColor="background1"/>
            </w:rPr>
          </w:pPr>
          <w:r>
            <w:fldChar w:fldCharType="begin"/>
          </w:r>
          <w:r>
            <w:instrText xml:space="preserve"> PAGE   \* MERGEFORMAT </w:instrText>
          </w:r>
          <w:r>
            <w:fldChar w:fldCharType="separate"/>
          </w:r>
          <w:r w:rsidR="00AF217C" w:rsidRPr="00AF217C">
            <w:rPr>
              <w:noProof/>
              <w:color w:val="FFFFFF" w:themeColor="background1"/>
            </w:rPr>
            <w:t>6</w:t>
          </w:r>
          <w:r>
            <w:rPr>
              <w:noProof/>
              <w:color w:val="FFFFFF" w:themeColor="background1"/>
            </w:rPr>
            <w:fldChar w:fldCharType="end"/>
          </w:r>
        </w:p>
      </w:tc>
    </w:tr>
  </w:tbl>
  <w:p w:rsidR="00675494" w:rsidRDefault="00675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675494" w:rsidTr="00D22505">
      <w:tc>
        <w:tcPr>
          <w:tcW w:w="4500" w:type="pct"/>
          <w:tcBorders>
            <w:top w:val="single" w:sz="4" w:space="0" w:color="000000" w:themeColor="text1"/>
          </w:tcBorders>
        </w:tcPr>
        <w:p w:rsidR="00675494" w:rsidRPr="00D22505" w:rsidRDefault="0067549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675494" w:rsidRDefault="00675494">
          <w:pPr>
            <w:pStyle w:val="Header"/>
            <w:rPr>
              <w:color w:val="FFFFFF" w:themeColor="background1"/>
            </w:rPr>
          </w:pPr>
          <w:r>
            <w:fldChar w:fldCharType="begin"/>
          </w:r>
          <w:r>
            <w:instrText xml:space="preserve"> PAGE   \* MERGEFORMAT </w:instrText>
          </w:r>
          <w:r>
            <w:fldChar w:fldCharType="separate"/>
          </w:r>
          <w:r w:rsidR="00AF217C" w:rsidRPr="00AF217C">
            <w:rPr>
              <w:noProof/>
              <w:color w:val="FFFFFF" w:themeColor="background1"/>
            </w:rPr>
            <w:t>14</w:t>
          </w:r>
          <w:r>
            <w:rPr>
              <w:noProof/>
              <w:color w:val="FFFFFF" w:themeColor="background1"/>
            </w:rPr>
            <w:fldChar w:fldCharType="end"/>
          </w:r>
        </w:p>
      </w:tc>
    </w:tr>
  </w:tbl>
  <w:p w:rsidR="00675494" w:rsidRDefault="006754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675494" w:rsidTr="00D22505">
      <w:tc>
        <w:tcPr>
          <w:tcW w:w="4500" w:type="pct"/>
          <w:tcBorders>
            <w:top w:val="single" w:sz="4" w:space="0" w:color="000000" w:themeColor="text1"/>
          </w:tcBorders>
        </w:tcPr>
        <w:p w:rsidR="00675494" w:rsidRPr="00D22505" w:rsidRDefault="0067549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675494" w:rsidRDefault="00675494">
          <w:pPr>
            <w:pStyle w:val="Header"/>
            <w:rPr>
              <w:color w:val="FFFFFF" w:themeColor="background1"/>
            </w:rPr>
          </w:pPr>
          <w:r>
            <w:fldChar w:fldCharType="begin"/>
          </w:r>
          <w:r>
            <w:instrText xml:space="preserve"> PAGE   \* MERGEFORMAT </w:instrText>
          </w:r>
          <w:r>
            <w:fldChar w:fldCharType="separate"/>
          </w:r>
          <w:r w:rsidR="00AF217C" w:rsidRPr="00AF217C">
            <w:rPr>
              <w:noProof/>
              <w:color w:val="FFFFFF" w:themeColor="background1"/>
            </w:rPr>
            <w:t>19</w:t>
          </w:r>
          <w:r>
            <w:rPr>
              <w:noProof/>
              <w:color w:val="FFFFFF" w:themeColor="background1"/>
            </w:rPr>
            <w:fldChar w:fldCharType="end"/>
          </w:r>
        </w:p>
      </w:tc>
    </w:tr>
  </w:tbl>
  <w:p w:rsidR="00675494" w:rsidRDefault="0067549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75494" w:rsidTr="00413D6F">
      <w:tc>
        <w:tcPr>
          <w:tcW w:w="4500" w:type="pct"/>
          <w:tcBorders>
            <w:top w:val="single" w:sz="4" w:space="0" w:color="000000" w:themeColor="text1"/>
          </w:tcBorders>
        </w:tcPr>
        <w:p w:rsidR="00675494" w:rsidRPr="00D22505" w:rsidRDefault="00675494">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675494" w:rsidRDefault="00675494">
          <w:pPr>
            <w:pStyle w:val="Header"/>
            <w:rPr>
              <w:color w:val="FFFFFF" w:themeColor="background1"/>
            </w:rPr>
          </w:pPr>
          <w:r>
            <w:fldChar w:fldCharType="begin"/>
          </w:r>
          <w:r>
            <w:instrText xml:space="preserve"> PAGE   \* MERGEFORMAT </w:instrText>
          </w:r>
          <w:r>
            <w:fldChar w:fldCharType="separate"/>
          </w:r>
          <w:r w:rsidR="00AF217C" w:rsidRPr="00AF217C">
            <w:rPr>
              <w:noProof/>
              <w:color w:val="FFFFFF" w:themeColor="background1"/>
            </w:rPr>
            <w:t>24</w:t>
          </w:r>
          <w:r>
            <w:rPr>
              <w:noProof/>
              <w:color w:val="FFFFFF" w:themeColor="background1"/>
            </w:rPr>
            <w:fldChar w:fldCharType="end"/>
          </w:r>
        </w:p>
      </w:tc>
    </w:tr>
  </w:tbl>
  <w:p w:rsidR="00675494" w:rsidRDefault="0067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A6B" w:rsidRDefault="008E0A6B" w:rsidP="003B2D94">
      <w:pPr>
        <w:spacing w:after="0" w:line="240" w:lineRule="auto"/>
      </w:pPr>
      <w:r>
        <w:separator/>
      </w:r>
    </w:p>
  </w:footnote>
  <w:footnote w:type="continuationSeparator" w:id="0">
    <w:p w:rsidR="008E0A6B" w:rsidRDefault="008E0A6B"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001127D0"/>
    <w:multiLevelType w:val="multilevel"/>
    <w:tmpl w:val="3492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D664C"/>
    <w:multiLevelType w:val="multilevel"/>
    <w:tmpl w:val="7104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506D0"/>
    <w:multiLevelType w:val="multilevel"/>
    <w:tmpl w:val="2D36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22972"/>
    <w:multiLevelType w:val="multilevel"/>
    <w:tmpl w:val="65B8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A633A"/>
    <w:multiLevelType w:val="multilevel"/>
    <w:tmpl w:val="CD16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2707FB"/>
    <w:multiLevelType w:val="hybridMultilevel"/>
    <w:tmpl w:val="B634596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102632E4"/>
    <w:multiLevelType w:val="multilevel"/>
    <w:tmpl w:val="3214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77314"/>
    <w:multiLevelType w:val="hybridMultilevel"/>
    <w:tmpl w:val="D5909150"/>
    <w:lvl w:ilvl="0" w:tplc="7FC8A26C">
      <w:start w:val="1"/>
      <w:numFmt w:val="bullet"/>
      <w:pStyle w:val="Heading2"/>
      <w:lvlText w:val=""/>
      <w:lvlJc w:val="left"/>
      <w:pPr>
        <w:ind w:left="502"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9" w15:restartNumberingAfterBreak="0">
    <w:nsid w:val="1D0204A9"/>
    <w:multiLevelType w:val="multilevel"/>
    <w:tmpl w:val="CF58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71A11"/>
    <w:multiLevelType w:val="multilevel"/>
    <w:tmpl w:val="4DD0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52218"/>
    <w:multiLevelType w:val="multilevel"/>
    <w:tmpl w:val="355C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11A64"/>
    <w:multiLevelType w:val="multilevel"/>
    <w:tmpl w:val="6260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0F03E0"/>
    <w:multiLevelType w:val="hybridMultilevel"/>
    <w:tmpl w:val="9EF6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364EE"/>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BC651E"/>
    <w:multiLevelType w:val="multilevel"/>
    <w:tmpl w:val="049C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21BE4"/>
    <w:multiLevelType w:val="multilevel"/>
    <w:tmpl w:val="83F6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E0FBE"/>
    <w:multiLevelType w:val="hybridMultilevel"/>
    <w:tmpl w:val="4448E4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86B1353"/>
    <w:multiLevelType w:val="hybridMultilevel"/>
    <w:tmpl w:val="0520D7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92F0243"/>
    <w:multiLevelType w:val="multilevel"/>
    <w:tmpl w:val="C2D4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7526A"/>
    <w:multiLevelType w:val="multilevel"/>
    <w:tmpl w:val="C3E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95C88"/>
    <w:multiLevelType w:val="multilevel"/>
    <w:tmpl w:val="47FA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03A41"/>
    <w:multiLevelType w:val="multilevel"/>
    <w:tmpl w:val="2154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E9A019A"/>
    <w:multiLevelType w:val="multilevel"/>
    <w:tmpl w:val="5C6C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5B008D"/>
    <w:multiLevelType w:val="multilevel"/>
    <w:tmpl w:val="8BA8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C53561"/>
    <w:multiLevelType w:val="hybridMultilevel"/>
    <w:tmpl w:val="10561A9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15:restartNumberingAfterBreak="0">
    <w:nsid w:val="68CC2FE9"/>
    <w:multiLevelType w:val="multilevel"/>
    <w:tmpl w:val="5CDA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56C34"/>
    <w:multiLevelType w:val="multilevel"/>
    <w:tmpl w:val="9378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2945A3"/>
    <w:multiLevelType w:val="multilevel"/>
    <w:tmpl w:val="75C6C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294C23"/>
    <w:multiLevelType w:val="multilevel"/>
    <w:tmpl w:val="3944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5C59B3"/>
    <w:multiLevelType w:val="multilevel"/>
    <w:tmpl w:val="DDC6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157E8"/>
    <w:multiLevelType w:val="multilevel"/>
    <w:tmpl w:val="6AFC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124A10"/>
    <w:multiLevelType w:val="multilevel"/>
    <w:tmpl w:val="3464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4"/>
  </w:num>
  <w:num w:numId="3">
    <w:abstractNumId w:val="3"/>
  </w:num>
  <w:num w:numId="4">
    <w:abstractNumId w:val="15"/>
  </w:num>
  <w:num w:numId="5">
    <w:abstractNumId w:val="13"/>
  </w:num>
  <w:num w:numId="6">
    <w:abstractNumId w:val="34"/>
  </w:num>
  <w:num w:numId="7">
    <w:abstractNumId w:val="29"/>
  </w:num>
  <w:num w:numId="8">
    <w:abstractNumId w:val="18"/>
  </w:num>
  <w:num w:numId="9">
    <w:abstractNumId w:val="14"/>
  </w:num>
  <w:num w:numId="10">
    <w:abstractNumId w:val="30"/>
  </w:num>
  <w:num w:numId="11">
    <w:abstractNumId w:val="17"/>
  </w:num>
  <w:num w:numId="12">
    <w:abstractNumId w:val="7"/>
  </w:num>
  <w:num w:numId="13">
    <w:abstractNumId w:val="21"/>
  </w:num>
  <w:num w:numId="14">
    <w:abstractNumId w:val="12"/>
  </w:num>
  <w:num w:numId="15">
    <w:abstractNumId w:val="32"/>
  </w:num>
  <w:num w:numId="16">
    <w:abstractNumId w:val="2"/>
  </w:num>
  <w:num w:numId="17">
    <w:abstractNumId w:val="10"/>
  </w:num>
  <w:num w:numId="18">
    <w:abstractNumId w:val="27"/>
  </w:num>
  <w:num w:numId="19">
    <w:abstractNumId w:val="6"/>
  </w:num>
  <w:num w:numId="20">
    <w:abstractNumId w:val="26"/>
  </w:num>
  <w:num w:numId="21">
    <w:abstractNumId w:val="25"/>
  </w:num>
  <w:num w:numId="22">
    <w:abstractNumId w:val="22"/>
  </w:num>
  <w:num w:numId="23">
    <w:abstractNumId w:val="16"/>
  </w:num>
  <w:num w:numId="24">
    <w:abstractNumId w:val="0"/>
  </w:num>
  <w:num w:numId="25">
    <w:abstractNumId w:val="11"/>
  </w:num>
  <w:num w:numId="26">
    <w:abstractNumId w:val="1"/>
  </w:num>
  <w:num w:numId="27">
    <w:abstractNumId w:val="9"/>
  </w:num>
  <w:num w:numId="28">
    <w:abstractNumId w:val="4"/>
  </w:num>
  <w:num w:numId="29">
    <w:abstractNumId w:val="23"/>
  </w:num>
  <w:num w:numId="30">
    <w:abstractNumId w:val="5"/>
  </w:num>
  <w:num w:numId="31">
    <w:abstractNumId w:val="31"/>
  </w:num>
  <w:num w:numId="32">
    <w:abstractNumId w:val="20"/>
  </w:num>
  <w:num w:numId="33">
    <w:abstractNumId w:val="33"/>
  </w:num>
  <w:num w:numId="34">
    <w:abstractNumId w:val="28"/>
  </w:num>
  <w:num w:numId="3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17"/>
    <w:rsid w:val="00003DC8"/>
    <w:rsid w:val="00004811"/>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447"/>
    <w:rsid w:val="000266DB"/>
    <w:rsid w:val="0002697A"/>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92C"/>
    <w:rsid w:val="000469EE"/>
    <w:rsid w:val="00046FFF"/>
    <w:rsid w:val="00047AA8"/>
    <w:rsid w:val="000500D8"/>
    <w:rsid w:val="00050228"/>
    <w:rsid w:val="000506EA"/>
    <w:rsid w:val="0005115F"/>
    <w:rsid w:val="000511A3"/>
    <w:rsid w:val="000511D2"/>
    <w:rsid w:val="0005124D"/>
    <w:rsid w:val="00051CDC"/>
    <w:rsid w:val="000522D2"/>
    <w:rsid w:val="000527F3"/>
    <w:rsid w:val="00053D9C"/>
    <w:rsid w:val="000555E8"/>
    <w:rsid w:val="000557DB"/>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326"/>
    <w:rsid w:val="00096D53"/>
    <w:rsid w:val="00096FBE"/>
    <w:rsid w:val="00097241"/>
    <w:rsid w:val="0009732F"/>
    <w:rsid w:val="0009764A"/>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1BFF"/>
    <w:rsid w:val="000D1C77"/>
    <w:rsid w:val="000D28A3"/>
    <w:rsid w:val="000D2EEC"/>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B7"/>
    <w:rsid w:val="001342BF"/>
    <w:rsid w:val="00134437"/>
    <w:rsid w:val="001349EC"/>
    <w:rsid w:val="00135280"/>
    <w:rsid w:val="001353B4"/>
    <w:rsid w:val="00135787"/>
    <w:rsid w:val="001357F9"/>
    <w:rsid w:val="00135CE0"/>
    <w:rsid w:val="00135D9A"/>
    <w:rsid w:val="00136035"/>
    <w:rsid w:val="0013615B"/>
    <w:rsid w:val="00136575"/>
    <w:rsid w:val="00136AC9"/>
    <w:rsid w:val="00136AFC"/>
    <w:rsid w:val="0013716D"/>
    <w:rsid w:val="00137535"/>
    <w:rsid w:val="00137868"/>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10C7"/>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C28"/>
    <w:rsid w:val="001C0D65"/>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953"/>
    <w:rsid w:val="001F6D7C"/>
    <w:rsid w:val="001F6F8D"/>
    <w:rsid w:val="001F7517"/>
    <w:rsid w:val="001F7ACD"/>
    <w:rsid w:val="001F7D6E"/>
    <w:rsid w:val="00200390"/>
    <w:rsid w:val="002005D6"/>
    <w:rsid w:val="00200A5A"/>
    <w:rsid w:val="002015C3"/>
    <w:rsid w:val="00201924"/>
    <w:rsid w:val="00201BD2"/>
    <w:rsid w:val="00201DAE"/>
    <w:rsid w:val="00201E92"/>
    <w:rsid w:val="00202659"/>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2A9"/>
    <w:rsid w:val="00216FEE"/>
    <w:rsid w:val="002176E2"/>
    <w:rsid w:val="00217DF8"/>
    <w:rsid w:val="002201D8"/>
    <w:rsid w:val="00220581"/>
    <w:rsid w:val="002206F2"/>
    <w:rsid w:val="00220F22"/>
    <w:rsid w:val="00220F26"/>
    <w:rsid w:val="0022192B"/>
    <w:rsid w:val="00221967"/>
    <w:rsid w:val="0022199D"/>
    <w:rsid w:val="00221F00"/>
    <w:rsid w:val="00222330"/>
    <w:rsid w:val="00222A92"/>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CB4"/>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21B"/>
    <w:rsid w:val="00251814"/>
    <w:rsid w:val="00251B38"/>
    <w:rsid w:val="00251DF9"/>
    <w:rsid w:val="0025268C"/>
    <w:rsid w:val="00252CF7"/>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559"/>
    <w:rsid w:val="002709C3"/>
    <w:rsid w:val="002714E6"/>
    <w:rsid w:val="00271595"/>
    <w:rsid w:val="002720F8"/>
    <w:rsid w:val="00272484"/>
    <w:rsid w:val="00272727"/>
    <w:rsid w:val="00272AD1"/>
    <w:rsid w:val="00272D46"/>
    <w:rsid w:val="00273881"/>
    <w:rsid w:val="002741AC"/>
    <w:rsid w:val="00275389"/>
    <w:rsid w:val="00275438"/>
    <w:rsid w:val="00275666"/>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0C8"/>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7D8B"/>
    <w:rsid w:val="002E07B2"/>
    <w:rsid w:val="002E1C16"/>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5CD5"/>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2235"/>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707F"/>
    <w:rsid w:val="0033712C"/>
    <w:rsid w:val="00340B48"/>
    <w:rsid w:val="00341C15"/>
    <w:rsid w:val="00341FFC"/>
    <w:rsid w:val="00342BFD"/>
    <w:rsid w:val="003430D4"/>
    <w:rsid w:val="00343375"/>
    <w:rsid w:val="00343485"/>
    <w:rsid w:val="00343C04"/>
    <w:rsid w:val="00343CB6"/>
    <w:rsid w:val="003443F5"/>
    <w:rsid w:val="00344F5C"/>
    <w:rsid w:val="003453CA"/>
    <w:rsid w:val="003457E8"/>
    <w:rsid w:val="0034599B"/>
    <w:rsid w:val="003459B0"/>
    <w:rsid w:val="00345C1B"/>
    <w:rsid w:val="00346BD2"/>
    <w:rsid w:val="00347131"/>
    <w:rsid w:val="003472C4"/>
    <w:rsid w:val="003473C0"/>
    <w:rsid w:val="0034782E"/>
    <w:rsid w:val="00347D40"/>
    <w:rsid w:val="00350AFE"/>
    <w:rsid w:val="00350CFF"/>
    <w:rsid w:val="00350EFE"/>
    <w:rsid w:val="00350FC4"/>
    <w:rsid w:val="003514C6"/>
    <w:rsid w:val="00351650"/>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AE0"/>
    <w:rsid w:val="00371EFD"/>
    <w:rsid w:val="00371F02"/>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8C7"/>
    <w:rsid w:val="00385D87"/>
    <w:rsid w:val="00386626"/>
    <w:rsid w:val="00386C2E"/>
    <w:rsid w:val="00387017"/>
    <w:rsid w:val="00387243"/>
    <w:rsid w:val="00387C51"/>
    <w:rsid w:val="0039025E"/>
    <w:rsid w:val="00390437"/>
    <w:rsid w:val="00390D75"/>
    <w:rsid w:val="00391C34"/>
    <w:rsid w:val="00391DED"/>
    <w:rsid w:val="00391F48"/>
    <w:rsid w:val="003925DC"/>
    <w:rsid w:val="00392B1B"/>
    <w:rsid w:val="00393319"/>
    <w:rsid w:val="00393E6C"/>
    <w:rsid w:val="00394162"/>
    <w:rsid w:val="00395100"/>
    <w:rsid w:val="003952D4"/>
    <w:rsid w:val="003953C4"/>
    <w:rsid w:val="00395461"/>
    <w:rsid w:val="00395A01"/>
    <w:rsid w:val="00395F53"/>
    <w:rsid w:val="0039611D"/>
    <w:rsid w:val="00396DD6"/>
    <w:rsid w:val="0039720E"/>
    <w:rsid w:val="003974E6"/>
    <w:rsid w:val="00397A1F"/>
    <w:rsid w:val="00397BFA"/>
    <w:rsid w:val="003A0432"/>
    <w:rsid w:val="003A0B8F"/>
    <w:rsid w:val="003A1EA3"/>
    <w:rsid w:val="003A23EF"/>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10A"/>
    <w:rsid w:val="00406780"/>
    <w:rsid w:val="00407101"/>
    <w:rsid w:val="004074B2"/>
    <w:rsid w:val="004076EA"/>
    <w:rsid w:val="00407855"/>
    <w:rsid w:val="00410177"/>
    <w:rsid w:val="00410426"/>
    <w:rsid w:val="00410892"/>
    <w:rsid w:val="00410A71"/>
    <w:rsid w:val="004118BC"/>
    <w:rsid w:val="00411F5B"/>
    <w:rsid w:val="004122CC"/>
    <w:rsid w:val="004122D8"/>
    <w:rsid w:val="004127DF"/>
    <w:rsid w:val="00412F59"/>
    <w:rsid w:val="0041337C"/>
    <w:rsid w:val="00413583"/>
    <w:rsid w:val="00413AF9"/>
    <w:rsid w:val="00413D6F"/>
    <w:rsid w:val="00413F6E"/>
    <w:rsid w:val="0041444D"/>
    <w:rsid w:val="00414571"/>
    <w:rsid w:val="0041468C"/>
    <w:rsid w:val="00414923"/>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5D"/>
    <w:rsid w:val="00420CD3"/>
    <w:rsid w:val="00420E17"/>
    <w:rsid w:val="00420F9C"/>
    <w:rsid w:val="0042147C"/>
    <w:rsid w:val="0042192F"/>
    <w:rsid w:val="00422322"/>
    <w:rsid w:val="00422490"/>
    <w:rsid w:val="00423D89"/>
    <w:rsid w:val="00424242"/>
    <w:rsid w:val="0042455A"/>
    <w:rsid w:val="0042483E"/>
    <w:rsid w:val="00424F3B"/>
    <w:rsid w:val="00425445"/>
    <w:rsid w:val="00425492"/>
    <w:rsid w:val="00425A5A"/>
    <w:rsid w:val="00425ACC"/>
    <w:rsid w:val="004262B6"/>
    <w:rsid w:val="00426698"/>
    <w:rsid w:val="00426CE0"/>
    <w:rsid w:val="00427135"/>
    <w:rsid w:val="00427799"/>
    <w:rsid w:val="00427ADE"/>
    <w:rsid w:val="00427BD8"/>
    <w:rsid w:val="00430779"/>
    <w:rsid w:val="00430B0D"/>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33B9"/>
    <w:rsid w:val="0045363C"/>
    <w:rsid w:val="00453A13"/>
    <w:rsid w:val="00453A5A"/>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76A"/>
    <w:rsid w:val="00487BFF"/>
    <w:rsid w:val="0049044C"/>
    <w:rsid w:val="0049124E"/>
    <w:rsid w:val="0049162C"/>
    <w:rsid w:val="00492102"/>
    <w:rsid w:val="0049278A"/>
    <w:rsid w:val="00493D3E"/>
    <w:rsid w:val="00494E25"/>
    <w:rsid w:val="00495258"/>
    <w:rsid w:val="0049618D"/>
    <w:rsid w:val="004969B0"/>
    <w:rsid w:val="00496F0A"/>
    <w:rsid w:val="0049711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D02E3"/>
    <w:rsid w:val="004D1283"/>
    <w:rsid w:val="004D1735"/>
    <w:rsid w:val="004D3589"/>
    <w:rsid w:val="004D4026"/>
    <w:rsid w:val="004D43F6"/>
    <w:rsid w:val="004D45B7"/>
    <w:rsid w:val="004D47C5"/>
    <w:rsid w:val="004D49FC"/>
    <w:rsid w:val="004D540F"/>
    <w:rsid w:val="004D6354"/>
    <w:rsid w:val="004D6C68"/>
    <w:rsid w:val="004D6EBE"/>
    <w:rsid w:val="004D7143"/>
    <w:rsid w:val="004D7232"/>
    <w:rsid w:val="004D75C6"/>
    <w:rsid w:val="004D76B7"/>
    <w:rsid w:val="004E004D"/>
    <w:rsid w:val="004E081A"/>
    <w:rsid w:val="004E08AA"/>
    <w:rsid w:val="004E0F02"/>
    <w:rsid w:val="004E108D"/>
    <w:rsid w:val="004E176D"/>
    <w:rsid w:val="004E1844"/>
    <w:rsid w:val="004E2FBF"/>
    <w:rsid w:val="004E34F2"/>
    <w:rsid w:val="004E357A"/>
    <w:rsid w:val="004E3BE7"/>
    <w:rsid w:val="004E3C5C"/>
    <w:rsid w:val="004E46B7"/>
    <w:rsid w:val="004E4C29"/>
    <w:rsid w:val="004E52D8"/>
    <w:rsid w:val="004E610B"/>
    <w:rsid w:val="004E63DD"/>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20258"/>
    <w:rsid w:val="00520408"/>
    <w:rsid w:val="0052069F"/>
    <w:rsid w:val="00520E69"/>
    <w:rsid w:val="0052108C"/>
    <w:rsid w:val="00521C06"/>
    <w:rsid w:val="00521E4F"/>
    <w:rsid w:val="00521FF8"/>
    <w:rsid w:val="005220F4"/>
    <w:rsid w:val="005224E7"/>
    <w:rsid w:val="005237CB"/>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053"/>
    <w:rsid w:val="0055549D"/>
    <w:rsid w:val="005558A9"/>
    <w:rsid w:val="005559F0"/>
    <w:rsid w:val="00556020"/>
    <w:rsid w:val="005564E8"/>
    <w:rsid w:val="005566E5"/>
    <w:rsid w:val="005567B6"/>
    <w:rsid w:val="00556DD0"/>
    <w:rsid w:val="00557162"/>
    <w:rsid w:val="00557E17"/>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3245"/>
    <w:rsid w:val="005C329D"/>
    <w:rsid w:val="005C3D75"/>
    <w:rsid w:val="005C3FC4"/>
    <w:rsid w:val="005C4C9C"/>
    <w:rsid w:val="005C50E0"/>
    <w:rsid w:val="005C537E"/>
    <w:rsid w:val="005C53EB"/>
    <w:rsid w:val="005C6234"/>
    <w:rsid w:val="005C652C"/>
    <w:rsid w:val="005C6565"/>
    <w:rsid w:val="005C6E73"/>
    <w:rsid w:val="005C7A2B"/>
    <w:rsid w:val="005D0598"/>
    <w:rsid w:val="005D05E0"/>
    <w:rsid w:val="005D0B42"/>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60"/>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D1"/>
    <w:rsid w:val="00646385"/>
    <w:rsid w:val="00646663"/>
    <w:rsid w:val="00646AB2"/>
    <w:rsid w:val="00646F4B"/>
    <w:rsid w:val="006470CD"/>
    <w:rsid w:val="006473DB"/>
    <w:rsid w:val="00647612"/>
    <w:rsid w:val="00647900"/>
    <w:rsid w:val="0065010A"/>
    <w:rsid w:val="00653884"/>
    <w:rsid w:val="00653E10"/>
    <w:rsid w:val="00654626"/>
    <w:rsid w:val="00654A5D"/>
    <w:rsid w:val="006552FB"/>
    <w:rsid w:val="00655722"/>
    <w:rsid w:val="006562C1"/>
    <w:rsid w:val="0066016F"/>
    <w:rsid w:val="0066061E"/>
    <w:rsid w:val="00660E8C"/>
    <w:rsid w:val="006619E2"/>
    <w:rsid w:val="00661A1A"/>
    <w:rsid w:val="00661E89"/>
    <w:rsid w:val="00661FF0"/>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752"/>
    <w:rsid w:val="00692C93"/>
    <w:rsid w:val="00692D15"/>
    <w:rsid w:val="00692F69"/>
    <w:rsid w:val="00692FBC"/>
    <w:rsid w:val="00693273"/>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2802"/>
    <w:rsid w:val="006A2C83"/>
    <w:rsid w:val="006A2FE1"/>
    <w:rsid w:val="006A3642"/>
    <w:rsid w:val="006A4C77"/>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E0"/>
    <w:rsid w:val="006E0A3F"/>
    <w:rsid w:val="006E0DDF"/>
    <w:rsid w:val="006E198F"/>
    <w:rsid w:val="006E1C2D"/>
    <w:rsid w:val="006E1F33"/>
    <w:rsid w:val="006E20A5"/>
    <w:rsid w:val="006E20CE"/>
    <w:rsid w:val="006E2781"/>
    <w:rsid w:val="006E2911"/>
    <w:rsid w:val="006E2AC4"/>
    <w:rsid w:val="006E2B43"/>
    <w:rsid w:val="006E2B5A"/>
    <w:rsid w:val="006E324B"/>
    <w:rsid w:val="006E3988"/>
    <w:rsid w:val="006E3B86"/>
    <w:rsid w:val="006E3BD3"/>
    <w:rsid w:val="006E4442"/>
    <w:rsid w:val="006E4569"/>
    <w:rsid w:val="006E4FBB"/>
    <w:rsid w:val="006E513D"/>
    <w:rsid w:val="006E5449"/>
    <w:rsid w:val="006E58FB"/>
    <w:rsid w:val="006E5BEA"/>
    <w:rsid w:val="006E6B09"/>
    <w:rsid w:val="006E7292"/>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0FDA"/>
    <w:rsid w:val="00701393"/>
    <w:rsid w:val="00701AE6"/>
    <w:rsid w:val="00701D7A"/>
    <w:rsid w:val="007020D4"/>
    <w:rsid w:val="00702393"/>
    <w:rsid w:val="007029F1"/>
    <w:rsid w:val="00702E3C"/>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F8"/>
    <w:rsid w:val="007541A1"/>
    <w:rsid w:val="007543B1"/>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E8"/>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E5A"/>
    <w:rsid w:val="007B2FAA"/>
    <w:rsid w:val="007B30C0"/>
    <w:rsid w:val="007B3601"/>
    <w:rsid w:val="007B3EE6"/>
    <w:rsid w:val="007B4029"/>
    <w:rsid w:val="007B45F2"/>
    <w:rsid w:val="007B471D"/>
    <w:rsid w:val="007B4BC1"/>
    <w:rsid w:val="007B4DE0"/>
    <w:rsid w:val="007B5435"/>
    <w:rsid w:val="007B5EA2"/>
    <w:rsid w:val="007B65B1"/>
    <w:rsid w:val="007B677A"/>
    <w:rsid w:val="007B7190"/>
    <w:rsid w:val="007B729B"/>
    <w:rsid w:val="007B7829"/>
    <w:rsid w:val="007B795B"/>
    <w:rsid w:val="007C02FA"/>
    <w:rsid w:val="007C04DD"/>
    <w:rsid w:val="007C0A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0EFD"/>
    <w:rsid w:val="007E1721"/>
    <w:rsid w:val="007E1D8D"/>
    <w:rsid w:val="007E2436"/>
    <w:rsid w:val="007E2952"/>
    <w:rsid w:val="007E2959"/>
    <w:rsid w:val="007E2C29"/>
    <w:rsid w:val="007E2EB3"/>
    <w:rsid w:val="007E34A1"/>
    <w:rsid w:val="007E3B7C"/>
    <w:rsid w:val="007E3FD7"/>
    <w:rsid w:val="007E474A"/>
    <w:rsid w:val="007E47F4"/>
    <w:rsid w:val="007E4C5A"/>
    <w:rsid w:val="007E524A"/>
    <w:rsid w:val="007E56D2"/>
    <w:rsid w:val="007E57F1"/>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20188"/>
    <w:rsid w:val="008209A5"/>
    <w:rsid w:val="0082109B"/>
    <w:rsid w:val="00821186"/>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AAE"/>
    <w:rsid w:val="00845BFF"/>
    <w:rsid w:val="008464A0"/>
    <w:rsid w:val="0084692A"/>
    <w:rsid w:val="00846CDB"/>
    <w:rsid w:val="00846D9E"/>
    <w:rsid w:val="00847736"/>
    <w:rsid w:val="00847EBD"/>
    <w:rsid w:val="00850114"/>
    <w:rsid w:val="00850795"/>
    <w:rsid w:val="00850BCA"/>
    <w:rsid w:val="00850E86"/>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B96"/>
    <w:rsid w:val="00865F61"/>
    <w:rsid w:val="0086678B"/>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3F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3478"/>
    <w:rsid w:val="00883C5D"/>
    <w:rsid w:val="00885284"/>
    <w:rsid w:val="00885B5B"/>
    <w:rsid w:val="00885BAE"/>
    <w:rsid w:val="00885D77"/>
    <w:rsid w:val="00885ED1"/>
    <w:rsid w:val="008861DA"/>
    <w:rsid w:val="0088653E"/>
    <w:rsid w:val="00886A5F"/>
    <w:rsid w:val="00887212"/>
    <w:rsid w:val="008872D4"/>
    <w:rsid w:val="00887AF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290"/>
    <w:rsid w:val="008B0A9A"/>
    <w:rsid w:val="008B1099"/>
    <w:rsid w:val="008B1265"/>
    <w:rsid w:val="008B192E"/>
    <w:rsid w:val="008B2577"/>
    <w:rsid w:val="008B25D7"/>
    <w:rsid w:val="008B263F"/>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B7"/>
    <w:rsid w:val="008D03A0"/>
    <w:rsid w:val="008D07F7"/>
    <w:rsid w:val="008D0CAA"/>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A6B"/>
    <w:rsid w:val="008E0BAF"/>
    <w:rsid w:val="008E0EB2"/>
    <w:rsid w:val="008E0F89"/>
    <w:rsid w:val="008E1359"/>
    <w:rsid w:val="008E14A1"/>
    <w:rsid w:val="008E1F07"/>
    <w:rsid w:val="008E25F4"/>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BB9"/>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D16"/>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FB2"/>
    <w:rsid w:val="00975079"/>
    <w:rsid w:val="009754D6"/>
    <w:rsid w:val="009757D8"/>
    <w:rsid w:val="00975A37"/>
    <w:rsid w:val="00976A4C"/>
    <w:rsid w:val="00976B9E"/>
    <w:rsid w:val="00976D52"/>
    <w:rsid w:val="009771D2"/>
    <w:rsid w:val="0097767A"/>
    <w:rsid w:val="00977B2A"/>
    <w:rsid w:val="00977EAD"/>
    <w:rsid w:val="00977F28"/>
    <w:rsid w:val="0098044C"/>
    <w:rsid w:val="009804AF"/>
    <w:rsid w:val="0098160B"/>
    <w:rsid w:val="00981704"/>
    <w:rsid w:val="00981ACE"/>
    <w:rsid w:val="00981E71"/>
    <w:rsid w:val="00981F32"/>
    <w:rsid w:val="009825C5"/>
    <w:rsid w:val="00982B20"/>
    <w:rsid w:val="00983554"/>
    <w:rsid w:val="0098357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A5B"/>
    <w:rsid w:val="009B6F2D"/>
    <w:rsid w:val="009B6F41"/>
    <w:rsid w:val="009B7F6F"/>
    <w:rsid w:val="009C00CD"/>
    <w:rsid w:val="009C03F2"/>
    <w:rsid w:val="009C0D00"/>
    <w:rsid w:val="009C0E9D"/>
    <w:rsid w:val="009C109E"/>
    <w:rsid w:val="009C1816"/>
    <w:rsid w:val="009C1B60"/>
    <w:rsid w:val="009C1B8B"/>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17CE"/>
    <w:rsid w:val="009D1C18"/>
    <w:rsid w:val="009D1D65"/>
    <w:rsid w:val="009D1D6E"/>
    <w:rsid w:val="009D2824"/>
    <w:rsid w:val="009D2833"/>
    <w:rsid w:val="009D2CE5"/>
    <w:rsid w:val="009D2E1B"/>
    <w:rsid w:val="009D4635"/>
    <w:rsid w:val="009D46BC"/>
    <w:rsid w:val="009D4A26"/>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63F2"/>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4F7"/>
    <w:rsid w:val="00A4162E"/>
    <w:rsid w:val="00A41C70"/>
    <w:rsid w:val="00A42886"/>
    <w:rsid w:val="00A43E57"/>
    <w:rsid w:val="00A4424E"/>
    <w:rsid w:val="00A4452C"/>
    <w:rsid w:val="00A4455B"/>
    <w:rsid w:val="00A44D8B"/>
    <w:rsid w:val="00A44FA5"/>
    <w:rsid w:val="00A458BC"/>
    <w:rsid w:val="00A458E2"/>
    <w:rsid w:val="00A45C52"/>
    <w:rsid w:val="00A468E0"/>
    <w:rsid w:val="00A469F5"/>
    <w:rsid w:val="00A46E90"/>
    <w:rsid w:val="00A4701B"/>
    <w:rsid w:val="00A47041"/>
    <w:rsid w:val="00A47345"/>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406E"/>
    <w:rsid w:val="00A5551F"/>
    <w:rsid w:val="00A55BE7"/>
    <w:rsid w:val="00A55DC9"/>
    <w:rsid w:val="00A56243"/>
    <w:rsid w:val="00A56419"/>
    <w:rsid w:val="00A5663D"/>
    <w:rsid w:val="00A56C40"/>
    <w:rsid w:val="00A571AB"/>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497"/>
    <w:rsid w:val="00AA18C3"/>
    <w:rsid w:val="00AA3093"/>
    <w:rsid w:val="00AA33DF"/>
    <w:rsid w:val="00AA38C8"/>
    <w:rsid w:val="00AA415B"/>
    <w:rsid w:val="00AA44AA"/>
    <w:rsid w:val="00AA4666"/>
    <w:rsid w:val="00AA5048"/>
    <w:rsid w:val="00AA5472"/>
    <w:rsid w:val="00AA5477"/>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F4C"/>
    <w:rsid w:val="00AC703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F89"/>
    <w:rsid w:val="00AD5169"/>
    <w:rsid w:val="00AD5831"/>
    <w:rsid w:val="00AD650B"/>
    <w:rsid w:val="00AD6AB3"/>
    <w:rsid w:val="00AD6F0F"/>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5B65"/>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61"/>
    <w:rsid w:val="00B44AFE"/>
    <w:rsid w:val="00B44BF4"/>
    <w:rsid w:val="00B44E03"/>
    <w:rsid w:val="00B44F11"/>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F23"/>
    <w:rsid w:val="00B9634D"/>
    <w:rsid w:val="00B96966"/>
    <w:rsid w:val="00B96CAE"/>
    <w:rsid w:val="00B970CA"/>
    <w:rsid w:val="00B971F0"/>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A7847"/>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6574"/>
    <w:rsid w:val="00BE6D06"/>
    <w:rsid w:val="00BE7042"/>
    <w:rsid w:val="00BE7401"/>
    <w:rsid w:val="00BE7475"/>
    <w:rsid w:val="00BF0936"/>
    <w:rsid w:val="00BF0E88"/>
    <w:rsid w:val="00BF0F1F"/>
    <w:rsid w:val="00BF14E3"/>
    <w:rsid w:val="00BF1A77"/>
    <w:rsid w:val="00BF1FD5"/>
    <w:rsid w:val="00BF21D6"/>
    <w:rsid w:val="00BF2401"/>
    <w:rsid w:val="00BF2916"/>
    <w:rsid w:val="00BF36B8"/>
    <w:rsid w:val="00BF3DAC"/>
    <w:rsid w:val="00BF4191"/>
    <w:rsid w:val="00BF41EF"/>
    <w:rsid w:val="00BF452D"/>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4B0"/>
    <w:rsid w:val="00C066CB"/>
    <w:rsid w:val="00C06BC3"/>
    <w:rsid w:val="00C0710C"/>
    <w:rsid w:val="00C0736C"/>
    <w:rsid w:val="00C075E1"/>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10C"/>
    <w:rsid w:val="00C16971"/>
    <w:rsid w:val="00C172DD"/>
    <w:rsid w:val="00C1731A"/>
    <w:rsid w:val="00C175AE"/>
    <w:rsid w:val="00C175F3"/>
    <w:rsid w:val="00C17640"/>
    <w:rsid w:val="00C177E1"/>
    <w:rsid w:val="00C17976"/>
    <w:rsid w:val="00C1797A"/>
    <w:rsid w:val="00C17A56"/>
    <w:rsid w:val="00C17EFF"/>
    <w:rsid w:val="00C2024C"/>
    <w:rsid w:val="00C20356"/>
    <w:rsid w:val="00C203CC"/>
    <w:rsid w:val="00C20C50"/>
    <w:rsid w:val="00C20C8B"/>
    <w:rsid w:val="00C20DC7"/>
    <w:rsid w:val="00C22655"/>
    <w:rsid w:val="00C226D4"/>
    <w:rsid w:val="00C227C2"/>
    <w:rsid w:val="00C22BBB"/>
    <w:rsid w:val="00C23673"/>
    <w:rsid w:val="00C240C1"/>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770"/>
    <w:rsid w:val="00C5285A"/>
    <w:rsid w:val="00C529D3"/>
    <w:rsid w:val="00C5308A"/>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9B5"/>
    <w:rsid w:val="00C71A7A"/>
    <w:rsid w:val="00C71C2C"/>
    <w:rsid w:val="00C7294F"/>
    <w:rsid w:val="00C72DD0"/>
    <w:rsid w:val="00C7350D"/>
    <w:rsid w:val="00C73B18"/>
    <w:rsid w:val="00C73DA8"/>
    <w:rsid w:val="00C7450D"/>
    <w:rsid w:val="00C75BC7"/>
    <w:rsid w:val="00C77141"/>
    <w:rsid w:val="00C77B12"/>
    <w:rsid w:val="00C80A73"/>
    <w:rsid w:val="00C818D1"/>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770"/>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608F"/>
    <w:rsid w:val="00CE615F"/>
    <w:rsid w:val="00CE69DA"/>
    <w:rsid w:val="00CE6AA1"/>
    <w:rsid w:val="00CE6D79"/>
    <w:rsid w:val="00CE6E40"/>
    <w:rsid w:val="00CE724A"/>
    <w:rsid w:val="00CE75BB"/>
    <w:rsid w:val="00CE78E6"/>
    <w:rsid w:val="00CE79C8"/>
    <w:rsid w:val="00CF0293"/>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875"/>
    <w:rsid w:val="00D02C25"/>
    <w:rsid w:val="00D0354B"/>
    <w:rsid w:val="00D03C1A"/>
    <w:rsid w:val="00D03DC5"/>
    <w:rsid w:val="00D03E4B"/>
    <w:rsid w:val="00D042D6"/>
    <w:rsid w:val="00D043E1"/>
    <w:rsid w:val="00D0519F"/>
    <w:rsid w:val="00D054BD"/>
    <w:rsid w:val="00D058FF"/>
    <w:rsid w:val="00D05E43"/>
    <w:rsid w:val="00D07746"/>
    <w:rsid w:val="00D078A7"/>
    <w:rsid w:val="00D07C26"/>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29BB"/>
    <w:rsid w:val="00D32AE6"/>
    <w:rsid w:val="00D32E9E"/>
    <w:rsid w:val="00D332EF"/>
    <w:rsid w:val="00D334CE"/>
    <w:rsid w:val="00D339DD"/>
    <w:rsid w:val="00D33EF3"/>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E28"/>
    <w:rsid w:val="00DC431F"/>
    <w:rsid w:val="00DC4943"/>
    <w:rsid w:val="00DC555A"/>
    <w:rsid w:val="00DC58A3"/>
    <w:rsid w:val="00DC5D03"/>
    <w:rsid w:val="00DC6BBF"/>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291"/>
    <w:rsid w:val="00DE0443"/>
    <w:rsid w:val="00DE0570"/>
    <w:rsid w:val="00DE067D"/>
    <w:rsid w:val="00DE0A84"/>
    <w:rsid w:val="00DE0B3E"/>
    <w:rsid w:val="00DE11F3"/>
    <w:rsid w:val="00DE149C"/>
    <w:rsid w:val="00DE1DBB"/>
    <w:rsid w:val="00DE1F42"/>
    <w:rsid w:val="00DE25F7"/>
    <w:rsid w:val="00DE2C73"/>
    <w:rsid w:val="00DE30AB"/>
    <w:rsid w:val="00DE39F8"/>
    <w:rsid w:val="00DE4AF7"/>
    <w:rsid w:val="00DE4BC1"/>
    <w:rsid w:val="00DE4FC0"/>
    <w:rsid w:val="00DE56E7"/>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AC9"/>
    <w:rsid w:val="00DF2CE6"/>
    <w:rsid w:val="00DF2F18"/>
    <w:rsid w:val="00DF366A"/>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406E"/>
    <w:rsid w:val="00E140A9"/>
    <w:rsid w:val="00E140C6"/>
    <w:rsid w:val="00E1455C"/>
    <w:rsid w:val="00E14B3C"/>
    <w:rsid w:val="00E152A2"/>
    <w:rsid w:val="00E155FC"/>
    <w:rsid w:val="00E15991"/>
    <w:rsid w:val="00E15FD6"/>
    <w:rsid w:val="00E1769E"/>
    <w:rsid w:val="00E17809"/>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A4C"/>
    <w:rsid w:val="00E44D89"/>
    <w:rsid w:val="00E459C5"/>
    <w:rsid w:val="00E45A22"/>
    <w:rsid w:val="00E45E1C"/>
    <w:rsid w:val="00E45ECE"/>
    <w:rsid w:val="00E45F5B"/>
    <w:rsid w:val="00E468F5"/>
    <w:rsid w:val="00E46977"/>
    <w:rsid w:val="00E46E98"/>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83C"/>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400"/>
    <w:rsid w:val="00EB14E7"/>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48ED"/>
    <w:rsid w:val="00F44C08"/>
    <w:rsid w:val="00F455A8"/>
    <w:rsid w:val="00F45F70"/>
    <w:rsid w:val="00F45FF7"/>
    <w:rsid w:val="00F462FE"/>
    <w:rsid w:val="00F464C8"/>
    <w:rsid w:val="00F46CB4"/>
    <w:rsid w:val="00F46E38"/>
    <w:rsid w:val="00F47171"/>
    <w:rsid w:val="00F477FE"/>
    <w:rsid w:val="00F47B0C"/>
    <w:rsid w:val="00F47BD3"/>
    <w:rsid w:val="00F50587"/>
    <w:rsid w:val="00F505B8"/>
    <w:rsid w:val="00F5077E"/>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BC2"/>
    <w:rsid w:val="00F56BDF"/>
    <w:rsid w:val="00F56C34"/>
    <w:rsid w:val="00F56D0B"/>
    <w:rsid w:val="00F57A60"/>
    <w:rsid w:val="00F57B39"/>
    <w:rsid w:val="00F60245"/>
    <w:rsid w:val="00F605BE"/>
    <w:rsid w:val="00F610E7"/>
    <w:rsid w:val="00F61398"/>
    <w:rsid w:val="00F62643"/>
    <w:rsid w:val="00F6296D"/>
    <w:rsid w:val="00F62A0E"/>
    <w:rsid w:val="00F632EB"/>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7003B"/>
    <w:rsid w:val="00F7043A"/>
    <w:rsid w:val="00F70660"/>
    <w:rsid w:val="00F7145E"/>
    <w:rsid w:val="00F7230E"/>
    <w:rsid w:val="00F726C8"/>
    <w:rsid w:val="00F729A3"/>
    <w:rsid w:val="00F72C5A"/>
    <w:rsid w:val="00F73438"/>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AC2"/>
    <w:rsid w:val="00F8700D"/>
    <w:rsid w:val="00F87A03"/>
    <w:rsid w:val="00F905A5"/>
    <w:rsid w:val="00F90A5E"/>
    <w:rsid w:val="00F90F1B"/>
    <w:rsid w:val="00F91586"/>
    <w:rsid w:val="00F91BAB"/>
    <w:rsid w:val="00F92289"/>
    <w:rsid w:val="00F93146"/>
    <w:rsid w:val="00F931F4"/>
    <w:rsid w:val="00F93303"/>
    <w:rsid w:val="00F939A7"/>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D05"/>
    <w:rsid w:val="00FB0DCC"/>
    <w:rsid w:val="00FB15FE"/>
    <w:rsid w:val="00FB1717"/>
    <w:rsid w:val="00FB1927"/>
    <w:rsid w:val="00FB1C3D"/>
    <w:rsid w:val="00FB30E7"/>
    <w:rsid w:val="00FB32AA"/>
    <w:rsid w:val="00FB3AA8"/>
    <w:rsid w:val="00FB3BF3"/>
    <w:rsid w:val="00FB3C8E"/>
    <w:rsid w:val="00FB403C"/>
    <w:rsid w:val="00FB4095"/>
    <w:rsid w:val="00FB4AC9"/>
    <w:rsid w:val="00FB4CAD"/>
    <w:rsid w:val="00FB5A43"/>
    <w:rsid w:val="00FB5CC4"/>
    <w:rsid w:val="00FB5D7F"/>
    <w:rsid w:val="00FB6465"/>
    <w:rsid w:val="00FB6AEC"/>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4257"/>
    <w:rsid w:val="00FD4D04"/>
    <w:rsid w:val="00FD592D"/>
    <w:rsid w:val="00FD593C"/>
    <w:rsid w:val="00FD60EF"/>
    <w:rsid w:val="00FD6B24"/>
    <w:rsid w:val="00FD6B83"/>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F941EB-5E20-46B2-8533-3D09FBEB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ni.bg/sites/default/files/competition/12_2016/ERA/ERA_NET_2016_2.pdf" TargetMode="External"/><Relationship Id="rId21" Type="http://schemas.openxmlformats.org/officeDocument/2006/relationships/hyperlink" Target="http://www.nurembergacademy.org/about-us/job-offers/detail/3-months-internship-14/" TargetMode="External"/><Relationship Id="rId42" Type="http://schemas.openxmlformats.org/officeDocument/2006/relationships/hyperlink" Target="https://www.humanbrainproject.eu/en/education/participatecollaborate/curriculum/workshops/3rd-curriculum-workshop-brain-medicine/" TargetMode="External"/><Relationship Id="rId47" Type="http://schemas.openxmlformats.org/officeDocument/2006/relationships/hyperlink" Target="http://www.lift-bbi.eu/" TargetMode="External"/><Relationship Id="rId63" Type="http://schemas.openxmlformats.org/officeDocument/2006/relationships/footer" Target="footer4.xml"/><Relationship Id="rId68" Type="http://schemas.openxmlformats.org/officeDocument/2006/relationships/hyperlink" Target="http://www.university-mergers.eu/" TargetMode="External"/><Relationship Id="rId16" Type="http://schemas.openxmlformats.org/officeDocument/2006/relationships/hyperlink" Target="https://careers.vmware.com/search-jobs/Intern/Sofia%2C%20Sofia-Capital/1567/1/4/732800-731061-6458974-727011/42x69751/23x32415/50/2" TargetMode="External"/><Relationship Id="rId11" Type="http://schemas.openxmlformats.org/officeDocument/2006/relationships/hyperlink" Target="http://www.kznpp.org/index.php?lang=bg&amp;p=careers&amp;p1=Stipendiantska%20programa" TargetMode="External"/><Relationship Id="rId32" Type="http://schemas.openxmlformats.org/officeDocument/2006/relationships/hyperlink" Target="mailto:aleksandrova@mon.bg" TargetMode="External"/><Relationship Id="rId37" Type="http://schemas.openxmlformats.org/officeDocument/2006/relationships/hyperlink" Target="https://www.fni.bg/sites/default/files/competition/10_2016/Procedura_COST_nac_finansirane%E2%80%9329012016.pdf" TargetMode="External"/><Relationship Id="rId53" Type="http://schemas.openxmlformats.org/officeDocument/2006/relationships/hyperlink" Target="http://ecsdev.org/conference/7icsd-2019" TargetMode="External"/><Relationship Id="rId58" Type="http://schemas.openxmlformats.org/officeDocument/2006/relationships/hyperlink" Target="https://www.compbiomed-conference.org/invited-speakers/" TargetMode="External"/><Relationship Id="rId74" Type="http://schemas.openxmlformats.org/officeDocument/2006/relationships/hyperlink" Target="http://iopp.fileburst.com/ccr/archive/CERNCourier2019MayJun-digitaledition.pdf" TargetMode="External"/><Relationship Id="rId79" Type="http://schemas.openxmlformats.org/officeDocument/2006/relationships/image" Target="media/image8.jpeg"/><Relationship Id="rId5" Type="http://schemas.openxmlformats.org/officeDocument/2006/relationships/settings" Target="settings.xml"/><Relationship Id="rId61" Type="http://schemas.openxmlformats.org/officeDocument/2006/relationships/hyperlink" Target="https://www.compbiomed-conference.org/registration/" TargetMode="External"/><Relationship Id="rId82" Type="http://schemas.openxmlformats.org/officeDocument/2006/relationships/theme" Target="theme/theme1.xml"/><Relationship Id="rId19" Type="http://schemas.openxmlformats.org/officeDocument/2006/relationships/hyperlink" Target="mailto:internship@unicreditgroup.bg" TargetMode="External"/><Relationship Id="rId14" Type="http://schemas.openxmlformats.org/officeDocument/2006/relationships/hyperlink" Target="https://www.eventbrite.com/e/plug-into-paysafe-x-generation-boost-your-it-career-tickets-62499352245" TargetMode="External"/><Relationship Id="rId22" Type="http://schemas.openxmlformats.org/officeDocument/2006/relationships/footer" Target="footer2.xml"/><Relationship Id="rId27" Type="http://schemas.openxmlformats.org/officeDocument/2006/relationships/hyperlink" Target="https://www.fni.bg/sites/default/files/competition/12_2016/ERA/ERA-NET.zip" TargetMode="External"/><Relationship Id="rId30" Type="http://schemas.openxmlformats.org/officeDocument/2006/relationships/hyperlink" Target="https://www.fni.bg/sites/default/files/competition/12_2016/ERA/ERA_NET_2016_2.pdf" TargetMode="External"/><Relationship Id="rId35" Type="http://schemas.openxmlformats.org/officeDocument/2006/relationships/hyperlink" Target="https://www.cost.eu/wp-content/uploads/2018/11/COST_Open_Call_SESA_guidelines-Nov-2018.pdf" TargetMode="External"/><Relationship Id="rId43" Type="http://schemas.openxmlformats.org/officeDocument/2006/relationships/hyperlink" Target="https://www.eventbrite.de/e/3rd-hbp-curriculum-workshop-series-new-horizons-in-brain-medicine-from-research-to-clinics-brain-tickets-53140733364" TargetMode="External"/><Relationship Id="rId48" Type="http://schemas.openxmlformats.org/officeDocument/2006/relationships/hyperlink" Target="http://www.eubionet.eu/" TargetMode="External"/><Relationship Id="rId56" Type="http://schemas.openxmlformats.org/officeDocument/2006/relationships/hyperlink" Target="https://savoyplace.theiet.org/" TargetMode="External"/><Relationship Id="rId64" Type="http://schemas.openxmlformats.org/officeDocument/2006/relationships/image" Target="media/image2.jpeg"/><Relationship Id="rId69" Type="http://schemas.openxmlformats.org/officeDocument/2006/relationships/hyperlink" Target="https://eua.eu/component/attachments/attachments.html?id=2148" TargetMode="External"/><Relationship Id="rId77" Type="http://schemas.openxmlformats.org/officeDocument/2006/relationships/hyperlink" Target="https://www.cas.bg/downloadfile.php?id=1810" TargetMode="External"/><Relationship Id="rId8" Type="http://schemas.openxmlformats.org/officeDocument/2006/relationships/endnotes" Target="endnotes.xml"/><Relationship Id="rId51" Type="http://schemas.openxmlformats.org/officeDocument/2006/relationships/hyperlink" Target="https://www.humanbrainproject.eu/en/education/participatecollaborate/infrastructure-events-training/young-researchers-event-2019/" TargetMode="External"/><Relationship Id="rId72" Type="http://schemas.openxmlformats.org/officeDocument/2006/relationships/image" Target="media/image4.jpeg"/><Relationship Id="rId80"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http://www.karieri.bg/" TargetMode="External"/><Relationship Id="rId17" Type="http://schemas.openxmlformats.org/officeDocument/2006/relationships/hyperlink" Target="https://www.karieri.bg/viewadv/rabota/45265_internship_aftersales_for_bmw_bulgaria_mf/" TargetMode="External"/><Relationship Id="rId25" Type="http://schemas.openxmlformats.org/officeDocument/2006/relationships/hyperlink" Target="https://www.nmp-partnersearch.eu/" TargetMode="External"/><Relationship Id="rId33" Type="http://schemas.openxmlformats.org/officeDocument/2006/relationships/hyperlink" Target="https://www.neaa.government.bg/" TargetMode="External"/><Relationship Id="rId38" Type="http://schemas.openxmlformats.org/officeDocument/2006/relationships/hyperlink" Target="mailto:fni-konkursi@mon.bg" TargetMode="External"/><Relationship Id="rId46" Type="http://schemas.openxmlformats.org/officeDocument/2006/relationships/hyperlink" Target="http://www.biobridges-project.eu/" TargetMode="External"/><Relationship Id="rId59" Type="http://schemas.openxmlformats.org/officeDocument/2006/relationships/hyperlink" Target="https://www.compbiomed-conference.org/international-organising-committee/" TargetMode="External"/><Relationship Id="rId67" Type="http://schemas.openxmlformats.org/officeDocument/2006/relationships/hyperlink" Target="https://univerlag.uni-goettingen.de/handle/3/isbn-978-3-86395-403-1" TargetMode="External"/><Relationship Id="rId20" Type="http://schemas.openxmlformats.org/officeDocument/2006/relationships/hyperlink" Target="http://www.fao.org/employment/opportunities-for-young-talents/internship-programme/en/" TargetMode="External"/><Relationship Id="rId41" Type="http://schemas.openxmlformats.org/officeDocument/2006/relationships/hyperlink" Target="http://www.healthncp.net/" TargetMode="External"/><Relationship Id="rId54" Type="http://schemas.openxmlformats.org/officeDocument/2006/relationships/hyperlink" Target="https://www.nfsdd.eu/" TargetMode="External"/><Relationship Id="rId62" Type="http://schemas.openxmlformats.org/officeDocument/2006/relationships/hyperlink" Target="https://www.cencenelec.eu/news/events/Pages/EV-2019-029.aspx" TargetMode="External"/><Relationship Id="rId70" Type="http://schemas.openxmlformats.org/officeDocument/2006/relationships/hyperlink" Target="https://eua.eu/component/attachments/attachments.html?id=2144" TargetMode="External"/><Relationship Id="rId75"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areer5.successfactors.eu/career?career_ns=job_listing&amp;company=26684T1&amp;navBarLevel=JOB_SEARCH&amp;rcm_site_locale=en_GB&amp;career_job_req_id=37203&amp;selected_lang=en_GB&amp;jobAlertController_jobAlertId=&amp;jobAlertController_jobAlertName=&amp;_s.crb=LNldZnkVVRsZoE1zga2yFqCd8Pk%3d" TargetMode="External"/><Relationship Id="rId23" Type="http://schemas.openxmlformats.org/officeDocument/2006/relationships/hyperlink" Target="https://m-era.net/joint-calls/joint-call-2019/m-era-net_callflyer_2019-1.pdf" TargetMode="External"/><Relationship Id="rId28" Type="http://schemas.openxmlformats.org/officeDocument/2006/relationships/hyperlink" Target="mailto:aleksandrova@mon.bg%20" TargetMode="External"/><Relationship Id="rId36" Type="http://schemas.openxmlformats.org/officeDocument/2006/relationships/hyperlink" Target="mailto:opencall@cost.eu" TargetMode="External"/><Relationship Id="rId49" Type="http://schemas.openxmlformats.org/officeDocument/2006/relationships/hyperlink" Target="http://www.bioeconomy.fi/workshop-the-role-of-communication-and-education-to-promote-changes-in-purchasing-habits-and-increasing-the-acceptance-of-bio-based-products/" TargetMode="External"/><Relationship Id="rId57" Type="http://schemas.openxmlformats.org/officeDocument/2006/relationships/hyperlink" Target="https://www.compbiomed-conference.org/plenary-speakers/" TargetMode="External"/><Relationship Id="rId10" Type="http://schemas.openxmlformats.org/officeDocument/2006/relationships/footer" Target="footer1.xml"/><Relationship Id="rId31" Type="http://schemas.openxmlformats.org/officeDocument/2006/relationships/hyperlink" Target="https://www.fni.bg/sites/default/files/competition/12_2016/ERA/ERA-NET.zip" TargetMode="External"/><Relationship Id="rId44" Type="http://schemas.openxmlformats.org/officeDocument/2006/relationships/hyperlink" Target="http://www.biovoices-platform.eu/" TargetMode="External"/><Relationship Id="rId52" Type="http://schemas.openxmlformats.org/officeDocument/2006/relationships/hyperlink" Target="https://services.humanbrainproject.eu/oidc/login" TargetMode="External"/><Relationship Id="rId60" Type="http://schemas.openxmlformats.org/officeDocument/2006/relationships/hyperlink" Target="https://www.compbiomed-conference.org/" TargetMode="External"/><Relationship Id="rId65" Type="http://schemas.openxmlformats.org/officeDocument/2006/relationships/hyperlink" Target="https://publications.europa.eu/portal2012-portlet/html/downloadHandler.jsp?identifier=d32a0577-80f5-11e9-9f05-01aa75ed71a1&amp;format=PDF&amp;language=en&amp;productionSystem=cellar" TargetMode="External"/><Relationship Id="rId73" Type="http://schemas.openxmlformats.org/officeDocument/2006/relationships/hyperlink" Target="https://www.cost.eu/actions/IC1305/" TargetMode="External"/><Relationship Id="rId78" Type="http://schemas.openxmlformats.org/officeDocument/2006/relationships/image" Target="media/image7.gif"/><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s://arc.academy/bg/" TargetMode="External"/><Relationship Id="rId18" Type="http://schemas.openxmlformats.org/officeDocument/2006/relationships/hyperlink" Target="https://erecruitment.wto.org/public/hrd-cl-vac-view.asp?jobinfo_uid_c=3475&amp;vaclng=en" TargetMode="External"/><Relationship Id="rId39" Type="http://schemas.openxmlformats.org/officeDocument/2006/relationships/footer" Target="footer3.xml"/><Relationship Id="rId34" Type="http://schemas.openxmlformats.org/officeDocument/2006/relationships/hyperlink" Target="https://www.fni.bg/?q=node/527" TargetMode="External"/><Relationship Id="rId50" Type="http://schemas.openxmlformats.org/officeDocument/2006/relationships/hyperlink" Target="http://www.bioeconomy.fi/EUBioScene19/" TargetMode="External"/><Relationship Id="rId55" Type="http://schemas.openxmlformats.org/officeDocument/2006/relationships/hyperlink" Target="https://www.compbiomed.eu/" TargetMode="External"/><Relationship Id="rId76" Type="http://schemas.openxmlformats.org/officeDocument/2006/relationships/image" Target="media/image6.jpeg"/><Relationship Id="rId7" Type="http://schemas.openxmlformats.org/officeDocument/2006/relationships/footnotes" Target="footnotes.xml"/><Relationship Id="rId71" Type="http://schemas.openxmlformats.org/officeDocument/2006/relationships/hyperlink" Target="https://eua.eu/component/attachments/attachments.html?id=2032" TargetMode="External"/><Relationship Id="rId2" Type="http://schemas.openxmlformats.org/officeDocument/2006/relationships/customXml" Target="../customXml/item2.xml"/><Relationship Id="rId29" Type="http://schemas.openxmlformats.org/officeDocument/2006/relationships/hyperlink" Target="http://institutfrancais.bg/satrudnichestvo/appel-a-projets1/" TargetMode="External"/><Relationship Id="rId24" Type="http://schemas.openxmlformats.org/officeDocument/2006/relationships/hyperlink" Target="https://m-era.net/joint-calls/joint-call-2019/2019-guideforproposers.pdf" TargetMode="External"/><Relationship Id="rId40" Type="http://schemas.openxmlformats.org/officeDocument/2006/relationships/hyperlink" Target="http://www.qsort.eu/conference-2019-overview/" TargetMode="External"/><Relationship Id="rId45" Type="http://schemas.openxmlformats.org/officeDocument/2006/relationships/hyperlink" Target="http://www.allthings.bio/" TargetMode="External"/><Relationship Id="rId66"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ЮНИ,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481AB8-B2F4-45F2-B45D-FB16894EA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7927</Words>
  <Characters>45189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2019-06-11T15:52:00Z</dcterms:created>
  <dcterms:modified xsi:type="dcterms:W3CDTF">2019-06-11T15:52:00Z</dcterms:modified>
</cp:coreProperties>
</file>