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eastAsia="bg-BG"/>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97DF5" w:rsidRPr="00015B3F" w:rsidRDefault="00497DF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97DF5" w:rsidRPr="00015B3F" w:rsidRDefault="00497DF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97DF5" w:rsidRPr="00015B3F" w:rsidRDefault="00497DF5">
                                  <w:pPr>
                                    <w:pStyle w:val="NoSpacing"/>
                                    <w:spacing w:line="360" w:lineRule="auto"/>
                                    <w:rPr>
                                      <w:color w:val="FFFFFF" w:themeColor="background1"/>
                                      <w:sz w:val="28"/>
                                      <w:szCs w:val="28"/>
                                    </w:rPr>
                                  </w:pPr>
                                </w:p>
                                <w:p w:rsidR="00497DF5" w:rsidRPr="00015B3F" w:rsidRDefault="00497DF5">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97DF5" w:rsidRPr="00D00941" w:rsidRDefault="00497DF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1CFEC"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97DF5" w:rsidRPr="00015B3F" w:rsidRDefault="00497DF5">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НОЕМВРИ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97DF5" w:rsidRPr="00015B3F" w:rsidRDefault="00497DF5"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497DF5" w:rsidRPr="00015B3F" w:rsidRDefault="00497DF5">
                            <w:pPr>
                              <w:pStyle w:val="NoSpacing"/>
                              <w:spacing w:line="360" w:lineRule="auto"/>
                              <w:rPr>
                                <w:color w:val="FFFFFF" w:themeColor="background1"/>
                                <w:sz w:val="28"/>
                                <w:szCs w:val="28"/>
                              </w:rPr>
                            </w:pPr>
                          </w:p>
                          <w:p w:rsidR="00497DF5" w:rsidRPr="00015B3F" w:rsidRDefault="00497DF5">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97DF5" w:rsidRPr="00D00941" w:rsidRDefault="00497DF5">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E20859"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8268A6"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98005889" w:history="1">
            <w:r w:rsidR="008268A6" w:rsidRPr="007C52BC">
              <w:rPr>
                <w:rStyle w:val="Hyperlink"/>
                <w:rFonts w:cs="Times New Roman"/>
                <w:noProof/>
              </w:rPr>
              <w:t>МАГИСТРАТУРИ, СТИПЕНДИИ, СТАЖОВЕ</w:t>
            </w:r>
            <w:r w:rsidR="008268A6">
              <w:rPr>
                <w:noProof/>
                <w:webHidden/>
              </w:rPr>
              <w:tab/>
            </w:r>
            <w:r w:rsidR="008268A6">
              <w:rPr>
                <w:noProof/>
                <w:webHidden/>
              </w:rPr>
              <w:fldChar w:fldCharType="begin"/>
            </w:r>
            <w:r w:rsidR="008268A6">
              <w:rPr>
                <w:noProof/>
                <w:webHidden/>
              </w:rPr>
              <w:instrText xml:space="preserve"> PAGEREF _Toc498005889 \h </w:instrText>
            </w:r>
            <w:r w:rsidR="008268A6">
              <w:rPr>
                <w:noProof/>
                <w:webHidden/>
              </w:rPr>
            </w:r>
            <w:r w:rsidR="008268A6">
              <w:rPr>
                <w:noProof/>
                <w:webHidden/>
              </w:rPr>
              <w:fldChar w:fldCharType="separate"/>
            </w:r>
            <w:r w:rsidR="008268A6">
              <w:rPr>
                <w:noProof/>
                <w:webHidden/>
              </w:rPr>
              <w:t>3</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0" w:history="1">
            <w:r w:rsidR="008268A6" w:rsidRPr="007C52BC">
              <w:rPr>
                <w:rStyle w:val="Hyperlink"/>
                <w:rFonts w:ascii="Wingdings" w:hAnsi="Wingdings" w:cs="Times New Roman"/>
                <w:noProof/>
              </w:rPr>
              <w:t></w:t>
            </w:r>
            <w:r w:rsidR="008268A6">
              <w:rPr>
                <w:rFonts w:asciiTheme="minorHAnsi" w:eastAsiaTheme="minorEastAsia" w:hAnsiTheme="minorHAnsi"/>
                <w:noProof/>
                <w:lang w:eastAsia="bg-BG"/>
              </w:rPr>
              <w:tab/>
            </w:r>
            <w:r w:rsidR="008268A6" w:rsidRPr="007C52BC">
              <w:rPr>
                <w:rStyle w:val="Hyperlink"/>
                <w:rFonts w:cs="Times New Roman"/>
                <w:noProof/>
              </w:rPr>
              <w:t>Годишна стипендия на Федерална провинция Бавария</w:t>
            </w:r>
            <w:r w:rsidR="008268A6">
              <w:rPr>
                <w:noProof/>
                <w:webHidden/>
              </w:rPr>
              <w:tab/>
            </w:r>
            <w:r w:rsidR="008268A6">
              <w:rPr>
                <w:noProof/>
                <w:webHidden/>
              </w:rPr>
              <w:fldChar w:fldCharType="begin"/>
            </w:r>
            <w:r w:rsidR="008268A6">
              <w:rPr>
                <w:noProof/>
                <w:webHidden/>
              </w:rPr>
              <w:instrText xml:space="preserve"> PAGEREF _Toc498005890 \h </w:instrText>
            </w:r>
            <w:r w:rsidR="008268A6">
              <w:rPr>
                <w:noProof/>
                <w:webHidden/>
              </w:rPr>
            </w:r>
            <w:r w:rsidR="008268A6">
              <w:rPr>
                <w:noProof/>
                <w:webHidden/>
              </w:rPr>
              <w:fldChar w:fldCharType="separate"/>
            </w:r>
            <w:r w:rsidR="008268A6">
              <w:rPr>
                <w:noProof/>
                <w:webHidden/>
              </w:rPr>
              <w:t>3</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1" w:history="1">
            <w:r w:rsidR="008268A6" w:rsidRPr="007C52BC">
              <w:rPr>
                <w:rStyle w:val="Hyperlink"/>
                <w:rFonts w:ascii="Wingdings" w:hAnsi="Wingdings"/>
                <w:noProof/>
                <w:lang w:val="ru-RU"/>
              </w:rPr>
              <w:t></w:t>
            </w:r>
            <w:r w:rsidR="008268A6">
              <w:rPr>
                <w:rFonts w:asciiTheme="minorHAnsi" w:eastAsiaTheme="minorEastAsia" w:hAnsiTheme="minorHAnsi"/>
                <w:noProof/>
                <w:lang w:eastAsia="bg-BG"/>
              </w:rPr>
              <w:tab/>
            </w:r>
            <w:r w:rsidR="008268A6" w:rsidRPr="007C52BC">
              <w:rPr>
                <w:rStyle w:val="Hyperlink"/>
                <w:noProof/>
                <w:lang w:val="ru-RU"/>
              </w:rPr>
              <w:t>Конкурс за стажант-аташета на МВнР</w:t>
            </w:r>
            <w:r w:rsidR="008268A6">
              <w:rPr>
                <w:noProof/>
                <w:webHidden/>
              </w:rPr>
              <w:tab/>
            </w:r>
            <w:r w:rsidR="008268A6">
              <w:rPr>
                <w:noProof/>
                <w:webHidden/>
              </w:rPr>
              <w:fldChar w:fldCharType="begin"/>
            </w:r>
            <w:r w:rsidR="008268A6">
              <w:rPr>
                <w:noProof/>
                <w:webHidden/>
              </w:rPr>
              <w:instrText xml:space="preserve"> PAGEREF _Toc498005891 \h </w:instrText>
            </w:r>
            <w:r w:rsidR="008268A6">
              <w:rPr>
                <w:noProof/>
                <w:webHidden/>
              </w:rPr>
            </w:r>
            <w:r w:rsidR="008268A6">
              <w:rPr>
                <w:noProof/>
                <w:webHidden/>
              </w:rPr>
              <w:fldChar w:fldCharType="separate"/>
            </w:r>
            <w:r w:rsidR="008268A6">
              <w:rPr>
                <w:noProof/>
                <w:webHidden/>
              </w:rPr>
              <w:t>3</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2" w:history="1">
            <w:r w:rsidR="008268A6" w:rsidRPr="007C52BC">
              <w:rPr>
                <w:rStyle w:val="Hyperlink"/>
                <w:rFonts w:ascii="Wingdings" w:hAnsi="Wingdings"/>
                <w:noProof/>
                <w:lang w:val="ru-RU"/>
              </w:rPr>
              <w:t></w:t>
            </w:r>
            <w:r w:rsidR="008268A6">
              <w:rPr>
                <w:rFonts w:asciiTheme="minorHAnsi" w:eastAsiaTheme="minorEastAsia" w:hAnsiTheme="minorHAnsi"/>
                <w:noProof/>
                <w:lang w:eastAsia="bg-BG"/>
              </w:rPr>
              <w:tab/>
            </w:r>
            <w:r w:rsidR="008268A6" w:rsidRPr="007C52BC">
              <w:rPr>
                <w:rStyle w:val="Hyperlink"/>
                <w:noProof/>
              </w:rPr>
              <w:t>Платен стаж в Световната търговска организация</w:t>
            </w:r>
            <w:r w:rsidR="008268A6">
              <w:rPr>
                <w:noProof/>
                <w:webHidden/>
              </w:rPr>
              <w:tab/>
            </w:r>
            <w:r w:rsidR="008268A6">
              <w:rPr>
                <w:noProof/>
                <w:webHidden/>
              </w:rPr>
              <w:fldChar w:fldCharType="begin"/>
            </w:r>
            <w:r w:rsidR="008268A6">
              <w:rPr>
                <w:noProof/>
                <w:webHidden/>
              </w:rPr>
              <w:instrText xml:space="preserve"> PAGEREF _Toc498005892 \h </w:instrText>
            </w:r>
            <w:r w:rsidR="008268A6">
              <w:rPr>
                <w:noProof/>
                <w:webHidden/>
              </w:rPr>
            </w:r>
            <w:r w:rsidR="008268A6">
              <w:rPr>
                <w:noProof/>
                <w:webHidden/>
              </w:rPr>
              <w:fldChar w:fldCharType="separate"/>
            </w:r>
            <w:r w:rsidR="008268A6">
              <w:rPr>
                <w:noProof/>
                <w:webHidden/>
              </w:rPr>
              <w:t>3</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3"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Стажантска програма на УниКредит Булбанк</w:t>
            </w:r>
            <w:r w:rsidR="008268A6">
              <w:rPr>
                <w:noProof/>
                <w:webHidden/>
              </w:rPr>
              <w:tab/>
            </w:r>
            <w:r w:rsidR="008268A6">
              <w:rPr>
                <w:noProof/>
                <w:webHidden/>
              </w:rPr>
              <w:fldChar w:fldCharType="begin"/>
            </w:r>
            <w:r w:rsidR="008268A6">
              <w:rPr>
                <w:noProof/>
                <w:webHidden/>
              </w:rPr>
              <w:instrText xml:space="preserve"> PAGEREF _Toc498005893 \h </w:instrText>
            </w:r>
            <w:r w:rsidR="008268A6">
              <w:rPr>
                <w:noProof/>
                <w:webHidden/>
              </w:rPr>
            </w:r>
            <w:r w:rsidR="008268A6">
              <w:rPr>
                <w:noProof/>
                <w:webHidden/>
              </w:rPr>
              <w:fldChar w:fldCharType="separate"/>
            </w:r>
            <w:r w:rsidR="008268A6">
              <w:rPr>
                <w:noProof/>
                <w:webHidden/>
              </w:rPr>
              <w:t>4</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4"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Стаж в Организацията по прехрана и земеделие (FAO) към ООН</w:t>
            </w:r>
            <w:r w:rsidR="008268A6">
              <w:rPr>
                <w:noProof/>
                <w:webHidden/>
              </w:rPr>
              <w:tab/>
            </w:r>
            <w:r w:rsidR="008268A6">
              <w:rPr>
                <w:noProof/>
                <w:webHidden/>
              </w:rPr>
              <w:fldChar w:fldCharType="begin"/>
            </w:r>
            <w:r w:rsidR="008268A6">
              <w:rPr>
                <w:noProof/>
                <w:webHidden/>
              </w:rPr>
              <w:instrText xml:space="preserve"> PAGEREF _Toc498005894 \h </w:instrText>
            </w:r>
            <w:r w:rsidR="008268A6">
              <w:rPr>
                <w:noProof/>
                <w:webHidden/>
              </w:rPr>
            </w:r>
            <w:r w:rsidR="008268A6">
              <w:rPr>
                <w:noProof/>
                <w:webHidden/>
              </w:rPr>
              <w:fldChar w:fldCharType="separate"/>
            </w:r>
            <w:r w:rsidR="008268A6">
              <w:rPr>
                <w:noProof/>
                <w:webHidden/>
              </w:rPr>
              <w:t>4</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5"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Стажове в Международната академия на нюрнбергските принципи</w:t>
            </w:r>
            <w:r w:rsidR="008268A6">
              <w:rPr>
                <w:noProof/>
                <w:webHidden/>
              </w:rPr>
              <w:tab/>
            </w:r>
            <w:r w:rsidR="008268A6">
              <w:rPr>
                <w:noProof/>
                <w:webHidden/>
              </w:rPr>
              <w:fldChar w:fldCharType="begin"/>
            </w:r>
            <w:r w:rsidR="008268A6">
              <w:rPr>
                <w:noProof/>
                <w:webHidden/>
              </w:rPr>
              <w:instrText xml:space="preserve"> PAGEREF _Toc498005895 \h </w:instrText>
            </w:r>
            <w:r w:rsidR="008268A6">
              <w:rPr>
                <w:noProof/>
                <w:webHidden/>
              </w:rPr>
            </w:r>
            <w:r w:rsidR="008268A6">
              <w:rPr>
                <w:noProof/>
                <w:webHidden/>
              </w:rPr>
              <w:fldChar w:fldCharType="separate"/>
            </w:r>
            <w:r w:rsidR="008268A6">
              <w:rPr>
                <w:noProof/>
                <w:webHidden/>
              </w:rPr>
              <w:t>4</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6"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Стажантска програма на Столична община</w:t>
            </w:r>
            <w:r w:rsidR="008268A6">
              <w:rPr>
                <w:noProof/>
                <w:webHidden/>
              </w:rPr>
              <w:tab/>
            </w:r>
            <w:r w:rsidR="008268A6">
              <w:rPr>
                <w:noProof/>
                <w:webHidden/>
              </w:rPr>
              <w:fldChar w:fldCharType="begin"/>
            </w:r>
            <w:r w:rsidR="008268A6">
              <w:rPr>
                <w:noProof/>
                <w:webHidden/>
              </w:rPr>
              <w:instrText xml:space="preserve"> PAGEREF _Toc498005896 \h </w:instrText>
            </w:r>
            <w:r w:rsidR="008268A6">
              <w:rPr>
                <w:noProof/>
                <w:webHidden/>
              </w:rPr>
            </w:r>
            <w:r w:rsidR="008268A6">
              <w:rPr>
                <w:noProof/>
                <w:webHidden/>
              </w:rPr>
              <w:fldChar w:fldCharType="separate"/>
            </w:r>
            <w:r w:rsidR="008268A6">
              <w:rPr>
                <w:noProof/>
                <w:webHidden/>
              </w:rPr>
              <w:t>5</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7"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Програма "Предизвикателство“ на Българо-американската кредитна банка</w:t>
            </w:r>
            <w:r w:rsidR="008268A6">
              <w:rPr>
                <w:noProof/>
                <w:webHidden/>
              </w:rPr>
              <w:tab/>
            </w:r>
            <w:r w:rsidR="008268A6">
              <w:rPr>
                <w:noProof/>
                <w:webHidden/>
              </w:rPr>
              <w:fldChar w:fldCharType="begin"/>
            </w:r>
            <w:r w:rsidR="008268A6">
              <w:rPr>
                <w:noProof/>
                <w:webHidden/>
              </w:rPr>
              <w:instrText xml:space="preserve"> PAGEREF _Toc498005897 \h </w:instrText>
            </w:r>
            <w:r w:rsidR="008268A6">
              <w:rPr>
                <w:noProof/>
                <w:webHidden/>
              </w:rPr>
            </w:r>
            <w:r w:rsidR="008268A6">
              <w:rPr>
                <w:noProof/>
                <w:webHidden/>
              </w:rPr>
              <w:fldChar w:fldCharType="separate"/>
            </w:r>
            <w:r w:rsidR="008268A6">
              <w:rPr>
                <w:noProof/>
                <w:webHidden/>
              </w:rPr>
              <w:t>5</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8" w:history="1">
            <w:r w:rsidR="008268A6" w:rsidRPr="007C52BC">
              <w:rPr>
                <w:rStyle w:val="Hyperlink"/>
                <w:rFonts w:ascii="Wingdings" w:hAnsi="Wingdings"/>
                <w:noProof/>
                <w:lang w:val="ru-RU"/>
              </w:rPr>
              <w:t></w:t>
            </w:r>
            <w:r w:rsidR="008268A6">
              <w:rPr>
                <w:rFonts w:asciiTheme="minorHAnsi" w:eastAsiaTheme="minorEastAsia" w:hAnsiTheme="minorHAnsi"/>
                <w:noProof/>
                <w:lang w:eastAsia="bg-BG"/>
              </w:rPr>
              <w:tab/>
            </w:r>
            <w:r w:rsidR="008268A6" w:rsidRPr="007C52BC">
              <w:rPr>
                <w:rStyle w:val="Hyperlink"/>
                <w:noProof/>
                <w:lang w:val="ru-RU"/>
              </w:rPr>
              <w:t xml:space="preserve">Стажантска програма на </w:t>
            </w:r>
            <w:r w:rsidR="008268A6" w:rsidRPr="007C52BC">
              <w:rPr>
                <w:rStyle w:val="Hyperlink"/>
                <w:noProof/>
              </w:rPr>
              <w:t>Българския дарителски форум</w:t>
            </w:r>
            <w:r w:rsidR="008268A6">
              <w:rPr>
                <w:noProof/>
                <w:webHidden/>
              </w:rPr>
              <w:tab/>
            </w:r>
            <w:r w:rsidR="008268A6">
              <w:rPr>
                <w:noProof/>
                <w:webHidden/>
              </w:rPr>
              <w:fldChar w:fldCharType="begin"/>
            </w:r>
            <w:r w:rsidR="008268A6">
              <w:rPr>
                <w:noProof/>
                <w:webHidden/>
              </w:rPr>
              <w:instrText xml:space="preserve"> PAGEREF _Toc498005898 \h </w:instrText>
            </w:r>
            <w:r w:rsidR="008268A6">
              <w:rPr>
                <w:noProof/>
                <w:webHidden/>
              </w:rPr>
            </w:r>
            <w:r w:rsidR="008268A6">
              <w:rPr>
                <w:noProof/>
                <w:webHidden/>
              </w:rPr>
              <w:fldChar w:fldCharType="separate"/>
            </w:r>
            <w:r w:rsidR="008268A6">
              <w:rPr>
                <w:noProof/>
                <w:webHidden/>
              </w:rPr>
              <w:t>6</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899" w:history="1">
            <w:r w:rsidR="008268A6" w:rsidRPr="007C52BC">
              <w:rPr>
                <w:rStyle w:val="Hyperlink"/>
                <w:rFonts w:ascii="Wingdings" w:hAnsi="Wingdings"/>
                <w:noProof/>
                <w:lang w:val="ru-RU"/>
              </w:rPr>
              <w:t></w:t>
            </w:r>
            <w:r w:rsidR="008268A6">
              <w:rPr>
                <w:rFonts w:asciiTheme="minorHAnsi" w:eastAsiaTheme="minorEastAsia" w:hAnsiTheme="minorHAnsi"/>
                <w:noProof/>
                <w:lang w:eastAsia="bg-BG"/>
              </w:rPr>
              <w:tab/>
            </w:r>
            <w:r w:rsidR="008268A6" w:rsidRPr="007C52BC">
              <w:rPr>
                <w:rStyle w:val="Hyperlink"/>
                <w:noProof/>
                <w:lang w:val="ru-RU"/>
              </w:rPr>
              <w:t>Конкурс за студент на годината</w:t>
            </w:r>
            <w:r w:rsidR="008268A6">
              <w:rPr>
                <w:noProof/>
                <w:webHidden/>
              </w:rPr>
              <w:tab/>
            </w:r>
            <w:r w:rsidR="008268A6">
              <w:rPr>
                <w:noProof/>
                <w:webHidden/>
              </w:rPr>
              <w:fldChar w:fldCharType="begin"/>
            </w:r>
            <w:r w:rsidR="008268A6">
              <w:rPr>
                <w:noProof/>
                <w:webHidden/>
              </w:rPr>
              <w:instrText xml:space="preserve"> PAGEREF _Toc498005899 \h </w:instrText>
            </w:r>
            <w:r w:rsidR="008268A6">
              <w:rPr>
                <w:noProof/>
                <w:webHidden/>
              </w:rPr>
            </w:r>
            <w:r w:rsidR="008268A6">
              <w:rPr>
                <w:noProof/>
                <w:webHidden/>
              </w:rPr>
              <w:fldChar w:fldCharType="separate"/>
            </w:r>
            <w:r w:rsidR="008268A6">
              <w:rPr>
                <w:noProof/>
                <w:webHidden/>
              </w:rPr>
              <w:t>6</w:t>
            </w:r>
            <w:r w:rsidR="008268A6">
              <w:rPr>
                <w:noProof/>
                <w:webHidden/>
              </w:rPr>
              <w:fldChar w:fldCharType="end"/>
            </w:r>
          </w:hyperlink>
        </w:p>
        <w:p w:rsidR="008268A6" w:rsidRDefault="00E20859">
          <w:pPr>
            <w:pStyle w:val="TOC1"/>
            <w:tabs>
              <w:tab w:val="right" w:leader="dot" w:pos="9062"/>
            </w:tabs>
            <w:rPr>
              <w:rFonts w:asciiTheme="minorHAnsi" w:eastAsiaTheme="minorEastAsia" w:hAnsiTheme="minorHAnsi"/>
              <w:noProof/>
              <w:lang w:eastAsia="bg-BG"/>
            </w:rPr>
          </w:pPr>
          <w:hyperlink w:anchor="_Toc498005900" w:history="1">
            <w:r w:rsidR="008268A6" w:rsidRPr="007C52BC">
              <w:rPr>
                <w:rStyle w:val="Hyperlink"/>
                <w:noProof/>
              </w:rPr>
              <w:t>ПРОГРАМИ</w:t>
            </w:r>
            <w:r w:rsidR="008268A6">
              <w:rPr>
                <w:noProof/>
                <w:webHidden/>
              </w:rPr>
              <w:tab/>
            </w:r>
            <w:r w:rsidR="008268A6">
              <w:rPr>
                <w:noProof/>
                <w:webHidden/>
              </w:rPr>
              <w:fldChar w:fldCharType="begin"/>
            </w:r>
            <w:r w:rsidR="008268A6">
              <w:rPr>
                <w:noProof/>
                <w:webHidden/>
              </w:rPr>
              <w:instrText xml:space="preserve"> PAGEREF _Toc498005900 \h </w:instrText>
            </w:r>
            <w:r w:rsidR="008268A6">
              <w:rPr>
                <w:noProof/>
                <w:webHidden/>
              </w:rPr>
            </w:r>
            <w:r w:rsidR="008268A6">
              <w:rPr>
                <w:noProof/>
                <w:webHidden/>
              </w:rPr>
              <w:fldChar w:fldCharType="separate"/>
            </w:r>
            <w:r w:rsidR="008268A6">
              <w:rPr>
                <w:noProof/>
                <w:webHidden/>
              </w:rPr>
              <w:t>7</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1"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Програма на Министерството на науката и технологиите на Китай за талантливи млади учени</w:t>
            </w:r>
            <w:r w:rsidR="008268A6">
              <w:rPr>
                <w:noProof/>
                <w:webHidden/>
              </w:rPr>
              <w:tab/>
            </w:r>
            <w:r w:rsidR="008268A6">
              <w:rPr>
                <w:noProof/>
                <w:webHidden/>
              </w:rPr>
              <w:fldChar w:fldCharType="begin"/>
            </w:r>
            <w:r w:rsidR="008268A6">
              <w:rPr>
                <w:noProof/>
                <w:webHidden/>
              </w:rPr>
              <w:instrText xml:space="preserve"> PAGEREF _Toc498005901 \h </w:instrText>
            </w:r>
            <w:r w:rsidR="008268A6">
              <w:rPr>
                <w:noProof/>
                <w:webHidden/>
              </w:rPr>
            </w:r>
            <w:r w:rsidR="008268A6">
              <w:rPr>
                <w:noProof/>
                <w:webHidden/>
              </w:rPr>
              <w:fldChar w:fldCharType="separate"/>
            </w:r>
            <w:r w:rsidR="008268A6">
              <w:rPr>
                <w:noProof/>
                <w:webHidden/>
              </w:rPr>
              <w:t>7</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2" w:history="1">
            <w:r w:rsidR="008268A6" w:rsidRPr="007C52BC">
              <w:rPr>
                <w:rStyle w:val="Hyperlink"/>
                <w:rFonts w:ascii="Wingdings" w:eastAsia="Times New Roman" w:hAnsi="Wingdings"/>
                <w:noProof/>
                <w:lang w:eastAsia="bg-BG"/>
              </w:rPr>
              <w:t></w:t>
            </w:r>
            <w:r w:rsidR="008268A6">
              <w:rPr>
                <w:rFonts w:asciiTheme="minorHAnsi" w:eastAsiaTheme="minorEastAsia" w:hAnsiTheme="minorHAnsi"/>
                <w:noProof/>
                <w:lang w:eastAsia="bg-BG"/>
              </w:rPr>
              <w:tab/>
            </w:r>
            <w:r w:rsidR="008268A6" w:rsidRPr="007C52BC">
              <w:rPr>
                <w:rStyle w:val="Hyperlink"/>
                <w:rFonts w:eastAsia="Times New Roman"/>
                <w:noProof/>
                <w:lang w:eastAsia="bg-BG"/>
              </w:rPr>
              <w:t>Подкрепа на международни научни форуми, провеждани в Република България</w:t>
            </w:r>
            <w:r w:rsidR="008268A6">
              <w:rPr>
                <w:noProof/>
                <w:webHidden/>
              </w:rPr>
              <w:tab/>
            </w:r>
            <w:r w:rsidR="008268A6">
              <w:rPr>
                <w:noProof/>
                <w:webHidden/>
              </w:rPr>
              <w:fldChar w:fldCharType="begin"/>
            </w:r>
            <w:r w:rsidR="008268A6">
              <w:rPr>
                <w:noProof/>
                <w:webHidden/>
              </w:rPr>
              <w:instrText xml:space="preserve"> PAGEREF _Toc498005902 \h </w:instrText>
            </w:r>
            <w:r w:rsidR="008268A6">
              <w:rPr>
                <w:noProof/>
                <w:webHidden/>
              </w:rPr>
            </w:r>
            <w:r w:rsidR="008268A6">
              <w:rPr>
                <w:noProof/>
                <w:webHidden/>
              </w:rPr>
              <w:fldChar w:fldCharType="separate"/>
            </w:r>
            <w:r w:rsidR="008268A6">
              <w:rPr>
                <w:noProof/>
                <w:webHidden/>
              </w:rPr>
              <w:t>8</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3" w:history="1">
            <w:r w:rsidR="008268A6" w:rsidRPr="007C52BC">
              <w:rPr>
                <w:rStyle w:val="Hyperlink"/>
                <w:rFonts w:ascii="Wingdings" w:hAnsi="Wingdings"/>
                <w:noProof/>
                <w:lang w:eastAsia="bg-BG"/>
              </w:rPr>
              <w:t></w:t>
            </w:r>
            <w:r w:rsidR="008268A6">
              <w:rPr>
                <w:rFonts w:asciiTheme="minorHAnsi" w:eastAsiaTheme="minorEastAsia" w:hAnsiTheme="minorHAnsi"/>
                <w:noProof/>
                <w:lang w:eastAsia="bg-BG"/>
              </w:rPr>
              <w:tab/>
            </w:r>
            <w:r w:rsidR="008268A6" w:rsidRPr="007C52BC">
              <w:rPr>
                <w:rStyle w:val="Hyperlink"/>
                <w:noProof/>
                <w:lang w:eastAsia="bg-BG"/>
              </w:rPr>
              <w:t>Национално съфинансиране за участие на български колективи в утвърдени проекти по COST</w:t>
            </w:r>
            <w:r w:rsidR="008268A6">
              <w:rPr>
                <w:noProof/>
                <w:webHidden/>
              </w:rPr>
              <w:tab/>
            </w:r>
            <w:r w:rsidR="008268A6">
              <w:rPr>
                <w:noProof/>
                <w:webHidden/>
              </w:rPr>
              <w:fldChar w:fldCharType="begin"/>
            </w:r>
            <w:r w:rsidR="008268A6">
              <w:rPr>
                <w:noProof/>
                <w:webHidden/>
              </w:rPr>
              <w:instrText xml:space="preserve"> PAGEREF _Toc498005903 \h </w:instrText>
            </w:r>
            <w:r w:rsidR="008268A6">
              <w:rPr>
                <w:noProof/>
                <w:webHidden/>
              </w:rPr>
            </w:r>
            <w:r w:rsidR="008268A6">
              <w:rPr>
                <w:noProof/>
                <w:webHidden/>
              </w:rPr>
              <w:fldChar w:fldCharType="separate"/>
            </w:r>
            <w:r w:rsidR="008268A6">
              <w:rPr>
                <w:noProof/>
                <w:webHidden/>
              </w:rPr>
              <w:t>9</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4" w:history="1">
            <w:r w:rsidR="008268A6" w:rsidRPr="007C52BC">
              <w:rPr>
                <w:rStyle w:val="Hyperlink"/>
                <w:rFonts w:ascii="Wingdings" w:hAnsi="Wingdings"/>
                <w:noProof/>
                <w:lang w:val="en-US" w:eastAsia="bg-BG"/>
              </w:rPr>
              <w:t></w:t>
            </w:r>
            <w:r w:rsidR="008268A6">
              <w:rPr>
                <w:rFonts w:asciiTheme="minorHAnsi" w:eastAsiaTheme="minorEastAsia" w:hAnsiTheme="minorHAnsi"/>
                <w:noProof/>
                <w:lang w:eastAsia="bg-BG"/>
              </w:rPr>
              <w:tab/>
            </w:r>
            <w:r w:rsidR="008268A6" w:rsidRPr="007C52BC">
              <w:rPr>
                <w:rStyle w:val="Hyperlink"/>
                <w:noProof/>
                <w:lang w:val="en-US"/>
              </w:rPr>
              <w:t>R&amp;D Calls HORIZON 2020</w:t>
            </w:r>
            <w:r w:rsidR="008268A6">
              <w:rPr>
                <w:noProof/>
                <w:webHidden/>
              </w:rPr>
              <w:tab/>
            </w:r>
            <w:r w:rsidR="008268A6">
              <w:rPr>
                <w:noProof/>
                <w:webHidden/>
              </w:rPr>
              <w:fldChar w:fldCharType="begin"/>
            </w:r>
            <w:r w:rsidR="008268A6">
              <w:rPr>
                <w:noProof/>
                <w:webHidden/>
              </w:rPr>
              <w:instrText xml:space="preserve"> PAGEREF _Toc498005904 \h </w:instrText>
            </w:r>
            <w:r w:rsidR="008268A6">
              <w:rPr>
                <w:noProof/>
                <w:webHidden/>
              </w:rPr>
            </w:r>
            <w:r w:rsidR="008268A6">
              <w:rPr>
                <w:noProof/>
                <w:webHidden/>
              </w:rPr>
              <w:fldChar w:fldCharType="separate"/>
            </w:r>
            <w:r w:rsidR="008268A6">
              <w:rPr>
                <w:noProof/>
                <w:webHidden/>
              </w:rPr>
              <w:t>10</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5" w:history="1">
            <w:r w:rsidR="008268A6" w:rsidRPr="007C52BC">
              <w:rPr>
                <w:rStyle w:val="Hyperlink"/>
                <w:rFonts w:ascii="Wingdings" w:hAnsi="Wingdings"/>
                <w:noProof/>
              </w:rPr>
              <w:t></w:t>
            </w:r>
            <w:r w:rsidR="008268A6">
              <w:rPr>
                <w:rFonts w:asciiTheme="minorHAnsi" w:eastAsiaTheme="minorEastAsia" w:hAnsiTheme="minorHAnsi"/>
                <w:noProof/>
                <w:lang w:eastAsia="bg-BG"/>
              </w:rPr>
              <w:tab/>
            </w:r>
            <w:r w:rsidR="008268A6" w:rsidRPr="007C52BC">
              <w:rPr>
                <w:rStyle w:val="Hyperlink"/>
                <w:noProof/>
              </w:rPr>
              <w:t>Програма: „Америка за България”</w:t>
            </w:r>
            <w:r w:rsidR="008268A6">
              <w:rPr>
                <w:noProof/>
                <w:webHidden/>
              </w:rPr>
              <w:tab/>
            </w:r>
            <w:r w:rsidR="008268A6">
              <w:rPr>
                <w:noProof/>
                <w:webHidden/>
              </w:rPr>
              <w:fldChar w:fldCharType="begin"/>
            </w:r>
            <w:r w:rsidR="008268A6">
              <w:rPr>
                <w:noProof/>
                <w:webHidden/>
              </w:rPr>
              <w:instrText xml:space="preserve"> PAGEREF _Toc498005905 \h </w:instrText>
            </w:r>
            <w:r w:rsidR="008268A6">
              <w:rPr>
                <w:noProof/>
                <w:webHidden/>
              </w:rPr>
            </w:r>
            <w:r w:rsidR="008268A6">
              <w:rPr>
                <w:noProof/>
                <w:webHidden/>
              </w:rPr>
              <w:fldChar w:fldCharType="separate"/>
            </w:r>
            <w:r w:rsidR="008268A6">
              <w:rPr>
                <w:noProof/>
                <w:webHidden/>
              </w:rPr>
              <w:t>10</w:t>
            </w:r>
            <w:r w:rsidR="008268A6">
              <w:rPr>
                <w:noProof/>
                <w:webHidden/>
              </w:rPr>
              <w:fldChar w:fldCharType="end"/>
            </w:r>
          </w:hyperlink>
        </w:p>
        <w:p w:rsidR="008268A6" w:rsidRDefault="00E20859">
          <w:pPr>
            <w:pStyle w:val="TOC1"/>
            <w:tabs>
              <w:tab w:val="right" w:leader="dot" w:pos="9062"/>
            </w:tabs>
            <w:rPr>
              <w:rFonts w:asciiTheme="minorHAnsi" w:eastAsiaTheme="minorEastAsia" w:hAnsiTheme="minorHAnsi"/>
              <w:noProof/>
              <w:lang w:eastAsia="bg-BG"/>
            </w:rPr>
          </w:pPr>
          <w:hyperlink w:anchor="_Toc498005906" w:history="1">
            <w:r w:rsidR="008268A6" w:rsidRPr="007C52BC">
              <w:rPr>
                <w:rStyle w:val="Hyperlink"/>
                <w:noProof/>
              </w:rPr>
              <w:t>СЪБИТИЯ</w:t>
            </w:r>
            <w:r w:rsidR="008268A6">
              <w:rPr>
                <w:noProof/>
                <w:webHidden/>
              </w:rPr>
              <w:tab/>
            </w:r>
            <w:r w:rsidR="008268A6">
              <w:rPr>
                <w:noProof/>
                <w:webHidden/>
              </w:rPr>
              <w:fldChar w:fldCharType="begin"/>
            </w:r>
            <w:r w:rsidR="008268A6">
              <w:rPr>
                <w:noProof/>
                <w:webHidden/>
              </w:rPr>
              <w:instrText xml:space="preserve"> PAGEREF _Toc498005906 \h </w:instrText>
            </w:r>
            <w:r w:rsidR="008268A6">
              <w:rPr>
                <w:noProof/>
                <w:webHidden/>
              </w:rPr>
            </w:r>
            <w:r w:rsidR="008268A6">
              <w:rPr>
                <w:noProof/>
                <w:webHidden/>
              </w:rPr>
              <w:fldChar w:fldCharType="separate"/>
            </w:r>
            <w:r w:rsidR="008268A6">
              <w:rPr>
                <w:noProof/>
                <w:webHidden/>
              </w:rPr>
              <w:t>12</w:t>
            </w:r>
            <w:r w:rsidR="008268A6">
              <w:rPr>
                <w:noProof/>
                <w:webHidden/>
              </w:rPr>
              <w:fldChar w:fldCharType="end"/>
            </w:r>
          </w:hyperlink>
        </w:p>
        <w:p w:rsidR="008268A6" w:rsidRDefault="00E20859">
          <w:pPr>
            <w:pStyle w:val="TOC1"/>
            <w:tabs>
              <w:tab w:val="right" w:leader="dot" w:pos="9062"/>
            </w:tabs>
            <w:rPr>
              <w:rFonts w:asciiTheme="minorHAnsi" w:eastAsiaTheme="minorEastAsia" w:hAnsiTheme="minorHAnsi"/>
              <w:noProof/>
              <w:lang w:eastAsia="bg-BG"/>
            </w:rPr>
          </w:pPr>
          <w:hyperlink w:anchor="_Toc498005907" w:history="1">
            <w:r w:rsidR="008268A6" w:rsidRPr="007C52BC">
              <w:rPr>
                <w:rStyle w:val="Hyperlink"/>
                <w:noProof/>
              </w:rPr>
              <w:t>ПУБЛИКАЦИИ</w:t>
            </w:r>
            <w:r w:rsidR="008268A6">
              <w:rPr>
                <w:noProof/>
                <w:webHidden/>
              </w:rPr>
              <w:tab/>
            </w:r>
            <w:r w:rsidR="008268A6">
              <w:rPr>
                <w:noProof/>
                <w:webHidden/>
              </w:rPr>
              <w:fldChar w:fldCharType="begin"/>
            </w:r>
            <w:r w:rsidR="008268A6">
              <w:rPr>
                <w:noProof/>
                <w:webHidden/>
              </w:rPr>
              <w:instrText xml:space="preserve"> PAGEREF _Toc498005907 \h </w:instrText>
            </w:r>
            <w:r w:rsidR="008268A6">
              <w:rPr>
                <w:noProof/>
                <w:webHidden/>
              </w:rPr>
            </w:r>
            <w:r w:rsidR="008268A6">
              <w:rPr>
                <w:noProof/>
                <w:webHidden/>
              </w:rPr>
              <w:fldChar w:fldCharType="separate"/>
            </w:r>
            <w:r w:rsidR="008268A6">
              <w:rPr>
                <w:noProof/>
                <w:webHidden/>
              </w:rPr>
              <w:t>15</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8" w:history="1">
            <w:r w:rsidR="008268A6" w:rsidRPr="007C52BC">
              <w:rPr>
                <w:rStyle w:val="Hyperlink"/>
                <w:rFonts w:ascii="Wingdings" w:hAnsi="Wingdings"/>
                <w:noProof/>
                <w:lang w:val="en-GB"/>
              </w:rPr>
              <w:t></w:t>
            </w:r>
            <w:r w:rsidR="008268A6">
              <w:rPr>
                <w:rFonts w:asciiTheme="minorHAnsi" w:eastAsiaTheme="minorEastAsia" w:hAnsiTheme="minorHAnsi"/>
                <w:noProof/>
                <w:lang w:eastAsia="bg-BG"/>
              </w:rPr>
              <w:tab/>
            </w:r>
            <w:r w:rsidR="008268A6" w:rsidRPr="007C52BC">
              <w:rPr>
                <w:rStyle w:val="Hyperlink"/>
                <w:noProof/>
                <w:lang w:val="en-GB"/>
              </w:rPr>
              <w:t>RESEARCH EU MAGAZINE</w:t>
            </w:r>
            <w:r w:rsidR="008268A6">
              <w:rPr>
                <w:noProof/>
                <w:webHidden/>
              </w:rPr>
              <w:tab/>
            </w:r>
            <w:r w:rsidR="008268A6">
              <w:rPr>
                <w:noProof/>
                <w:webHidden/>
              </w:rPr>
              <w:fldChar w:fldCharType="begin"/>
            </w:r>
            <w:r w:rsidR="008268A6">
              <w:rPr>
                <w:noProof/>
                <w:webHidden/>
              </w:rPr>
              <w:instrText xml:space="preserve"> PAGEREF _Toc498005908 \h </w:instrText>
            </w:r>
            <w:r w:rsidR="008268A6">
              <w:rPr>
                <w:noProof/>
                <w:webHidden/>
              </w:rPr>
            </w:r>
            <w:r w:rsidR="008268A6">
              <w:rPr>
                <w:noProof/>
                <w:webHidden/>
              </w:rPr>
              <w:fldChar w:fldCharType="separate"/>
            </w:r>
            <w:r w:rsidR="008268A6">
              <w:rPr>
                <w:noProof/>
                <w:webHidden/>
              </w:rPr>
              <w:t>15</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09" w:history="1">
            <w:r w:rsidR="008268A6" w:rsidRPr="007C52BC">
              <w:rPr>
                <w:rStyle w:val="Hyperlink"/>
                <w:rFonts w:ascii="Wingdings" w:hAnsi="Wingdings"/>
                <w:noProof/>
                <w:lang w:val="en"/>
              </w:rPr>
              <w:t></w:t>
            </w:r>
            <w:r w:rsidR="008268A6">
              <w:rPr>
                <w:rFonts w:asciiTheme="minorHAnsi" w:eastAsiaTheme="minorEastAsia" w:hAnsiTheme="minorHAnsi"/>
                <w:noProof/>
                <w:lang w:eastAsia="bg-BG"/>
              </w:rPr>
              <w:tab/>
            </w:r>
            <w:r w:rsidR="008268A6" w:rsidRPr="007C52BC">
              <w:rPr>
                <w:rStyle w:val="Hyperlink"/>
                <w:noProof/>
                <w:lang w:val="en"/>
              </w:rPr>
              <w:t>The Twentieth Century in European Memory - Transcultural Mediation and Reception</w:t>
            </w:r>
            <w:r w:rsidR="008268A6">
              <w:rPr>
                <w:noProof/>
                <w:webHidden/>
              </w:rPr>
              <w:tab/>
            </w:r>
            <w:r w:rsidR="008268A6">
              <w:rPr>
                <w:noProof/>
                <w:webHidden/>
              </w:rPr>
              <w:fldChar w:fldCharType="begin"/>
            </w:r>
            <w:r w:rsidR="008268A6">
              <w:rPr>
                <w:noProof/>
                <w:webHidden/>
              </w:rPr>
              <w:instrText xml:space="preserve"> PAGEREF _Toc498005909 \h </w:instrText>
            </w:r>
            <w:r w:rsidR="008268A6">
              <w:rPr>
                <w:noProof/>
                <w:webHidden/>
              </w:rPr>
            </w:r>
            <w:r w:rsidR="008268A6">
              <w:rPr>
                <w:noProof/>
                <w:webHidden/>
              </w:rPr>
              <w:fldChar w:fldCharType="separate"/>
            </w:r>
            <w:r w:rsidR="008268A6">
              <w:rPr>
                <w:noProof/>
                <w:webHidden/>
              </w:rPr>
              <w:t>15</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10" w:history="1">
            <w:r w:rsidR="008268A6" w:rsidRPr="007C52BC">
              <w:rPr>
                <w:rStyle w:val="Hyperlink"/>
                <w:rFonts w:ascii="Wingdings" w:hAnsi="Wingdings"/>
                <w:noProof/>
                <w:lang w:val="en-GB"/>
              </w:rPr>
              <w:t></w:t>
            </w:r>
            <w:r w:rsidR="008268A6">
              <w:rPr>
                <w:rFonts w:asciiTheme="minorHAnsi" w:eastAsiaTheme="minorEastAsia" w:hAnsiTheme="minorHAnsi"/>
                <w:noProof/>
                <w:lang w:eastAsia="bg-BG"/>
              </w:rPr>
              <w:tab/>
            </w:r>
            <w:r w:rsidR="008268A6" w:rsidRPr="007C52BC">
              <w:rPr>
                <w:rStyle w:val="Hyperlink"/>
                <w:noProof/>
                <w:lang w:val="en"/>
              </w:rPr>
              <w:t>Field guide for the identification of damage on woody sentinel plants</w:t>
            </w:r>
            <w:r w:rsidR="008268A6">
              <w:rPr>
                <w:noProof/>
                <w:webHidden/>
              </w:rPr>
              <w:tab/>
            </w:r>
            <w:r w:rsidR="008268A6">
              <w:rPr>
                <w:noProof/>
                <w:webHidden/>
              </w:rPr>
              <w:fldChar w:fldCharType="begin"/>
            </w:r>
            <w:r w:rsidR="008268A6">
              <w:rPr>
                <w:noProof/>
                <w:webHidden/>
              </w:rPr>
              <w:instrText xml:space="preserve"> PAGEREF _Toc498005910 \h </w:instrText>
            </w:r>
            <w:r w:rsidR="008268A6">
              <w:rPr>
                <w:noProof/>
                <w:webHidden/>
              </w:rPr>
            </w:r>
            <w:r w:rsidR="008268A6">
              <w:rPr>
                <w:noProof/>
                <w:webHidden/>
              </w:rPr>
              <w:fldChar w:fldCharType="separate"/>
            </w:r>
            <w:r w:rsidR="008268A6">
              <w:rPr>
                <w:noProof/>
                <w:webHidden/>
              </w:rPr>
              <w:t>16</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11" w:history="1">
            <w:r w:rsidR="008268A6" w:rsidRPr="007C52BC">
              <w:rPr>
                <w:rStyle w:val="Hyperlink"/>
                <w:rFonts w:ascii="Wingdings" w:hAnsi="Wingdings"/>
                <w:noProof/>
                <w:lang w:val="en-US"/>
              </w:rPr>
              <w:t></w:t>
            </w:r>
            <w:r w:rsidR="008268A6">
              <w:rPr>
                <w:rFonts w:asciiTheme="minorHAnsi" w:eastAsiaTheme="minorEastAsia" w:hAnsiTheme="minorHAnsi"/>
                <w:noProof/>
                <w:lang w:eastAsia="bg-BG"/>
              </w:rPr>
              <w:tab/>
            </w:r>
            <w:r w:rsidR="008268A6" w:rsidRPr="007C52BC">
              <w:rPr>
                <w:rStyle w:val="Hyperlink"/>
                <w:noProof/>
                <w:lang w:val="en-US"/>
              </w:rPr>
              <w:t>CERN COURIER</w:t>
            </w:r>
            <w:r w:rsidR="008268A6">
              <w:rPr>
                <w:noProof/>
                <w:webHidden/>
              </w:rPr>
              <w:tab/>
            </w:r>
            <w:r w:rsidR="008268A6">
              <w:rPr>
                <w:noProof/>
                <w:webHidden/>
              </w:rPr>
              <w:fldChar w:fldCharType="begin"/>
            </w:r>
            <w:r w:rsidR="008268A6">
              <w:rPr>
                <w:noProof/>
                <w:webHidden/>
              </w:rPr>
              <w:instrText xml:space="preserve"> PAGEREF _Toc498005911 \h </w:instrText>
            </w:r>
            <w:r w:rsidR="008268A6">
              <w:rPr>
                <w:noProof/>
                <w:webHidden/>
              </w:rPr>
            </w:r>
            <w:r w:rsidR="008268A6">
              <w:rPr>
                <w:noProof/>
                <w:webHidden/>
              </w:rPr>
              <w:fldChar w:fldCharType="separate"/>
            </w:r>
            <w:r w:rsidR="008268A6">
              <w:rPr>
                <w:noProof/>
                <w:webHidden/>
              </w:rPr>
              <w:t>16</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12" w:history="1">
            <w:r w:rsidR="008268A6" w:rsidRPr="007C52BC">
              <w:rPr>
                <w:rStyle w:val="Hyperlink"/>
                <w:rFonts w:ascii="Wingdings" w:eastAsia="Times New Roman" w:hAnsi="Wingdings"/>
                <w:noProof/>
                <w:lang w:val="en" w:eastAsia="bg-BG"/>
              </w:rPr>
              <w:t></w:t>
            </w:r>
            <w:r w:rsidR="008268A6">
              <w:rPr>
                <w:rFonts w:asciiTheme="minorHAnsi" w:eastAsiaTheme="minorEastAsia" w:hAnsiTheme="minorHAnsi"/>
                <w:noProof/>
                <w:lang w:eastAsia="bg-BG"/>
              </w:rPr>
              <w:tab/>
            </w:r>
            <w:r w:rsidR="008268A6" w:rsidRPr="007C52BC">
              <w:rPr>
                <w:rStyle w:val="Hyperlink"/>
                <w:rFonts w:eastAsia="Times New Roman"/>
                <w:noProof/>
                <w:lang w:val="en" w:eastAsia="bg-BG"/>
              </w:rPr>
              <w:t>Laser Optofluidics in Fighting Multiple Drug Resistance</w:t>
            </w:r>
            <w:r w:rsidR="008268A6">
              <w:rPr>
                <w:noProof/>
                <w:webHidden/>
              </w:rPr>
              <w:tab/>
            </w:r>
            <w:r w:rsidR="008268A6">
              <w:rPr>
                <w:noProof/>
                <w:webHidden/>
              </w:rPr>
              <w:fldChar w:fldCharType="begin"/>
            </w:r>
            <w:r w:rsidR="008268A6">
              <w:rPr>
                <w:noProof/>
                <w:webHidden/>
              </w:rPr>
              <w:instrText xml:space="preserve"> PAGEREF _Toc498005912 \h </w:instrText>
            </w:r>
            <w:r w:rsidR="008268A6">
              <w:rPr>
                <w:noProof/>
                <w:webHidden/>
              </w:rPr>
            </w:r>
            <w:r w:rsidR="008268A6">
              <w:rPr>
                <w:noProof/>
                <w:webHidden/>
              </w:rPr>
              <w:fldChar w:fldCharType="separate"/>
            </w:r>
            <w:r w:rsidR="008268A6">
              <w:rPr>
                <w:noProof/>
                <w:webHidden/>
              </w:rPr>
              <w:t>17</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13" w:history="1">
            <w:r w:rsidR="008268A6" w:rsidRPr="007C52BC">
              <w:rPr>
                <w:rStyle w:val="Hyperlink"/>
                <w:rFonts w:ascii="Wingdings" w:hAnsi="Wingdings"/>
                <w:noProof/>
                <w:lang w:val="en"/>
              </w:rPr>
              <w:t></w:t>
            </w:r>
            <w:r w:rsidR="008268A6">
              <w:rPr>
                <w:rFonts w:asciiTheme="minorHAnsi" w:eastAsiaTheme="minorEastAsia" w:hAnsiTheme="minorHAnsi"/>
                <w:noProof/>
                <w:lang w:eastAsia="bg-BG"/>
              </w:rPr>
              <w:tab/>
            </w:r>
            <w:r w:rsidR="008268A6" w:rsidRPr="007C52BC">
              <w:rPr>
                <w:rStyle w:val="Hyperlink"/>
                <w:noProof/>
                <w:lang w:val="en"/>
              </w:rPr>
              <w:t>History Education and Conflict Transformation</w:t>
            </w:r>
            <w:r w:rsidR="008268A6">
              <w:rPr>
                <w:noProof/>
                <w:webHidden/>
              </w:rPr>
              <w:tab/>
            </w:r>
            <w:r w:rsidR="008268A6">
              <w:rPr>
                <w:noProof/>
                <w:webHidden/>
              </w:rPr>
              <w:fldChar w:fldCharType="begin"/>
            </w:r>
            <w:r w:rsidR="008268A6">
              <w:rPr>
                <w:noProof/>
                <w:webHidden/>
              </w:rPr>
              <w:instrText xml:space="preserve"> PAGEREF _Toc498005913 \h </w:instrText>
            </w:r>
            <w:r w:rsidR="008268A6">
              <w:rPr>
                <w:noProof/>
                <w:webHidden/>
              </w:rPr>
            </w:r>
            <w:r w:rsidR="008268A6">
              <w:rPr>
                <w:noProof/>
                <w:webHidden/>
              </w:rPr>
              <w:fldChar w:fldCharType="separate"/>
            </w:r>
            <w:r w:rsidR="008268A6">
              <w:rPr>
                <w:noProof/>
                <w:webHidden/>
              </w:rPr>
              <w:t>17</w:t>
            </w:r>
            <w:r w:rsidR="008268A6">
              <w:rPr>
                <w:noProof/>
                <w:webHidden/>
              </w:rPr>
              <w:fldChar w:fldCharType="end"/>
            </w:r>
          </w:hyperlink>
        </w:p>
        <w:p w:rsidR="008268A6" w:rsidRDefault="00E20859">
          <w:pPr>
            <w:pStyle w:val="TOC2"/>
            <w:tabs>
              <w:tab w:val="left" w:pos="660"/>
              <w:tab w:val="right" w:leader="dot" w:pos="9062"/>
            </w:tabs>
            <w:rPr>
              <w:rFonts w:asciiTheme="minorHAnsi" w:eastAsiaTheme="minorEastAsia" w:hAnsiTheme="minorHAnsi"/>
              <w:noProof/>
              <w:lang w:eastAsia="bg-BG"/>
            </w:rPr>
          </w:pPr>
          <w:hyperlink w:anchor="_Toc498005914" w:history="1">
            <w:r w:rsidR="008268A6" w:rsidRPr="007C52BC">
              <w:rPr>
                <w:rStyle w:val="Hyperlink"/>
                <w:rFonts w:ascii="Wingdings" w:hAnsi="Wingdings"/>
                <w:noProof/>
                <w:lang w:val="en-US"/>
              </w:rPr>
              <w:t></w:t>
            </w:r>
            <w:r w:rsidR="008268A6">
              <w:rPr>
                <w:rFonts w:asciiTheme="minorHAnsi" w:eastAsiaTheme="minorEastAsia" w:hAnsiTheme="minorHAnsi"/>
                <w:noProof/>
                <w:lang w:eastAsia="bg-BG"/>
              </w:rPr>
              <w:tab/>
            </w:r>
            <w:r w:rsidR="008268A6" w:rsidRPr="007C52BC">
              <w:rPr>
                <w:rStyle w:val="Hyperlink"/>
                <w:noProof/>
                <w:lang w:val="en-US"/>
              </w:rPr>
              <w:t>Assessing the potential for crowdfunding and other forms of alternative finance to support research and innovation</w:t>
            </w:r>
            <w:r w:rsidR="008268A6">
              <w:rPr>
                <w:noProof/>
                <w:webHidden/>
              </w:rPr>
              <w:tab/>
            </w:r>
            <w:r w:rsidR="008268A6">
              <w:rPr>
                <w:noProof/>
                <w:webHidden/>
              </w:rPr>
              <w:fldChar w:fldCharType="begin"/>
            </w:r>
            <w:r w:rsidR="008268A6">
              <w:rPr>
                <w:noProof/>
                <w:webHidden/>
              </w:rPr>
              <w:instrText xml:space="preserve"> PAGEREF _Toc498005914 \h </w:instrText>
            </w:r>
            <w:r w:rsidR="008268A6">
              <w:rPr>
                <w:noProof/>
                <w:webHidden/>
              </w:rPr>
            </w:r>
            <w:r w:rsidR="008268A6">
              <w:rPr>
                <w:noProof/>
                <w:webHidden/>
              </w:rPr>
              <w:fldChar w:fldCharType="separate"/>
            </w:r>
            <w:r w:rsidR="008268A6">
              <w:rPr>
                <w:noProof/>
                <w:webHidden/>
              </w:rPr>
              <w:t>18</w:t>
            </w:r>
            <w:r w:rsidR="008268A6">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A1024F" w:rsidRPr="00031BF3" w:rsidRDefault="006B19B3" w:rsidP="00703403">
      <w:pPr>
        <w:pStyle w:val="Master-scholarship-internship"/>
        <w:rPr>
          <w:rFonts w:ascii="Times New Roman" w:hAnsi="Times New Roman" w:cs="Times New Roman"/>
          <w:lang w:val="ru-RU"/>
        </w:rPr>
      </w:pPr>
      <w:bookmarkStart w:id="1" w:name="_Toc498005889"/>
      <w:r w:rsidRPr="0098044C">
        <w:rPr>
          <w:rFonts w:ascii="Times New Roman" w:hAnsi="Times New Roman" w:cs="Times New Roman"/>
        </w:rPr>
        <w:lastRenderedPageBreak/>
        <w:t>МАГИСТРАТУРИ, СТИПЕНДИИ, СТАЖОВЕ</w:t>
      </w:r>
      <w:bookmarkEnd w:id="1"/>
    </w:p>
    <w:p w:rsidR="00EC2ED2" w:rsidRPr="00A25A2B" w:rsidRDefault="00EC2ED2" w:rsidP="00703403">
      <w:pPr>
        <w:pStyle w:val="Heading2"/>
        <w:ind w:left="284"/>
        <w:rPr>
          <w:rFonts w:ascii="Times New Roman" w:hAnsi="Times New Roman" w:cs="Times New Roman"/>
          <w:szCs w:val="24"/>
        </w:rPr>
      </w:pPr>
      <w:bookmarkStart w:id="2" w:name="_Toc498005890"/>
      <w:r w:rsidRPr="00A25A2B">
        <w:rPr>
          <w:rFonts w:ascii="Times New Roman" w:hAnsi="Times New Roman" w:cs="Times New Roman"/>
          <w:szCs w:val="24"/>
        </w:rPr>
        <w:t>Годишна стипендия на Федерална провинция Бавария</w:t>
      </w:r>
      <w:bookmarkEnd w:id="2"/>
    </w:p>
    <w:p w:rsidR="00EC2ED2" w:rsidRPr="00703403" w:rsidRDefault="00EC2ED2" w:rsidP="00EC2ED2">
      <w:pPr>
        <w:rPr>
          <w:sz w:val="24"/>
          <w:szCs w:val="24"/>
        </w:rPr>
      </w:pPr>
      <w:r w:rsidRPr="00A25A2B">
        <w:rPr>
          <w:rFonts w:cs="Times New Roman"/>
          <w:sz w:val="24"/>
          <w:szCs w:val="24"/>
        </w:rPr>
        <w:t>Годишната стипендия на Федерална провинция Бавария се отпуска на завършили</w:t>
      </w:r>
      <w:r w:rsidRPr="00703403">
        <w:rPr>
          <w:sz w:val="24"/>
          <w:szCs w:val="24"/>
        </w:rPr>
        <w:t xml:space="preserve"> студенти от България, Хърватия, Полша, Румъния, Русия, Сърбия, Словакия, Чехия, Украйна и Унгария.</w:t>
      </w:r>
    </w:p>
    <w:p w:rsidR="00EC2ED2" w:rsidRPr="00703403" w:rsidRDefault="00EC2ED2" w:rsidP="00EC2ED2">
      <w:pPr>
        <w:rPr>
          <w:sz w:val="24"/>
          <w:szCs w:val="24"/>
        </w:rPr>
      </w:pPr>
      <w:r w:rsidRPr="00703403">
        <w:rPr>
          <w:sz w:val="24"/>
          <w:szCs w:val="24"/>
        </w:rPr>
        <w:t>Стипендията се предоставя от Университета в Регенсбург и е в размер на 735 евро на месец. Тя може да се използва за обучение в образователно-квалификационна степен „магистър“ или образователно-квалификационна степен „доктор“ в държавно висше училище на територията на федералната провинция. Отпуска се за период от една година, с възможност за нейното продължаване до 3 години.</w:t>
      </w:r>
      <w:r w:rsidR="00A25A2B" w:rsidRPr="00A25A2B">
        <w:rPr>
          <w:rFonts w:cs="Times New Roman"/>
          <w:sz w:val="24"/>
          <w:szCs w:val="24"/>
        </w:rPr>
        <w:t xml:space="preserve"> За родители с 1 дете е предвидено допълнително финансиране, като общата сума за една година се равнява на 10 740 евро.</w:t>
      </w:r>
    </w:p>
    <w:p w:rsidR="00A25A2B" w:rsidRPr="00A25A2B" w:rsidRDefault="00A25A2B" w:rsidP="00A25A2B">
      <w:pPr>
        <w:spacing w:before="120" w:after="120"/>
        <w:rPr>
          <w:rFonts w:cs="Times New Roman"/>
          <w:sz w:val="24"/>
          <w:szCs w:val="24"/>
          <w:lang w:val="ru-RU"/>
        </w:rPr>
      </w:pPr>
      <w:r w:rsidRPr="00A25A2B">
        <w:rPr>
          <w:rFonts w:cs="Times New Roman"/>
          <w:sz w:val="24"/>
          <w:szCs w:val="24"/>
        </w:rPr>
        <w:t xml:space="preserve">За да кандидатствате, е нужно да попълните </w:t>
      </w:r>
      <w:hyperlink r:id="rId11" w:tgtFrame="_blank" w:history="1">
        <w:r w:rsidRPr="00A25A2B">
          <w:rPr>
            <w:rStyle w:val="Hyperlink"/>
            <w:rFonts w:cs="Times New Roman"/>
            <w:sz w:val="24"/>
            <w:szCs w:val="24"/>
          </w:rPr>
          <w:t>формуляр</w:t>
        </w:r>
      </w:hyperlink>
      <w:r w:rsidRPr="00A25A2B">
        <w:rPr>
          <w:rFonts w:cs="Times New Roman"/>
          <w:sz w:val="24"/>
          <w:szCs w:val="24"/>
        </w:rPr>
        <w:t xml:space="preserve">. Повече информация може да откриете </w:t>
      </w:r>
      <w:hyperlink r:id="rId12" w:tgtFrame="_blank" w:history="1">
        <w:r w:rsidRPr="00A25A2B">
          <w:rPr>
            <w:rStyle w:val="Hyperlink"/>
            <w:rFonts w:cs="Times New Roman"/>
            <w:sz w:val="24"/>
            <w:szCs w:val="24"/>
          </w:rPr>
          <w:t>тук</w:t>
        </w:r>
      </w:hyperlink>
      <w:r w:rsidRPr="00A25A2B">
        <w:rPr>
          <w:rFonts w:cs="Times New Roman"/>
          <w:sz w:val="24"/>
          <w:szCs w:val="24"/>
        </w:rPr>
        <w:t>.</w:t>
      </w:r>
    </w:p>
    <w:p w:rsidR="00703403" w:rsidRPr="00703403" w:rsidRDefault="00703403" w:rsidP="00E92A42">
      <w:pPr>
        <w:spacing w:after="360"/>
        <w:rPr>
          <w:sz w:val="24"/>
          <w:szCs w:val="24"/>
        </w:rPr>
      </w:pPr>
      <w:proofErr w:type="spellStart"/>
      <w:r w:rsidRPr="00703403">
        <w:rPr>
          <w:b/>
          <w:bCs/>
          <w:sz w:val="24"/>
          <w:szCs w:val="24"/>
        </w:rPr>
        <w:t>Кра</w:t>
      </w:r>
      <w:proofErr w:type="spellEnd"/>
      <w:r>
        <w:rPr>
          <w:b/>
          <w:bCs/>
          <w:sz w:val="24"/>
          <w:szCs w:val="24"/>
          <w:lang w:val="en-US"/>
        </w:rPr>
        <w:t>e</w:t>
      </w:r>
      <w:r>
        <w:rPr>
          <w:b/>
          <w:bCs/>
          <w:sz w:val="24"/>
          <w:szCs w:val="24"/>
        </w:rPr>
        <w:t xml:space="preserve">н </w:t>
      </w:r>
      <w:r w:rsidRPr="00703403">
        <w:rPr>
          <w:b/>
          <w:bCs/>
          <w:sz w:val="24"/>
          <w:szCs w:val="24"/>
        </w:rPr>
        <w:t>срок за кандидатстване</w:t>
      </w:r>
      <w:r>
        <w:rPr>
          <w:b/>
          <w:bCs/>
          <w:sz w:val="24"/>
          <w:szCs w:val="24"/>
        </w:rPr>
        <w:t>:</w:t>
      </w:r>
      <w:r w:rsidR="00A25A2B">
        <w:rPr>
          <w:b/>
          <w:bCs/>
          <w:sz w:val="24"/>
          <w:szCs w:val="24"/>
        </w:rPr>
        <w:t xml:space="preserve"> </w:t>
      </w:r>
      <w:r w:rsidRPr="00703403">
        <w:rPr>
          <w:b/>
          <w:bCs/>
          <w:sz w:val="24"/>
          <w:szCs w:val="24"/>
        </w:rPr>
        <w:t>1 декември 2017 г.</w:t>
      </w:r>
    </w:p>
    <w:p w:rsidR="00E759C5" w:rsidRPr="00530493" w:rsidRDefault="00530493" w:rsidP="00D8287E">
      <w:pPr>
        <w:pStyle w:val="Heading2"/>
        <w:ind w:left="425" w:hanging="357"/>
        <w:rPr>
          <w:lang w:val="ru-RU"/>
        </w:rPr>
      </w:pPr>
      <w:bookmarkStart w:id="3" w:name="_Toc498005891"/>
      <w:r w:rsidRPr="00530493">
        <w:rPr>
          <w:lang w:val="ru-RU"/>
        </w:rPr>
        <w:t>Конкурс за стажант-аташета на МВнР</w:t>
      </w:r>
      <w:bookmarkEnd w:id="3"/>
    </w:p>
    <w:p w:rsidR="00530493" w:rsidRDefault="00E759C5" w:rsidP="00530493">
      <w:pPr>
        <w:spacing w:before="120" w:after="120"/>
        <w:rPr>
          <w:rFonts w:cs="Times New Roman"/>
          <w:sz w:val="24"/>
          <w:szCs w:val="24"/>
        </w:rPr>
      </w:pPr>
      <w:r w:rsidRPr="001C50B9">
        <w:rPr>
          <w:rFonts w:cs="Times New Roman"/>
          <w:bCs/>
          <w:sz w:val="24"/>
          <w:szCs w:val="24"/>
        </w:rPr>
        <w:t>Министерството на външните работи (МВнР) обявява конкурс за стажант-аташета.</w:t>
      </w:r>
      <w:r w:rsidRPr="001C50B9">
        <w:rPr>
          <w:rFonts w:cs="Times New Roman"/>
          <w:sz w:val="24"/>
          <w:szCs w:val="24"/>
        </w:rPr>
        <w:t xml:space="preserve"> Темите, по които кандидатите трябва да се подготвят за изпитите, може да намерите </w:t>
      </w:r>
      <w:hyperlink r:id="rId13" w:tgtFrame="_blank" w:history="1">
        <w:r w:rsidRPr="001C50B9">
          <w:rPr>
            <w:rStyle w:val="Hyperlink"/>
            <w:rFonts w:cs="Times New Roman"/>
            <w:sz w:val="24"/>
            <w:szCs w:val="24"/>
          </w:rPr>
          <w:t>тук</w:t>
        </w:r>
      </w:hyperlink>
      <w:r w:rsidRPr="001C50B9">
        <w:rPr>
          <w:rFonts w:cs="Times New Roman"/>
          <w:sz w:val="24"/>
          <w:szCs w:val="24"/>
        </w:rPr>
        <w:t xml:space="preserve">. </w:t>
      </w:r>
    </w:p>
    <w:p w:rsidR="00530493" w:rsidRDefault="00E759C5" w:rsidP="00530493">
      <w:pPr>
        <w:spacing w:before="120" w:after="120"/>
        <w:rPr>
          <w:rFonts w:cs="Times New Roman"/>
          <w:sz w:val="24"/>
          <w:szCs w:val="24"/>
        </w:rPr>
      </w:pPr>
      <w:r w:rsidRPr="001C50B9">
        <w:rPr>
          <w:rFonts w:cs="Times New Roman"/>
          <w:sz w:val="24"/>
          <w:szCs w:val="24"/>
        </w:rPr>
        <w:t xml:space="preserve">Конкурсът ще се проведе до края на годината, като МВнР ще съобщи своевременно за старта му. Успешно преминалите 15 души ще станат държавни служители на длъжност "стажант-аташе". За да участват в конкурса, кандидатите трябва да имат завършено висше образование със степен "магистър" в хуманитарни науки, социални, стопански и правни науки, сигурност и отбрана и да владеят най-малко два чужди езика, като поне единият от тях да е официален за ООН или работен за Европейската комисия. </w:t>
      </w:r>
    </w:p>
    <w:p w:rsidR="00E759C5" w:rsidRPr="001C50B9" w:rsidRDefault="00E759C5" w:rsidP="00530493">
      <w:pPr>
        <w:spacing w:before="120" w:after="120"/>
        <w:rPr>
          <w:rFonts w:cs="Times New Roman"/>
          <w:sz w:val="24"/>
          <w:szCs w:val="24"/>
        </w:rPr>
      </w:pPr>
      <w:r w:rsidRPr="001C50B9">
        <w:rPr>
          <w:rFonts w:cs="Times New Roman"/>
          <w:sz w:val="24"/>
          <w:szCs w:val="24"/>
        </w:rPr>
        <w:t xml:space="preserve">Кандидатите, които владеят редки езици като албански, арабски, гръцки, иврит, италиански, китайски, корейски, румънски, руски, скандинавски езици, турски, фарси, хинди, холандски и японски, имат предимство при равни резултати с техни конкуренти от писмената и устната част от изпита. Повече </w:t>
      </w:r>
      <w:proofErr w:type="spellStart"/>
      <w:r w:rsidRPr="001C50B9">
        <w:rPr>
          <w:rFonts w:cs="Times New Roman"/>
          <w:sz w:val="24"/>
          <w:szCs w:val="24"/>
        </w:rPr>
        <w:t>иформация</w:t>
      </w:r>
      <w:proofErr w:type="spellEnd"/>
      <w:r w:rsidRPr="001C50B9">
        <w:rPr>
          <w:rFonts w:cs="Times New Roman"/>
          <w:sz w:val="24"/>
          <w:szCs w:val="24"/>
        </w:rPr>
        <w:t xml:space="preserve"> за конкурса можете да намерите </w:t>
      </w:r>
      <w:hyperlink r:id="rId14" w:tgtFrame="_blank" w:history="1">
        <w:r w:rsidRPr="001C50B9">
          <w:rPr>
            <w:rStyle w:val="Hyperlink"/>
            <w:rFonts w:cs="Times New Roman"/>
            <w:sz w:val="24"/>
            <w:szCs w:val="24"/>
          </w:rPr>
          <w:t>тук</w:t>
        </w:r>
      </w:hyperlink>
      <w:r w:rsidRPr="001C50B9">
        <w:rPr>
          <w:rFonts w:cs="Times New Roman"/>
          <w:sz w:val="24"/>
          <w:szCs w:val="24"/>
        </w:rPr>
        <w:t>.</w:t>
      </w:r>
    </w:p>
    <w:p w:rsidR="00E759C5" w:rsidRPr="00E759C5" w:rsidRDefault="00530493" w:rsidP="00D8287E">
      <w:pPr>
        <w:spacing w:after="360"/>
        <w:rPr>
          <w:lang w:val="ru-RU"/>
        </w:rPr>
      </w:pPr>
      <w:r>
        <w:rPr>
          <w:b/>
          <w:sz w:val="24"/>
          <w:szCs w:val="24"/>
          <w:lang w:val="ru-RU"/>
        </w:rPr>
        <w:t>Краен срок: не е посочен</w:t>
      </w:r>
    </w:p>
    <w:p w:rsidR="00C177E1" w:rsidRPr="00FE7B4C" w:rsidRDefault="00C177E1" w:rsidP="00C177E1">
      <w:pPr>
        <w:pStyle w:val="Heading2"/>
        <w:ind w:left="425" w:hanging="357"/>
        <w:rPr>
          <w:lang w:val="ru-RU"/>
        </w:rPr>
      </w:pPr>
      <w:bookmarkStart w:id="4" w:name="_Toc498005892"/>
      <w:r>
        <w:t>Платен стаж в Световната търговска организация</w:t>
      </w:r>
      <w:bookmarkEnd w:id="4"/>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lastRenderedPageBreak/>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15"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5" w:name="_Toc498005893"/>
      <w:r>
        <w:t xml:space="preserve">Стажантска програма на </w:t>
      </w:r>
      <w:r w:rsidRPr="005851AE">
        <w:rPr>
          <w:rFonts w:ascii="Times New Roman" w:hAnsi="Times New Roman"/>
        </w:rPr>
        <w:t>УниКредит Булбанк</w:t>
      </w:r>
      <w:bookmarkEnd w:id="5"/>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w:t>
      </w:r>
      <w:proofErr w:type="spellStart"/>
      <w:r w:rsidRPr="00A83FCB">
        <w:rPr>
          <w:rFonts w:cs="Times New Roman"/>
          <w:sz w:val="24"/>
          <w:szCs w:val="24"/>
        </w:rPr>
        <w:t>Факторинг</w:t>
      </w:r>
      <w:proofErr w:type="spellEnd"/>
      <w:r w:rsidRPr="00A83FCB">
        <w:rPr>
          <w:rFonts w:cs="Times New Roman"/>
          <w:sz w:val="24"/>
          <w:szCs w:val="24"/>
        </w:rPr>
        <w:t xml:space="preserve"> и </w:t>
      </w:r>
      <w:proofErr w:type="spellStart"/>
      <w:r w:rsidRPr="00A83FCB">
        <w:rPr>
          <w:rFonts w:cs="Times New Roman"/>
          <w:sz w:val="24"/>
          <w:szCs w:val="24"/>
        </w:rPr>
        <w:t>УниКиредит</w:t>
      </w:r>
      <w:proofErr w:type="spellEnd"/>
      <w:r w:rsidRPr="00A83FCB">
        <w:rPr>
          <w:rFonts w:cs="Times New Roman"/>
          <w:sz w:val="24"/>
          <w:szCs w:val="24"/>
        </w:rPr>
        <w:t xml:space="preserve"> </w:t>
      </w:r>
      <w:proofErr w:type="spellStart"/>
      <w:r w:rsidRPr="00A83FCB">
        <w:rPr>
          <w:rFonts w:cs="Times New Roman"/>
          <w:sz w:val="24"/>
          <w:szCs w:val="24"/>
        </w:rPr>
        <w:t>Кънсюмър</w:t>
      </w:r>
      <w:proofErr w:type="spellEnd"/>
      <w:r w:rsidRPr="00A83FCB">
        <w:rPr>
          <w:rFonts w:cs="Times New Roman"/>
          <w:sz w:val="24"/>
          <w:szCs w:val="24"/>
        </w:rPr>
        <w:t xml:space="preserve"> </w:t>
      </w:r>
      <w:proofErr w:type="spellStart"/>
      <w:r w:rsidRPr="00A83FCB">
        <w:rPr>
          <w:rFonts w:cs="Times New Roman"/>
          <w:sz w:val="24"/>
          <w:szCs w:val="24"/>
        </w:rPr>
        <w:t>Файненсинг</w:t>
      </w:r>
      <w:proofErr w:type="spellEnd"/>
      <w:r w:rsidRPr="00A83FCB">
        <w:rPr>
          <w:rFonts w:cs="Times New Roman"/>
          <w:sz w:val="24"/>
          <w:szCs w:val="24"/>
        </w:rPr>
        <w:t xml:space="preserve">. Желаещите да се включат в програмата могат да кандидатстват през </w:t>
      </w:r>
      <w:hyperlink r:id="rId16" w:tgtFrame="_blank" w:history="1">
        <w:r w:rsidRPr="005851AE">
          <w:rPr>
            <w:rStyle w:val="Hyperlink"/>
            <w:rFonts w:cs="Times New Roman"/>
            <w:sz w:val="24"/>
            <w:szCs w:val="24"/>
          </w:rPr>
          <w:t xml:space="preserve">сайта на банката </w:t>
        </w:r>
      </w:hyperlink>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7"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6" w:name="_Toc498005894"/>
      <w:r w:rsidRPr="001A023B">
        <w:t>Стаж в Организацията по прехрана и земеделие (FAO) към ООН</w:t>
      </w:r>
      <w:bookmarkEnd w:id="6"/>
    </w:p>
    <w:p w:rsidR="00C177E1" w:rsidRPr="00C47674" w:rsidRDefault="00C177E1" w:rsidP="00C177E1">
      <w:pPr>
        <w:rPr>
          <w:rFonts w:cs="Times New Roman"/>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hyperlink r:id="rId18"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7" w:name="_Toc498005895"/>
      <w:r w:rsidRPr="00A724B3">
        <w:t>Стажове в Международната академия на нюрнбергските принципи</w:t>
      </w:r>
      <w:bookmarkEnd w:id="7"/>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w:t>
      </w:r>
      <w:r w:rsidRPr="00A724B3">
        <w:rPr>
          <w:rFonts w:cs="Times New Roman"/>
          <w:sz w:val="24"/>
          <w:szCs w:val="24"/>
        </w:rPr>
        <w:lastRenderedPageBreak/>
        <w:t xml:space="preserve">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9"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D8287E" w:rsidRPr="00D8287E" w:rsidRDefault="00D8287E" w:rsidP="00D8287E">
      <w:pPr>
        <w:pStyle w:val="Heading2"/>
        <w:ind w:left="426"/>
      </w:pPr>
      <w:bookmarkStart w:id="8" w:name="_Toc498005896"/>
      <w:r w:rsidRPr="00D8287E">
        <w:t>Стажантска програма на Столична община</w:t>
      </w:r>
      <w:bookmarkEnd w:id="8"/>
    </w:p>
    <w:p w:rsidR="00D8287E" w:rsidRDefault="00D8287E" w:rsidP="00D8287E">
      <w:pPr>
        <w:spacing w:before="120" w:after="120"/>
        <w:rPr>
          <w:bCs/>
          <w:sz w:val="24"/>
          <w:szCs w:val="24"/>
        </w:rPr>
      </w:pPr>
      <w:r w:rsidRPr="00D8287E">
        <w:rPr>
          <w:bCs/>
          <w:sz w:val="24"/>
          <w:szCs w:val="24"/>
        </w:rPr>
        <w:t xml:space="preserve">Екипът на инициативата на Столична община "Визия за София" обявява стажантка програма с 6 позиции в следните специалности: мениджмънт, PR и комуникации, устройствено планиране и ГИС, социология, екология и правно-нормативни аспекти. </w:t>
      </w:r>
    </w:p>
    <w:p w:rsidR="00D8287E" w:rsidRDefault="00D8287E" w:rsidP="00D8287E">
      <w:pPr>
        <w:spacing w:before="120" w:after="120"/>
        <w:rPr>
          <w:sz w:val="24"/>
          <w:szCs w:val="24"/>
        </w:rPr>
      </w:pPr>
      <w:r w:rsidRPr="00D8287E">
        <w:rPr>
          <w:sz w:val="24"/>
          <w:szCs w:val="24"/>
        </w:rPr>
        <w:t>Програмата предвижда месечно заплащане на граждански договор, както и допълнителна</w:t>
      </w:r>
      <w:r w:rsidRPr="00CF6B1B">
        <w:rPr>
          <w:sz w:val="24"/>
          <w:szCs w:val="24"/>
        </w:rPr>
        <w:t xml:space="preserve"> стипендия за кандидатите, регистрирани в уебсайта </w:t>
      </w:r>
      <w:hyperlink r:id="rId20" w:tgtFrame="_blank" w:history="1">
        <w:r w:rsidRPr="00CF6B1B">
          <w:rPr>
            <w:rStyle w:val="Hyperlink"/>
            <w:sz w:val="24"/>
            <w:szCs w:val="24"/>
          </w:rPr>
          <w:t>Студентски практики</w:t>
        </w:r>
      </w:hyperlink>
      <w:r w:rsidRPr="00CF6B1B">
        <w:rPr>
          <w:sz w:val="24"/>
          <w:szCs w:val="24"/>
        </w:rPr>
        <w:t xml:space="preserve">. Кандидатстването става с подаване на CV на e-mail: </w:t>
      </w:r>
      <w:hyperlink r:id="rId21" w:history="1">
        <w:r w:rsidRPr="00CF6B1B">
          <w:rPr>
            <w:rStyle w:val="Hyperlink"/>
            <w:sz w:val="24"/>
            <w:szCs w:val="24"/>
          </w:rPr>
          <w:t>team@vizia.sofia.bg</w:t>
        </w:r>
      </w:hyperlink>
      <w:r w:rsidRPr="00CF6B1B">
        <w:rPr>
          <w:sz w:val="24"/>
          <w:szCs w:val="24"/>
        </w:rPr>
        <w:t>.</w:t>
      </w:r>
    </w:p>
    <w:p w:rsidR="00D8287E" w:rsidRPr="00D8287E" w:rsidRDefault="00D8287E" w:rsidP="00D8287E">
      <w:pPr>
        <w:spacing w:before="120" w:after="360"/>
        <w:rPr>
          <w:b/>
          <w:sz w:val="24"/>
          <w:szCs w:val="24"/>
        </w:rPr>
      </w:pPr>
      <w:r w:rsidRPr="00D8287E">
        <w:rPr>
          <w:b/>
          <w:sz w:val="24"/>
          <w:szCs w:val="24"/>
        </w:rPr>
        <w:t>Краен срок: не е посочен</w:t>
      </w:r>
    </w:p>
    <w:p w:rsidR="00CF6B1B" w:rsidRPr="00043AEC" w:rsidRDefault="00043AEC" w:rsidP="00043AEC">
      <w:pPr>
        <w:pStyle w:val="Heading2"/>
        <w:ind w:left="426"/>
      </w:pPr>
      <w:bookmarkStart w:id="9" w:name="_Toc498005897"/>
      <w:r w:rsidRPr="00043AEC">
        <w:t>Програма "Предизвикателство“ на Българо-американската кредитна банка</w:t>
      </w:r>
      <w:bookmarkEnd w:id="9"/>
    </w:p>
    <w:p w:rsidR="00043AEC" w:rsidRDefault="00A9631C" w:rsidP="001E2550">
      <w:pPr>
        <w:spacing w:before="120" w:after="120"/>
        <w:rPr>
          <w:rFonts w:cs="Times New Roman"/>
          <w:sz w:val="24"/>
          <w:szCs w:val="24"/>
        </w:rPr>
      </w:pPr>
      <w:r w:rsidRPr="00043AEC">
        <w:rPr>
          <w:rFonts w:cs="Times New Roman"/>
          <w:bCs/>
          <w:sz w:val="24"/>
          <w:szCs w:val="24"/>
        </w:rPr>
        <w:t xml:space="preserve">Българо-американската кредитна банка (БАКБ) </w:t>
      </w:r>
      <w:r w:rsidR="00043AEC">
        <w:rPr>
          <w:rFonts w:cs="Times New Roman"/>
          <w:bCs/>
          <w:sz w:val="24"/>
          <w:szCs w:val="24"/>
        </w:rPr>
        <w:t xml:space="preserve">обяви началото на своята </w:t>
      </w:r>
      <w:r w:rsidRPr="00043AEC">
        <w:rPr>
          <w:rFonts w:cs="Times New Roman"/>
          <w:bCs/>
          <w:sz w:val="24"/>
          <w:szCs w:val="24"/>
        </w:rPr>
        <w:t>програма "Предизвикателство".</w:t>
      </w:r>
      <w:r w:rsidRPr="00A9631C">
        <w:rPr>
          <w:rFonts w:cs="Times New Roman"/>
          <w:b/>
          <w:bCs/>
          <w:sz w:val="24"/>
          <w:szCs w:val="24"/>
        </w:rPr>
        <w:t xml:space="preserve"> </w:t>
      </w:r>
      <w:r w:rsidRPr="00A9631C">
        <w:rPr>
          <w:rFonts w:cs="Times New Roman"/>
          <w:sz w:val="24"/>
          <w:szCs w:val="24"/>
        </w:rPr>
        <w:t xml:space="preserve">Тя цели да подкрепи зелени и устойчиви идеи на стартиращи предприемачи. Търсят се стопански инициативи, изградени върху концепцията за природосъобразно и устойчиво развитие. </w:t>
      </w:r>
    </w:p>
    <w:p w:rsidR="00043AEC" w:rsidRDefault="00A9631C" w:rsidP="001E2550">
      <w:pPr>
        <w:spacing w:before="120" w:after="120"/>
        <w:rPr>
          <w:rFonts w:cs="Times New Roman"/>
          <w:sz w:val="24"/>
          <w:szCs w:val="24"/>
        </w:rPr>
      </w:pPr>
      <w:proofErr w:type="spellStart"/>
      <w:r w:rsidRPr="00A9631C">
        <w:rPr>
          <w:rFonts w:cs="Times New Roman"/>
          <w:sz w:val="24"/>
          <w:szCs w:val="24"/>
        </w:rPr>
        <w:t>Наградният</w:t>
      </w:r>
      <w:proofErr w:type="spellEnd"/>
      <w:r w:rsidRPr="00A9631C">
        <w:rPr>
          <w:rFonts w:cs="Times New Roman"/>
          <w:sz w:val="24"/>
          <w:szCs w:val="24"/>
        </w:rPr>
        <w:t xml:space="preserve"> фонд за най-добрите бизнес идеи ще бъде в размер на 25 хил. лв. Програмата ще даде възможност на предприемачи в начален етап на развитие да получат подкрепа за своята идея, да разработят жизнен бизнес модел и да създадат своя първи бизнес план. Участниците ще бъдат обучавани по съвременна методика, разработена от лекторите на </w:t>
      </w:r>
      <w:proofErr w:type="spellStart"/>
      <w:r w:rsidRPr="00A9631C">
        <w:rPr>
          <w:rFonts w:cs="Times New Roman"/>
          <w:sz w:val="24"/>
          <w:szCs w:val="24"/>
        </w:rPr>
        <w:t>Ринкър</w:t>
      </w:r>
      <w:proofErr w:type="spellEnd"/>
      <w:r w:rsidRPr="00A9631C">
        <w:rPr>
          <w:rFonts w:cs="Times New Roman"/>
          <w:sz w:val="24"/>
          <w:szCs w:val="24"/>
        </w:rPr>
        <w:t xml:space="preserve"> център. Предвидени са практически обучения и срещи с предприемачи. </w:t>
      </w:r>
    </w:p>
    <w:p w:rsidR="00CF6B1B" w:rsidRPr="00031BF3" w:rsidRDefault="00A9631C" w:rsidP="001E2550">
      <w:pPr>
        <w:spacing w:before="120" w:after="120"/>
        <w:rPr>
          <w:rFonts w:cs="Times New Roman"/>
          <w:sz w:val="24"/>
          <w:szCs w:val="24"/>
          <w:lang w:val="ru-RU"/>
        </w:rPr>
      </w:pPr>
      <w:r w:rsidRPr="00A9631C">
        <w:rPr>
          <w:rFonts w:cs="Times New Roman"/>
          <w:sz w:val="24"/>
          <w:szCs w:val="24"/>
        </w:rPr>
        <w:t xml:space="preserve">Участниците в конкурса ще представят своята бизнес идея в края на април, като ще бъдат оценени от жури. Селектираните бизнес идеи ще бъдат представени на широката публика чрез националните медии. Най-добрият бизнес план ще получи награда в размер на 20 хил. лв. Ще бъдат връчени още две поощрителни награди от по 3 хил. и 2 хил. лв. Кандидатстването става с кратко описание на бизнес идеята и попълване на онлайн формуляр. Повече информация за изискванията за участие може да намерите </w:t>
      </w:r>
      <w:hyperlink r:id="rId22" w:tgtFrame="_blank" w:history="1">
        <w:r w:rsidRPr="00A9631C">
          <w:rPr>
            <w:rFonts w:cs="Times New Roman"/>
            <w:color w:val="2C80D5"/>
            <w:sz w:val="24"/>
            <w:szCs w:val="24"/>
          </w:rPr>
          <w:t>тук</w:t>
        </w:r>
      </w:hyperlink>
      <w:r w:rsidRPr="00A9631C">
        <w:rPr>
          <w:rFonts w:cs="Times New Roman"/>
          <w:color w:val="515151"/>
          <w:sz w:val="24"/>
          <w:szCs w:val="24"/>
        </w:rPr>
        <w:t>.</w:t>
      </w:r>
      <w:r w:rsidR="00A35D22" w:rsidRPr="00A9631C">
        <w:rPr>
          <w:rFonts w:cs="Times New Roman"/>
          <w:sz w:val="24"/>
          <w:szCs w:val="24"/>
        </w:rPr>
        <w:t>.</w:t>
      </w:r>
    </w:p>
    <w:p w:rsidR="00427ADE" w:rsidRDefault="00043AEC" w:rsidP="001E2550">
      <w:pPr>
        <w:spacing w:before="120" w:after="120"/>
        <w:rPr>
          <w:rFonts w:cs="Times New Roman"/>
          <w:b/>
          <w:sz w:val="24"/>
          <w:szCs w:val="24"/>
        </w:rPr>
      </w:pPr>
      <w:r w:rsidRPr="00043AEC">
        <w:rPr>
          <w:rFonts w:cs="Times New Roman"/>
          <w:b/>
          <w:sz w:val="24"/>
          <w:szCs w:val="24"/>
        </w:rPr>
        <w:t>Краен срок за подаване на документите: 20 ноември 2017</w:t>
      </w:r>
    </w:p>
    <w:p w:rsidR="00427ADE" w:rsidRDefault="00427ADE">
      <w:pPr>
        <w:jc w:val="left"/>
        <w:rPr>
          <w:rFonts w:cs="Times New Roman"/>
          <w:b/>
          <w:sz w:val="24"/>
          <w:szCs w:val="24"/>
        </w:rPr>
      </w:pPr>
      <w:r>
        <w:rPr>
          <w:rFonts w:cs="Times New Roman"/>
          <w:b/>
          <w:sz w:val="24"/>
          <w:szCs w:val="24"/>
        </w:rPr>
        <w:br w:type="page"/>
      </w:r>
    </w:p>
    <w:p w:rsidR="002409D7" w:rsidRPr="00031BF3" w:rsidRDefault="002409D7" w:rsidP="002409D7">
      <w:pPr>
        <w:pStyle w:val="Heading2"/>
        <w:ind w:left="426"/>
        <w:rPr>
          <w:lang w:val="ru-RU"/>
        </w:rPr>
      </w:pPr>
      <w:bookmarkStart w:id="10" w:name="_Toc498005898"/>
      <w:r>
        <w:rPr>
          <w:lang w:val="ru-RU"/>
        </w:rPr>
        <w:lastRenderedPageBreak/>
        <w:t xml:space="preserve">Стажантска програма на </w:t>
      </w:r>
      <w:r w:rsidRPr="00427ADE">
        <w:t>Българския дарителски форум</w:t>
      </w:r>
      <w:bookmarkEnd w:id="10"/>
    </w:p>
    <w:p w:rsidR="002409D7" w:rsidRDefault="002409D7" w:rsidP="002409D7">
      <w:pPr>
        <w:spacing w:before="120" w:after="120"/>
        <w:rPr>
          <w:sz w:val="24"/>
          <w:szCs w:val="24"/>
        </w:rPr>
      </w:pPr>
      <w:r w:rsidRPr="00427ADE">
        <w:rPr>
          <w:bCs/>
          <w:sz w:val="24"/>
          <w:szCs w:val="24"/>
        </w:rPr>
        <w:t>Българският дарителски форум (БДФ) търси двама студенти за стажантската си програма.</w:t>
      </w:r>
      <w:r w:rsidRPr="00FF1CCC">
        <w:rPr>
          <w:sz w:val="24"/>
          <w:szCs w:val="24"/>
        </w:rPr>
        <w:t xml:space="preserve"> Стажът е неплатен и е подходящ за студенти, които имат интерес към неправителствения сектор и искат да научат повече за дарителството. </w:t>
      </w:r>
    </w:p>
    <w:p w:rsidR="002409D7" w:rsidRDefault="002409D7" w:rsidP="002409D7">
      <w:pPr>
        <w:spacing w:before="120" w:after="120"/>
        <w:rPr>
          <w:sz w:val="24"/>
          <w:szCs w:val="24"/>
        </w:rPr>
      </w:pPr>
      <w:r w:rsidRPr="00FF1CCC">
        <w:rPr>
          <w:sz w:val="24"/>
          <w:szCs w:val="24"/>
        </w:rPr>
        <w:t xml:space="preserve">Задачите, за които студенти ще отговарят, са създаване на съдържание за уеб и офлайн каналите на БДФ, преглед на медийни публикации, свързани с благотворителност и корпоративна социална отговорност, участие в организирането на събития. </w:t>
      </w:r>
    </w:p>
    <w:p w:rsidR="002409D7" w:rsidRDefault="002409D7" w:rsidP="002409D7">
      <w:pPr>
        <w:spacing w:before="120" w:after="120"/>
        <w:rPr>
          <w:sz w:val="24"/>
          <w:szCs w:val="24"/>
        </w:rPr>
      </w:pPr>
      <w:r w:rsidRPr="00FF1CCC">
        <w:rPr>
          <w:sz w:val="24"/>
          <w:szCs w:val="24"/>
        </w:rPr>
        <w:t xml:space="preserve">Стажът ще продължи от 1 до 3 месеца. За кандидатстването е необходимо да се изпратят мотивационно писмо и CV на имейл адрес </w:t>
      </w:r>
      <w:hyperlink r:id="rId23" w:history="1">
        <w:r w:rsidRPr="00523BBD">
          <w:rPr>
            <w:rStyle w:val="Hyperlink"/>
            <w:b/>
            <w:bCs/>
            <w:sz w:val="24"/>
            <w:szCs w:val="24"/>
          </w:rPr>
          <w:t>irinatsvetkova@dfbulgaria.org</w:t>
        </w:r>
      </w:hyperlink>
      <w:r w:rsidRPr="00FF1CCC">
        <w:rPr>
          <w:sz w:val="24"/>
          <w:szCs w:val="24"/>
        </w:rPr>
        <w:t xml:space="preserve">. </w:t>
      </w:r>
    </w:p>
    <w:p w:rsidR="002409D7" w:rsidRPr="002409D7" w:rsidRDefault="002409D7" w:rsidP="002409D7">
      <w:pPr>
        <w:rPr>
          <w:lang w:val="ru-RU"/>
        </w:rPr>
      </w:pPr>
      <w:r w:rsidRPr="00427ADE">
        <w:rPr>
          <w:b/>
          <w:sz w:val="24"/>
          <w:szCs w:val="24"/>
        </w:rPr>
        <w:t>Краен срок: 20 декември 2017</w:t>
      </w:r>
    </w:p>
    <w:p w:rsidR="00A35D22" w:rsidRPr="00427ADE" w:rsidRDefault="00427ADE" w:rsidP="00427ADE">
      <w:pPr>
        <w:pStyle w:val="Heading2"/>
        <w:ind w:left="426"/>
        <w:rPr>
          <w:lang w:val="ru-RU"/>
        </w:rPr>
      </w:pPr>
      <w:bookmarkStart w:id="11" w:name="_Toc498005899"/>
      <w:r w:rsidRPr="00427ADE">
        <w:rPr>
          <w:lang w:val="ru-RU"/>
        </w:rPr>
        <w:t>Конкурс за студент на годината</w:t>
      </w:r>
      <w:bookmarkEnd w:id="11"/>
    </w:p>
    <w:p w:rsidR="00427ADE" w:rsidRDefault="00C151F1" w:rsidP="00427ADE">
      <w:pPr>
        <w:rPr>
          <w:sz w:val="24"/>
          <w:szCs w:val="24"/>
        </w:rPr>
      </w:pPr>
      <w:r w:rsidRPr="00427ADE">
        <w:rPr>
          <w:sz w:val="24"/>
          <w:szCs w:val="24"/>
        </w:rPr>
        <w:t xml:space="preserve">Националното представителство на студентските съвети (НПСС) стартира </w:t>
      </w:r>
      <w:proofErr w:type="spellStart"/>
      <w:r w:rsidRPr="00427ADE">
        <w:rPr>
          <w:sz w:val="24"/>
          <w:szCs w:val="24"/>
        </w:rPr>
        <w:t>единайстото</w:t>
      </w:r>
      <w:proofErr w:type="spellEnd"/>
      <w:r w:rsidRPr="00427ADE">
        <w:rPr>
          <w:sz w:val="24"/>
          <w:szCs w:val="24"/>
        </w:rPr>
        <w:t xml:space="preserve"> издание на конкурса "Студент на годината". </w:t>
      </w:r>
    </w:p>
    <w:p w:rsidR="00427ADE" w:rsidRDefault="00C151F1" w:rsidP="00427ADE">
      <w:pPr>
        <w:rPr>
          <w:sz w:val="24"/>
          <w:szCs w:val="24"/>
        </w:rPr>
      </w:pPr>
      <w:r w:rsidRPr="00427ADE">
        <w:rPr>
          <w:sz w:val="24"/>
          <w:szCs w:val="24"/>
        </w:rPr>
        <w:t xml:space="preserve">В него могат да вземат участие студенти, които имат високи постижения в областта на висшето образование. Кандидатите трябва да докажат своите постижения, представяйки документи за постигнати резултати в сферата на науката, културата, спорта и други дейности, свързани с образователния процес на национално и международно ниво. </w:t>
      </w:r>
      <w:r w:rsidR="00427ADE">
        <w:rPr>
          <w:sz w:val="24"/>
          <w:szCs w:val="24"/>
        </w:rPr>
        <w:t>М</w:t>
      </w:r>
      <w:r w:rsidRPr="00427ADE">
        <w:rPr>
          <w:sz w:val="24"/>
          <w:szCs w:val="24"/>
        </w:rPr>
        <w:t xml:space="preserve">огат да участват студенти или докторанти, които са завършили успешно първи курс и имат съответните постижения в областта, в която се обучават. </w:t>
      </w:r>
    </w:p>
    <w:p w:rsidR="00427ADE" w:rsidRDefault="00C151F1" w:rsidP="00427ADE">
      <w:pPr>
        <w:rPr>
          <w:sz w:val="24"/>
          <w:szCs w:val="24"/>
        </w:rPr>
      </w:pPr>
      <w:r w:rsidRPr="00427ADE">
        <w:rPr>
          <w:sz w:val="24"/>
          <w:szCs w:val="24"/>
        </w:rPr>
        <w:t xml:space="preserve">Жури ще определи победителите и ще раздаде общо 12 награди в първата сфера на конкурса. Ще бъдат раздадени награди в категориите "Най-добър чуждестранен студент в България", "Докторант на годината" и "Студент на годината". </w:t>
      </w:r>
    </w:p>
    <w:p w:rsidR="00FF1CCC" w:rsidRPr="00427ADE" w:rsidRDefault="00C151F1" w:rsidP="00427ADE">
      <w:pPr>
        <w:rPr>
          <w:sz w:val="24"/>
          <w:szCs w:val="24"/>
          <w:lang w:val="ru-RU"/>
        </w:rPr>
      </w:pPr>
      <w:r w:rsidRPr="00427ADE">
        <w:rPr>
          <w:sz w:val="24"/>
          <w:szCs w:val="24"/>
        </w:rPr>
        <w:t xml:space="preserve">Повече информация за условията на конкурса може да намерите </w:t>
      </w:r>
      <w:hyperlink r:id="rId24" w:tgtFrame="_blank" w:history="1">
        <w:r w:rsidRPr="00427ADE">
          <w:rPr>
            <w:rStyle w:val="Hyperlink"/>
            <w:bCs/>
            <w:sz w:val="24"/>
            <w:szCs w:val="24"/>
          </w:rPr>
          <w:t>тук</w:t>
        </w:r>
      </w:hyperlink>
      <w:r w:rsidRPr="00427ADE">
        <w:rPr>
          <w:sz w:val="24"/>
          <w:szCs w:val="24"/>
        </w:rPr>
        <w:t>.</w:t>
      </w:r>
    </w:p>
    <w:p w:rsidR="00427ADE" w:rsidRDefault="00427ADE" w:rsidP="00427ADE">
      <w:pPr>
        <w:spacing w:before="120" w:after="360"/>
        <w:rPr>
          <w:rFonts w:cs="Times New Roman"/>
          <w:b/>
          <w:sz w:val="24"/>
          <w:szCs w:val="24"/>
        </w:rPr>
      </w:pPr>
      <w:r w:rsidRPr="00043AEC">
        <w:rPr>
          <w:rFonts w:cs="Times New Roman"/>
          <w:b/>
          <w:sz w:val="24"/>
          <w:szCs w:val="24"/>
        </w:rPr>
        <w:t>Краен срок за подаване на документите: 20 ноември 2017</w:t>
      </w:r>
    </w:p>
    <w:p w:rsidR="00FF1CCC" w:rsidRPr="00427ADE" w:rsidRDefault="00FF1CCC" w:rsidP="001E2550">
      <w:pPr>
        <w:spacing w:before="120" w:after="120"/>
        <w:rPr>
          <w:b/>
          <w:sz w:val="24"/>
          <w:szCs w:val="24"/>
          <w:lang w:val="ru-RU"/>
        </w:rPr>
      </w:pPr>
    </w:p>
    <w:p w:rsidR="00FF1CCC" w:rsidRPr="00427ADE" w:rsidRDefault="00FF1CCC" w:rsidP="001E2550">
      <w:pPr>
        <w:spacing w:before="120" w:after="120"/>
        <w:rPr>
          <w:b/>
          <w:sz w:val="24"/>
          <w:szCs w:val="24"/>
          <w:lang w:val="ru-RU"/>
        </w:rPr>
      </w:pPr>
    </w:p>
    <w:p w:rsidR="00FF1CCC" w:rsidRPr="00031BF3" w:rsidRDefault="00FF1CCC" w:rsidP="001E2550">
      <w:pPr>
        <w:spacing w:before="120" w:after="120"/>
        <w:rPr>
          <w:sz w:val="24"/>
          <w:szCs w:val="24"/>
          <w:lang w:val="ru-RU"/>
        </w:rPr>
      </w:pPr>
    </w:p>
    <w:p w:rsidR="00FF1CCC" w:rsidRPr="00031BF3" w:rsidRDefault="00FF1CCC" w:rsidP="001E2550">
      <w:pPr>
        <w:spacing w:before="120" w:after="120"/>
        <w:rPr>
          <w:sz w:val="24"/>
          <w:szCs w:val="24"/>
          <w:lang w:val="ru-RU"/>
        </w:rPr>
      </w:pPr>
    </w:p>
    <w:p w:rsidR="00FF1CCC" w:rsidRPr="00031BF3" w:rsidRDefault="00FF1CCC" w:rsidP="001E2550">
      <w:pPr>
        <w:spacing w:before="120" w:after="120"/>
        <w:rPr>
          <w:sz w:val="24"/>
          <w:szCs w:val="24"/>
          <w:lang w:val="ru-RU"/>
        </w:rPr>
      </w:pPr>
    </w:p>
    <w:p w:rsidR="00FF1CCC" w:rsidRPr="00031BF3" w:rsidRDefault="00FF1CCC" w:rsidP="001E2550">
      <w:pPr>
        <w:spacing w:before="120" w:after="120"/>
        <w:rPr>
          <w:sz w:val="24"/>
          <w:szCs w:val="24"/>
          <w:lang w:val="ru-RU"/>
        </w:rPr>
      </w:pPr>
    </w:p>
    <w:p w:rsidR="00FF1CCC" w:rsidRPr="00031BF3" w:rsidRDefault="00FF1CCC" w:rsidP="001E2550">
      <w:pPr>
        <w:spacing w:before="120" w:after="120"/>
        <w:rPr>
          <w:sz w:val="24"/>
          <w:szCs w:val="24"/>
          <w:lang w:val="ru-RU"/>
        </w:rPr>
        <w:sectPr w:rsidR="00FF1CCC" w:rsidRPr="00031BF3" w:rsidSect="00AA7F9B">
          <w:footerReference w:type="default" r:id="rId25"/>
          <w:pgSz w:w="11906" w:h="16838"/>
          <w:pgMar w:top="1440" w:right="1080" w:bottom="1440" w:left="1080" w:header="708" w:footer="708" w:gutter="0"/>
          <w:cols w:space="708"/>
          <w:docGrid w:linePitch="360"/>
        </w:sectPr>
      </w:pPr>
    </w:p>
    <w:p w:rsidR="00D00941" w:rsidRDefault="00912146" w:rsidP="00B278E8">
      <w:pPr>
        <w:pStyle w:val="Programs"/>
      </w:pPr>
      <w:bookmarkStart w:id="12" w:name="_Toc498005900"/>
      <w:r>
        <w:lastRenderedPageBreak/>
        <w:t>ПРОГРАМИ</w:t>
      </w:r>
      <w:bookmarkEnd w:id="12"/>
    </w:p>
    <w:p w:rsidR="00A37DF7" w:rsidRPr="00404067" w:rsidRDefault="00A37DF7" w:rsidP="00701393">
      <w:pPr>
        <w:pStyle w:val="Heading2"/>
        <w:ind w:left="426"/>
      </w:pPr>
      <w:bookmarkStart w:id="13" w:name="_Toc498005901"/>
      <w:r w:rsidRPr="00404067">
        <w:t>Програма на Министерството на науката и технологиите на Китай за талантливи млади учени</w:t>
      </w:r>
      <w:bookmarkEnd w:id="13"/>
    </w:p>
    <w:p w:rsidR="00A37DF7" w:rsidRPr="00404067" w:rsidRDefault="00A37DF7" w:rsidP="00A37DF7">
      <w:pPr>
        <w:rPr>
          <w:sz w:val="24"/>
          <w:szCs w:val="24"/>
        </w:rPr>
      </w:pPr>
      <w:r w:rsidRPr="00404067">
        <w:rPr>
          <w:sz w:val="24"/>
          <w:szCs w:val="24"/>
        </w:rPr>
        <w:t>Министерството на науката и технологиите на Китай обявява Програма за обучение и работа на талантливи млади учени (ПТМУ). Тя представлява схема за международна мобилност, създадена от китайското правителство с цел формиране и развитие на бъдещи водещи личности в сферата на науката и технологиите в сътрудничество с други развиващи се страни. ПТМУ насърчава трансграничния обмен на изявени млади учени и изследователи, както и подкрепя сътрудничеството между научноизследователски институти, академии и предприятия. Програмата предлага възможности за млади талантливи учени от развиващи се страни за работа и стипендии в Китай на пълен работен ден за период от 6 до 12 месеца съвместно с китайски партньорски екипи.</w:t>
      </w:r>
    </w:p>
    <w:p w:rsidR="00A37DF7" w:rsidRPr="00404067" w:rsidRDefault="00A37DF7" w:rsidP="00A37DF7">
      <w:pPr>
        <w:rPr>
          <w:sz w:val="24"/>
          <w:szCs w:val="24"/>
        </w:rPr>
      </w:pPr>
      <w:r w:rsidRPr="00404067">
        <w:rPr>
          <w:sz w:val="24"/>
          <w:szCs w:val="24"/>
        </w:rPr>
        <w:t>ПТМУ е добра възможност за задълбочаване на сътрудничеството между учени от България и Китай. Участници в нея от китайска страна са Департаментът за международно сътрудничество към Министерството на науката и технологиите, Китайският център за научен и технологичен обмен, както и научноизследователски институти, университети, юридически лица (предприятия), правителствени институции за наука и технологии, дипломатически представителства и др.</w:t>
      </w:r>
    </w:p>
    <w:p w:rsidR="00A37DF7" w:rsidRPr="00404067" w:rsidRDefault="00A37DF7" w:rsidP="00A37DF7">
      <w:pPr>
        <w:rPr>
          <w:sz w:val="24"/>
          <w:szCs w:val="24"/>
        </w:rPr>
      </w:pPr>
      <w:r w:rsidRPr="00404067">
        <w:rPr>
          <w:sz w:val="24"/>
          <w:szCs w:val="24"/>
        </w:rPr>
        <w:t>На кандидатите (международни експерти) се оказва съдействие за издаване на необходимите документи (виза, Сертификат за чуждестранен експерт и Разрешение за пребиваване на чужденец), като им се осигурява финансова подкрепа до получаването на стипендията.  </w:t>
      </w:r>
    </w:p>
    <w:p w:rsidR="00A37DF7" w:rsidRPr="00404067" w:rsidRDefault="00A37DF7" w:rsidP="00A37DF7">
      <w:pPr>
        <w:rPr>
          <w:sz w:val="24"/>
          <w:szCs w:val="24"/>
        </w:rPr>
      </w:pPr>
      <w:r w:rsidRPr="00404067">
        <w:rPr>
          <w:sz w:val="24"/>
          <w:szCs w:val="24"/>
        </w:rPr>
        <w:t>За участие в програмата се допускат заети на пълен работен ден в своята страна учени и изследователи на възраст до 45 г., притежаващи минимум пет години професионален опит или докторска степен. Задължителни изисквания са: отличното владеене на английски език или китайски мандарин; готовност за работа в Китай на пълно работно време, както и спазването на законите, регламентите и правилата в Китай.</w:t>
      </w:r>
    </w:p>
    <w:p w:rsidR="00A37DF7" w:rsidRPr="00404067" w:rsidRDefault="00A37DF7" w:rsidP="00A37DF7">
      <w:pPr>
        <w:rPr>
          <w:sz w:val="24"/>
          <w:szCs w:val="24"/>
        </w:rPr>
      </w:pPr>
      <w:r w:rsidRPr="00404067">
        <w:rPr>
          <w:sz w:val="24"/>
          <w:szCs w:val="24"/>
        </w:rPr>
        <w:t xml:space="preserve">Стипендията, която получават участниците в програмата, е в размер на 12 500 китайски </w:t>
      </w:r>
      <w:proofErr w:type="spellStart"/>
      <w:r w:rsidRPr="00404067">
        <w:rPr>
          <w:sz w:val="24"/>
          <w:szCs w:val="24"/>
        </w:rPr>
        <w:t>юана</w:t>
      </w:r>
      <w:proofErr w:type="spellEnd"/>
      <w:r w:rsidRPr="00404067">
        <w:rPr>
          <w:sz w:val="24"/>
          <w:szCs w:val="24"/>
        </w:rPr>
        <w:t xml:space="preserve"> на месец (които се равняват на около 3000 лв.) за настаняване, застраховка и дневни разходи. Шест или 12-месечният престой и работа в Китай дават възможност за осъществяване на контакти и извършване на съвместни проектни дейности с изследователски екипи на световно ниво. Сертификатът, който се получава в края на програмата, е свидетелство за високо научно постижение и придобит професионален опит.  </w:t>
      </w:r>
    </w:p>
    <w:p w:rsidR="00A37DF7" w:rsidRPr="00404067" w:rsidRDefault="00A37DF7" w:rsidP="00A37DF7">
      <w:pPr>
        <w:rPr>
          <w:sz w:val="24"/>
          <w:szCs w:val="24"/>
        </w:rPr>
      </w:pPr>
      <w:r w:rsidRPr="00404067">
        <w:rPr>
          <w:sz w:val="24"/>
          <w:szCs w:val="24"/>
        </w:rPr>
        <w:t>Заявленията за участие в програмата се приемат целогодишно, като тяхното оценяване се осъществява на тримесечна база – съответно през януари, април, юли и октомври.</w:t>
      </w:r>
    </w:p>
    <w:p w:rsidR="00A37DF7" w:rsidRPr="00404067" w:rsidRDefault="00A37DF7" w:rsidP="00A37DF7">
      <w:pPr>
        <w:rPr>
          <w:sz w:val="24"/>
          <w:szCs w:val="24"/>
        </w:rPr>
      </w:pPr>
      <w:r w:rsidRPr="00404067">
        <w:rPr>
          <w:sz w:val="24"/>
          <w:szCs w:val="24"/>
        </w:rPr>
        <w:lastRenderedPageBreak/>
        <w:t xml:space="preserve">Повече информация за програмата може да бъде намерена на адрес: </w:t>
      </w:r>
      <w:hyperlink r:id="rId26" w:tgtFrame="_blank" w:history="1">
        <w:r w:rsidRPr="00404067">
          <w:rPr>
            <w:rStyle w:val="Hyperlink"/>
            <w:sz w:val="24"/>
            <w:szCs w:val="24"/>
          </w:rPr>
          <w:t>http://tysp.cstec.org.cn</w:t>
        </w:r>
      </w:hyperlink>
      <w:r w:rsidRPr="00404067">
        <w:rPr>
          <w:sz w:val="24"/>
          <w:szCs w:val="24"/>
        </w:rPr>
        <w:t xml:space="preserve">. За контакти: е-mail: </w:t>
      </w:r>
      <w:hyperlink r:id="rId27" w:history="1">
        <w:r w:rsidRPr="00404067">
          <w:rPr>
            <w:rStyle w:val="Hyperlink"/>
            <w:sz w:val="24"/>
            <w:szCs w:val="24"/>
          </w:rPr>
          <w:t>tysp@cstec.org.cn</w:t>
        </w:r>
      </w:hyperlink>
      <w:r w:rsidRPr="00404067">
        <w:rPr>
          <w:sz w:val="24"/>
          <w:szCs w:val="24"/>
        </w:rPr>
        <w:t>, тел.: +86-10-68574085, адрес: 54 Sanlihe Road, Пекин 100045, Китай.</w:t>
      </w:r>
    </w:p>
    <w:p w:rsidR="00A37DF7" w:rsidRPr="007C2FD1" w:rsidRDefault="007C2FD1" w:rsidP="007C2FD1">
      <w:pPr>
        <w:spacing w:after="600"/>
        <w:rPr>
          <w:b/>
          <w:sz w:val="24"/>
          <w:szCs w:val="24"/>
        </w:rPr>
      </w:pPr>
      <w:r w:rsidRPr="007C2FD1">
        <w:rPr>
          <w:b/>
          <w:sz w:val="24"/>
          <w:szCs w:val="24"/>
        </w:rPr>
        <w:t>Краен срок: целогодишно</w:t>
      </w:r>
    </w:p>
    <w:p w:rsidR="002E339B" w:rsidRPr="00AC7EFF" w:rsidRDefault="002E339B" w:rsidP="002E339B">
      <w:pPr>
        <w:pStyle w:val="Heading2"/>
        <w:ind w:left="426"/>
        <w:rPr>
          <w:rFonts w:ascii="Times New Roman" w:eastAsia="Times New Roman" w:hAnsi="Times New Roman"/>
          <w:lang w:eastAsia="bg-BG"/>
        </w:rPr>
      </w:pPr>
      <w:bookmarkStart w:id="14" w:name="_Toc498005902"/>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4"/>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Акредитирани висши училища по чл. 85 ал.1 т.7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6B39BB" w:rsidRDefault="002E339B" w:rsidP="000D4193">
      <w:pPr>
        <w:numPr>
          <w:ilvl w:val="0"/>
          <w:numId w:val="3"/>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 xml:space="preserve">Научни организации по чл. 47 ал. 1 на (ЗВО </w:t>
      </w:r>
      <w:proofErr w:type="spellStart"/>
      <w:r w:rsidRPr="006B39BB">
        <w:rPr>
          <w:rFonts w:eastAsia="Times New Roman" w:cs="Times New Roman"/>
          <w:color w:val="000000"/>
          <w:sz w:val="24"/>
          <w:szCs w:val="24"/>
          <w:lang w:eastAsia="bg-BG"/>
        </w:rPr>
        <w:t>Обн</w:t>
      </w:r>
      <w:proofErr w:type="spellEnd"/>
      <w:r w:rsidRPr="006B39BB">
        <w:rPr>
          <w:rFonts w:eastAsia="Times New Roman" w:cs="Times New Roman"/>
          <w:color w:val="000000"/>
          <w:sz w:val="24"/>
          <w:szCs w:val="24"/>
          <w:lang w:eastAsia="bg-BG"/>
        </w:rPr>
        <w:t>.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0D4193">
      <w:pPr>
        <w:numPr>
          <w:ilvl w:val="0"/>
          <w:numId w:val="4"/>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E20859" w:rsidP="002E339B">
      <w:pPr>
        <w:shd w:val="clear" w:color="auto" w:fill="FFFFFF"/>
        <w:spacing w:before="120" w:after="120"/>
        <w:rPr>
          <w:rFonts w:eastAsia="Times New Roman" w:cs="Times New Roman"/>
          <w:color w:val="000000"/>
          <w:sz w:val="24"/>
          <w:szCs w:val="24"/>
          <w:lang w:eastAsia="bg-BG"/>
        </w:rPr>
      </w:pPr>
      <w:hyperlink r:id="rId28"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29" w:tgtFrame="_blank" w:history="1">
        <w:r w:rsidRPr="006B39BB">
          <w:rPr>
            <w:rFonts w:eastAsia="Times New Roman" w:cs="Times New Roman"/>
            <w:color w:val="014CA1"/>
            <w:sz w:val="24"/>
            <w:szCs w:val="24"/>
            <w:lang w:eastAsia="bg-BG"/>
          </w:rPr>
          <w:t>fni-konkursi@mon.bg</w:t>
        </w:r>
      </w:hyperlink>
    </w:p>
    <w:p w:rsidR="002E339B" w:rsidRPr="006B39BB" w:rsidRDefault="00E20859" w:rsidP="002E339B">
      <w:pPr>
        <w:shd w:val="clear" w:color="auto" w:fill="FFFFFF"/>
        <w:spacing w:before="120" w:after="120"/>
        <w:rPr>
          <w:rFonts w:eastAsia="Times New Roman" w:cs="Times New Roman"/>
          <w:color w:val="000000"/>
          <w:sz w:val="24"/>
          <w:szCs w:val="24"/>
          <w:lang w:eastAsia="bg-BG"/>
        </w:rPr>
      </w:pPr>
      <w:hyperlink r:id="rId30"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5" w:name="_Toc498005903"/>
      <w:r w:rsidRPr="00B57F79">
        <w:rPr>
          <w:lang w:eastAsia="bg-BG"/>
        </w:rPr>
        <w:t>Национално съфинансиране за участие на български колективи в утвърдени проекти по COST</w:t>
      </w:r>
      <w:bookmarkEnd w:id="15"/>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Акредитирани висши училища по чл. 85 ал.1 т.7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0D4193">
      <w:pPr>
        <w:numPr>
          <w:ilvl w:val="0"/>
          <w:numId w:val="5"/>
        </w:numPr>
        <w:rPr>
          <w:rFonts w:cs="Times New Roman"/>
          <w:sz w:val="24"/>
          <w:szCs w:val="24"/>
          <w:lang w:eastAsia="bg-BG"/>
        </w:rPr>
      </w:pPr>
      <w:r w:rsidRPr="00ED29A2">
        <w:rPr>
          <w:rFonts w:cs="Times New Roman"/>
          <w:sz w:val="24"/>
          <w:szCs w:val="24"/>
          <w:lang w:eastAsia="bg-BG"/>
        </w:rPr>
        <w:t xml:space="preserve">Научни организации по чл. 47 ал. 1 на (ЗВО </w:t>
      </w:r>
      <w:proofErr w:type="spellStart"/>
      <w:r w:rsidRPr="00ED29A2">
        <w:rPr>
          <w:rFonts w:cs="Times New Roman"/>
          <w:sz w:val="24"/>
          <w:szCs w:val="24"/>
          <w:lang w:eastAsia="bg-BG"/>
        </w:rPr>
        <w:t>Обн</w:t>
      </w:r>
      <w:proofErr w:type="spellEnd"/>
      <w:r w:rsidRPr="00ED29A2">
        <w:rPr>
          <w:rFonts w:cs="Times New Roman"/>
          <w:sz w:val="24"/>
          <w:szCs w:val="24"/>
          <w:lang w:eastAsia="bg-BG"/>
        </w:rPr>
        <w:t>.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ED29A2">
        <w:rPr>
          <w:rFonts w:cs="Times New Roman"/>
          <w:sz w:val="24"/>
          <w:szCs w:val="24"/>
          <w:lang w:eastAsia="bg-BG"/>
        </w:rPr>
        <w:t>oт</w:t>
      </w:r>
      <w:proofErr w:type="spellEnd"/>
      <w:r w:rsidRPr="00ED29A2">
        <w:rPr>
          <w:rFonts w:cs="Times New Roman"/>
          <w:sz w:val="24"/>
          <w:szCs w:val="24"/>
          <w:lang w:eastAsia="bg-BG"/>
        </w:rPr>
        <w:t xml:space="preserve">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E20859" w:rsidP="000D4193">
      <w:pPr>
        <w:numPr>
          <w:ilvl w:val="0"/>
          <w:numId w:val="6"/>
        </w:numPr>
        <w:rPr>
          <w:rFonts w:cs="Times New Roman"/>
          <w:sz w:val="24"/>
          <w:szCs w:val="24"/>
          <w:lang w:eastAsia="bg-BG"/>
        </w:rPr>
      </w:pPr>
      <w:hyperlink r:id="rId31"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32"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2E339B" w:rsidRDefault="00E20859" w:rsidP="005331BA">
      <w:pPr>
        <w:pStyle w:val="Heading2"/>
        <w:ind w:left="284" w:hanging="284"/>
        <w:rPr>
          <w:szCs w:val="24"/>
          <w:lang w:val="en-US" w:eastAsia="bg-BG"/>
        </w:rPr>
      </w:pPr>
      <w:hyperlink r:id="rId33" w:history="1">
        <w:bookmarkStart w:id="16" w:name="_Toc428806822"/>
        <w:bookmarkStart w:id="17" w:name="_Toc498005904"/>
        <w:r w:rsidR="002E339B" w:rsidRPr="00902F16">
          <w:rPr>
            <w:color w:val="0000FF" w:themeColor="hyperlink"/>
            <w:u w:val="single"/>
            <w:lang w:val="en-US"/>
          </w:rPr>
          <w:t>R&amp;D Calls HORIZON 2020</w:t>
        </w:r>
        <w:bookmarkEnd w:id="16"/>
        <w:bookmarkEnd w:id="17"/>
      </w:hyperlink>
    </w:p>
    <w:p w:rsidR="002E339B" w:rsidRDefault="002E339B" w:rsidP="002E339B">
      <w:pPr>
        <w:pStyle w:val="Heading2"/>
        <w:ind w:left="357" w:hanging="357"/>
      </w:pPr>
      <w:bookmarkStart w:id="18" w:name="_Toc498005905"/>
      <w:r w:rsidRPr="0052108C">
        <w:t>Програма: „Америка за България”</w:t>
      </w:r>
      <w:bookmarkEnd w:id="18"/>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lastRenderedPageBreak/>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34"/>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498005906"/>
      <w:r>
        <w:lastRenderedPageBreak/>
        <w:t>СЪБИТИЯ</w:t>
      </w:r>
      <w:bookmarkEnd w:id="19"/>
    </w:p>
    <w:p w:rsidR="001B36C3" w:rsidRPr="00992606" w:rsidRDefault="001B36C3" w:rsidP="00992606">
      <w:pPr>
        <w:spacing w:before="100" w:beforeAutospacing="1"/>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The Third International Conference on Computing Technology and Information Management (ICCTIM2017), 8-10 December 2017, Thessaloniki, Greece</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The proposed conference on the above theme will be held at Metropolitan College, Thessaloniki, Greece from December 8-10, 2017 which aims to enable researchers build connections between different digital applications. </w:t>
      </w:r>
    </w:p>
    <w:p w:rsidR="00992606" w:rsidRDefault="00E20859" w:rsidP="002F353F">
      <w:pPr>
        <w:rPr>
          <w:bCs/>
          <w:sz w:val="24"/>
          <w:szCs w:val="24"/>
          <w:lang w:val="en" w:eastAsia="bg-BG"/>
        </w:rPr>
      </w:pPr>
      <w:hyperlink r:id="rId35" w:tgtFrame="_blank" w:history="1">
        <w:r w:rsidR="001B36C3" w:rsidRPr="001B36C3">
          <w:rPr>
            <w:rStyle w:val="Hyperlink"/>
            <w:bCs/>
            <w:sz w:val="24"/>
            <w:szCs w:val="24"/>
            <w:lang w:val="en" w:eastAsia="bg-BG"/>
          </w:rPr>
          <w:t>More information and registration</w:t>
        </w:r>
      </w:hyperlink>
    </w:p>
    <w:p w:rsidR="001B36C3" w:rsidRPr="00992606" w:rsidRDefault="001B36C3" w:rsidP="001B36C3">
      <w:pPr>
        <w:rPr>
          <w:b/>
          <w:bCs/>
          <w:color w:val="E36C0A" w:themeColor="accent6" w:themeShade="BF"/>
          <w:sz w:val="24"/>
          <w:szCs w:val="24"/>
          <w:u w:val="single"/>
          <w:lang w:val="en" w:eastAsia="bg-BG"/>
        </w:rPr>
      </w:pPr>
      <w:r w:rsidRPr="00992606">
        <w:rPr>
          <w:b/>
          <w:bCs/>
          <w:color w:val="E36C0A" w:themeColor="accent6" w:themeShade="BF"/>
          <w:sz w:val="24"/>
          <w:szCs w:val="24"/>
          <w:u w:val="single"/>
          <w:lang w:val="en" w:eastAsia="bg-BG"/>
        </w:rPr>
        <w:t>3rd International Conference on Lipid Science &amp; Technology, 11-12 December 2017, Rome, Italy</w:t>
      </w:r>
    </w:p>
    <w:p w:rsidR="001B36C3" w:rsidRPr="001B36C3" w:rsidRDefault="001B36C3" w:rsidP="001B36C3">
      <w:pPr>
        <w:rPr>
          <w:bCs/>
          <w:sz w:val="24"/>
          <w:szCs w:val="24"/>
          <w:lang w:val="en" w:eastAsia="bg-BG"/>
        </w:rPr>
      </w:pPr>
      <w:r w:rsidRPr="001B36C3">
        <w:rPr>
          <w:bCs/>
          <w:sz w:val="24"/>
          <w:szCs w:val="24"/>
          <w:lang w:val="en" w:eastAsia="bg-BG"/>
        </w:rPr>
        <w:t xml:space="preserve">Lipid Conferences will lay a platform for world-class </w:t>
      </w:r>
      <w:proofErr w:type="spellStart"/>
      <w:r w:rsidRPr="001B36C3">
        <w:rPr>
          <w:bCs/>
          <w:sz w:val="24"/>
          <w:szCs w:val="24"/>
          <w:lang w:val="en" w:eastAsia="bg-BG"/>
        </w:rPr>
        <w:t>Lipidologists</w:t>
      </w:r>
      <w:proofErr w:type="spellEnd"/>
      <w:r w:rsidRPr="001B36C3">
        <w:rPr>
          <w:bCs/>
          <w:sz w:val="24"/>
          <w:szCs w:val="24"/>
          <w:lang w:val="en" w:eastAsia="bg-BG"/>
        </w:rPr>
        <w:t xml:space="preserve">, Professors, Doctors, Biochemists, Molecular biologists and Scientists to discuss an approach for </w:t>
      </w:r>
      <w:proofErr w:type="spellStart"/>
      <w:r w:rsidRPr="001B36C3">
        <w:rPr>
          <w:bCs/>
          <w:sz w:val="24"/>
          <w:szCs w:val="24"/>
          <w:lang w:val="en" w:eastAsia="bg-BG"/>
        </w:rPr>
        <w:t>lipidomics</w:t>
      </w:r>
      <w:proofErr w:type="spellEnd"/>
      <w:r w:rsidRPr="001B36C3">
        <w:rPr>
          <w:bCs/>
          <w:sz w:val="24"/>
          <w:szCs w:val="24"/>
          <w:lang w:val="en" w:eastAsia="bg-BG"/>
        </w:rPr>
        <w:t xml:space="preserve">. So, Lipids 2017 welcomes the Professors, Research scholars, Industrial Professionals, Pharmaceutical Researchers, physicians and student delegates from lipids field and healthcare sectors to be part of it. </w:t>
      </w:r>
    </w:p>
    <w:p w:rsidR="001B36C3" w:rsidRPr="001B36C3" w:rsidRDefault="001B36C3" w:rsidP="00992606">
      <w:pPr>
        <w:spacing w:after="120"/>
        <w:rPr>
          <w:bCs/>
          <w:sz w:val="24"/>
          <w:szCs w:val="24"/>
          <w:lang w:val="en" w:eastAsia="bg-BG"/>
        </w:rPr>
      </w:pPr>
      <w:r w:rsidRPr="001B36C3">
        <w:rPr>
          <w:bCs/>
          <w:sz w:val="24"/>
          <w:szCs w:val="24"/>
          <w:lang w:val="en" w:eastAsia="bg-BG"/>
        </w:rPr>
        <w:t xml:space="preserve">Lipids 2017 Conference is an unquestionable requirement to join as it will give an inside and out perspective of world-class, interdisciplinary examination dialog from fundamental science scientists through clinical specialists to end up pioneers in exploration on lipid digestion system and its connection to cardiovascular sickness, diabetes, weight, atherosclerosis, metabolic disorders, immunological illnesses, and disease and so forth. </w:t>
      </w:r>
    </w:p>
    <w:p w:rsidR="001B36C3" w:rsidRPr="001B36C3" w:rsidRDefault="00E20859" w:rsidP="00992606">
      <w:pPr>
        <w:rPr>
          <w:bCs/>
          <w:sz w:val="24"/>
          <w:szCs w:val="24"/>
          <w:lang w:val="en" w:eastAsia="bg-BG"/>
        </w:rPr>
      </w:pPr>
      <w:hyperlink r:id="rId36" w:tgtFrame="_blank" w:history="1">
        <w:r w:rsidR="001B36C3" w:rsidRPr="001B36C3">
          <w:rPr>
            <w:rStyle w:val="Hyperlink"/>
            <w:bCs/>
            <w:sz w:val="24"/>
            <w:szCs w:val="24"/>
            <w:lang w:val="en" w:eastAsia="bg-BG"/>
          </w:rPr>
          <w:t>More information and registration</w:t>
        </w:r>
      </w:hyperlink>
      <w:r w:rsidR="001B36C3" w:rsidRPr="001B36C3">
        <w:rPr>
          <w:bCs/>
          <w:sz w:val="24"/>
          <w:szCs w:val="24"/>
          <w:lang w:val="en" w:eastAsia="bg-BG"/>
        </w:rPr>
        <w:t xml:space="preserve"> </w:t>
      </w:r>
    </w:p>
    <w:p w:rsidR="00CE69DA" w:rsidRPr="00CE69DA" w:rsidRDefault="00131385" w:rsidP="00CE69DA">
      <w:pPr>
        <w:spacing w:after="0"/>
        <w:rPr>
          <w:b/>
          <w:bCs/>
          <w:color w:val="E36C0A" w:themeColor="accent6" w:themeShade="BF"/>
          <w:sz w:val="24"/>
          <w:szCs w:val="24"/>
          <w:u w:val="single"/>
          <w:lang w:val="en-US" w:eastAsia="bg-BG"/>
        </w:rPr>
      </w:pPr>
      <w:r w:rsidRPr="00CE69DA">
        <w:rPr>
          <w:b/>
          <w:bCs/>
          <w:color w:val="E36C0A" w:themeColor="accent6" w:themeShade="BF"/>
          <w:sz w:val="24"/>
          <w:szCs w:val="24"/>
          <w:u w:val="single"/>
          <w:lang w:eastAsia="bg-BG"/>
        </w:rPr>
        <w:t>10th International Conference on Agents and Artificial Intelligence - ICAART 2018</w:t>
      </w:r>
      <w:r w:rsidR="00CE69DA" w:rsidRPr="00CE69DA">
        <w:rPr>
          <w:b/>
          <w:bCs/>
          <w:color w:val="E36C0A" w:themeColor="accent6" w:themeShade="BF"/>
          <w:sz w:val="24"/>
          <w:szCs w:val="24"/>
          <w:u w:val="single"/>
          <w:lang w:val="en-US" w:eastAsia="bg-BG"/>
        </w:rPr>
        <w:t xml:space="preserve">, </w:t>
      </w:r>
    </w:p>
    <w:p w:rsidR="00131385" w:rsidRPr="00CE69DA" w:rsidRDefault="00CE69DA" w:rsidP="00CE69DA">
      <w:pPr>
        <w:spacing w:after="100" w:afterAutospacing="1"/>
        <w:rPr>
          <w:b/>
          <w:bCs/>
          <w:color w:val="E36C0A" w:themeColor="accent6" w:themeShade="BF"/>
          <w:sz w:val="24"/>
          <w:szCs w:val="24"/>
          <w:u w:val="single"/>
          <w:lang w:eastAsia="bg-BG"/>
        </w:rPr>
      </w:pPr>
      <w:r w:rsidRPr="00CE69DA">
        <w:rPr>
          <w:b/>
          <w:bCs/>
          <w:color w:val="E36C0A" w:themeColor="accent6" w:themeShade="BF"/>
          <w:sz w:val="24"/>
          <w:szCs w:val="24"/>
          <w:u w:val="single"/>
          <w:lang w:eastAsia="bg-BG"/>
        </w:rPr>
        <w:t>16 – 18</w:t>
      </w:r>
      <w:r w:rsidRPr="00CE69DA">
        <w:rPr>
          <w:b/>
          <w:bCs/>
          <w:color w:val="E36C0A" w:themeColor="accent6" w:themeShade="BF"/>
          <w:sz w:val="24"/>
          <w:szCs w:val="24"/>
          <w:u w:val="single"/>
          <w:lang w:val="en-US" w:eastAsia="bg-BG"/>
        </w:rPr>
        <w:t xml:space="preserve"> January</w:t>
      </w:r>
      <w:r w:rsidRPr="00CE69DA">
        <w:rPr>
          <w:b/>
          <w:bCs/>
          <w:color w:val="E36C0A" w:themeColor="accent6" w:themeShade="BF"/>
          <w:sz w:val="24"/>
          <w:szCs w:val="24"/>
          <w:u w:val="single"/>
          <w:lang w:eastAsia="bg-BG"/>
        </w:rPr>
        <w:t xml:space="preserve"> 2018</w:t>
      </w:r>
      <w:r w:rsidRPr="00CE69DA">
        <w:rPr>
          <w:b/>
          <w:bCs/>
          <w:color w:val="E36C0A" w:themeColor="accent6" w:themeShade="BF"/>
          <w:sz w:val="24"/>
          <w:szCs w:val="24"/>
          <w:u w:val="single"/>
          <w:lang w:val="en-US" w:eastAsia="bg-BG"/>
        </w:rPr>
        <w:t>,</w:t>
      </w:r>
      <w:r w:rsidRPr="00CE69DA">
        <w:rPr>
          <w:b/>
          <w:bCs/>
          <w:color w:val="E36C0A" w:themeColor="accent6" w:themeShade="BF"/>
          <w:sz w:val="24"/>
          <w:szCs w:val="24"/>
          <w:u w:val="single"/>
          <w:lang w:eastAsia="bg-BG"/>
        </w:rPr>
        <w:t xml:space="preserve"> Funchal, Madeira, Portugal</w:t>
      </w:r>
    </w:p>
    <w:p w:rsidR="00131385" w:rsidRPr="00CE69DA" w:rsidRDefault="00131385" w:rsidP="00131385">
      <w:pPr>
        <w:rPr>
          <w:bCs/>
          <w:iCs/>
          <w:sz w:val="24"/>
          <w:szCs w:val="24"/>
          <w:lang w:eastAsia="bg-BG"/>
        </w:rPr>
      </w:pPr>
      <w:r w:rsidRPr="00CE69DA">
        <w:rPr>
          <w:bCs/>
          <w:iCs/>
          <w:sz w:val="24"/>
          <w:szCs w:val="24"/>
          <w:lang w:eastAsia="bg-BG"/>
        </w:rPr>
        <w:t>The purpose of the International Conference on Agents and Artificial Intelligence is to bring together researchers, engineers and practitioners interested in the theory and applications in the areas of Agents and Artificial Intelligence. Two simultaneous related tracks will be held, covering both applications and current research work. One track focuses on Agents, Multi-Agent Systems and Software Platforms, Distributed Problem Solving and Distributed AI in general.</w:t>
      </w:r>
    </w:p>
    <w:p w:rsidR="00131385" w:rsidRPr="00CE69DA" w:rsidRDefault="00CE69DA" w:rsidP="00CE69DA">
      <w:pPr>
        <w:rPr>
          <w:bCs/>
          <w:sz w:val="24"/>
          <w:szCs w:val="24"/>
          <w:lang w:val="en-US" w:eastAsia="bg-BG"/>
        </w:rPr>
      </w:pPr>
      <w:r>
        <w:rPr>
          <w:bCs/>
          <w:sz w:val="24"/>
          <w:szCs w:val="24"/>
          <w:lang w:val="en-US" w:eastAsia="bg-BG"/>
        </w:rPr>
        <w:t>More information on the Conference w</w:t>
      </w:r>
      <w:r w:rsidR="00131385" w:rsidRPr="00CE69DA">
        <w:rPr>
          <w:bCs/>
          <w:sz w:val="24"/>
          <w:szCs w:val="24"/>
          <w:lang w:eastAsia="bg-BG"/>
        </w:rPr>
        <w:t xml:space="preserve">ebsite: </w:t>
      </w:r>
      <w:hyperlink r:id="rId37" w:history="1">
        <w:r w:rsidR="00131385" w:rsidRPr="00131385">
          <w:rPr>
            <w:rStyle w:val="Hyperlink"/>
            <w:bCs/>
            <w:sz w:val="24"/>
            <w:szCs w:val="24"/>
            <w:lang w:eastAsia="bg-BG"/>
          </w:rPr>
          <w:t>http://www.icaart.org/</w:t>
        </w:r>
      </w:hyperlink>
    </w:p>
    <w:p w:rsidR="00131385" w:rsidRPr="00CE69DA" w:rsidRDefault="00131385" w:rsidP="00131385">
      <w:pPr>
        <w:rPr>
          <w:b/>
          <w:bCs/>
          <w:color w:val="E36C0A" w:themeColor="accent6" w:themeShade="BF"/>
          <w:sz w:val="24"/>
          <w:szCs w:val="24"/>
          <w:u w:val="single"/>
          <w:lang w:val="en-US" w:eastAsia="bg-BG"/>
        </w:rPr>
      </w:pPr>
      <w:r w:rsidRPr="00CE69DA">
        <w:rPr>
          <w:b/>
          <w:bCs/>
          <w:color w:val="E36C0A" w:themeColor="accent6" w:themeShade="BF"/>
          <w:sz w:val="24"/>
          <w:szCs w:val="24"/>
          <w:u w:val="single"/>
          <w:lang w:eastAsia="bg-BG"/>
        </w:rPr>
        <w:t>7th International Conference on Pattern Recognition Applications and Methods - ICPRAM 2018</w:t>
      </w:r>
      <w:r w:rsidR="00CE69DA" w:rsidRPr="00CE69DA">
        <w:rPr>
          <w:b/>
          <w:bCs/>
          <w:color w:val="E36C0A" w:themeColor="accent6" w:themeShade="BF"/>
          <w:sz w:val="24"/>
          <w:szCs w:val="24"/>
          <w:u w:val="single"/>
          <w:lang w:val="en-US" w:eastAsia="bg-BG"/>
        </w:rPr>
        <w:t>, 16 – 18 January</w:t>
      </w:r>
      <w:r w:rsidR="00CE69DA" w:rsidRPr="00CE69DA">
        <w:rPr>
          <w:b/>
          <w:bCs/>
          <w:color w:val="E36C0A" w:themeColor="accent6" w:themeShade="BF"/>
          <w:sz w:val="24"/>
          <w:szCs w:val="24"/>
          <w:u w:val="single"/>
          <w:lang w:eastAsia="bg-BG"/>
        </w:rPr>
        <w:t xml:space="preserve"> 2018</w:t>
      </w:r>
      <w:r w:rsidR="00CE69DA" w:rsidRPr="00CE69DA">
        <w:rPr>
          <w:b/>
          <w:bCs/>
          <w:color w:val="E36C0A" w:themeColor="accent6" w:themeShade="BF"/>
          <w:sz w:val="24"/>
          <w:szCs w:val="24"/>
          <w:u w:val="single"/>
          <w:lang w:val="en-US" w:eastAsia="bg-BG"/>
        </w:rPr>
        <w:t>,</w:t>
      </w:r>
      <w:r w:rsidR="00CE69DA" w:rsidRPr="00CE69DA">
        <w:rPr>
          <w:b/>
          <w:bCs/>
          <w:color w:val="E36C0A" w:themeColor="accent6" w:themeShade="BF"/>
          <w:sz w:val="24"/>
          <w:szCs w:val="24"/>
          <w:u w:val="single"/>
          <w:lang w:eastAsia="bg-BG"/>
        </w:rPr>
        <w:t xml:space="preserve"> Funchal, Madeira, Portugal</w:t>
      </w:r>
    </w:p>
    <w:p w:rsidR="00131385" w:rsidRPr="00CE69DA" w:rsidRDefault="00131385" w:rsidP="00131385">
      <w:pPr>
        <w:rPr>
          <w:bCs/>
          <w:iCs/>
          <w:sz w:val="24"/>
          <w:szCs w:val="24"/>
          <w:lang w:eastAsia="bg-BG"/>
        </w:rPr>
      </w:pPr>
      <w:r w:rsidRPr="00CE69DA">
        <w:rPr>
          <w:bCs/>
          <w:iCs/>
          <w:sz w:val="24"/>
          <w:szCs w:val="24"/>
          <w:lang w:eastAsia="bg-BG"/>
        </w:rPr>
        <w:t>The International Conference on Pattern Recognition Applications and Methods would like to become a major point of contact between researchers, engineers and practitioners on the areas of Pattern Recognition, both from theoretical and application perspectives.</w:t>
      </w:r>
    </w:p>
    <w:p w:rsidR="00131385" w:rsidRPr="00131385" w:rsidRDefault="00CE69DA" w:rsidP="00CE69DA">
      <w:pPr>
        <w:rPr>
          <w:bCs/>
          <w:sz w:val="24"/>
          <w:szCs w:val="24"/>
          <w:lang w:eastAsia="bg-BG"/>
        </w:rPr>
      </w:pPr>
      <w:r>
        <w:rPr>
          <w:bCs/>
          <w:sz w:val="24"/>
          <w:szCs w:val="24"/>
          <w:lang w:val="en-US" w:eastAsia="bg-BG"/>
        </w:rPr>
        <w:lastRenderedPageBreak/>
        <w:t>More information on the Conference w</w:t>
      </w:r>
      <w:r w:rsidRPr="00CE69DA">
        <w:rPr>
          <w:bCs/>
          <w:sz w:val="24"/>
          <w:szCs w:val="24"/>
          <w:lang w:eastAsia="bg-BG"/>
        </w:rPr>
        <w:t xml:space="preserve">ebsite: </w:t>
      </w:r>
      <w:hyperlink r:id="rId38" w:history="1">
        <w:r w:rsidR="00131385" w:rsidRPr="00131385">
          <w:rPr>
            <w:rStyle w:val="Hyperlink"/>
            <w:bCs/>
            <w:sz w:val="24"/>
            <w:szCs w:val="24"/>
            <w:lang w:eastAsia="bg-BG"/>
          </w:rPr>
          <w:t>http://www.icpram.org/</w:t>
        </w:r>
      </w:hyperlink>
      <w:r w:rsidR="00131385" w:rsidRPr="00131385">
        <w:rPr>
          <w:bCs/>
          <w:sz w:val="24"/>
          <w:szCs w:val="24"/>
          <w:lang w:eastAsia="bg-BG"/>
        </w:rPr>
        <w:t xml:space="preserve"> </w:t>
      </w:r>
    </w:p>
    <w:p w:rsidR="00131385" w:rsidRPr="00D84C5A" w:rsidRDefault="00131385" w:rsidP="00131385">
      <w:pPr>
        <w:rPr>
          <w:b/>
          <w:bCs/>
          <w:sz w:val="24"/>
          <w:szCs w:val="24"/>
          <w:lang w:val="en-US" w:eastAsia="bg-BG"/>
        </w:rPr>
      </w:pPr>
      <w:r w:rsidRPr="00D84C5A">
        <w:rPr>
          <w:b/>
          <w:bCs/>
          <w:color w:val="E36C0A" w:themeColor="accent6" w:themeShade="BF"/>
          <w:sz w:val="24"/>
          <w:szCs w:val="24"/>
          <w:u w:val="single"/>
          <w:lang w:eastAsia="bg-BG"/>
        </w:rPr>
        <w:t>11th International Joint Conference on Biomedical Engineering Systems and Technologies - BIOSTEC 2018</w:t>
      </w:r>
      <w:r w:rsidR="00D84C5A" w:rsidRPr="00D84C5A">
        <w:rPr>
          <w:b/>
          <w:bCs/>
          <w:color w:val="E36C0A" w:themeColor="accent6" w:themeShade="BF"/>
          <w:sz w:val="24"/>
          <w:szCs w:val="24"/>
          <w:u w:val="single"/>
          <w:lang w:val="en-US" w:eastAsia="bg-BG"/>
        </w:rPr>
        <w:t>, 19 – 21 January</w:t>
      </w:r>
      <w:r w:rsidR="00D84C5A" w:rsidRPr="00D84C5A">
        <w:rPr>
          <w:b/>
          <w:bCs/>
          <w:color w:val="E36C0A" w:themeColor="accent6" w:themeShade="BF"/>
          <w:sz w:val="24"/>
          <w:szCs w:val="24"/>
          <w:u w:val="single"/>
          <w:lang w:eastAsia="bg-BG"/>
        </w:rPr>
        <w:t xml:space="preserve"> </w:t>
      </w:r>
      <w:r w:rsidR="00D84C5A" w:rsidRPr="00CE69DA">
        <w:rPr>
          <w:b/>
          <w:bCs/>
          <w:color w:val="E36C0A" w:themeColor="accent6" w:themeShade="BF"/>
          <w:sz w:val="24"/>
          <w:szCs w:val="24"/>
          <w:u w:val="single"/>
          <w:lang w:eastAsia="bg-BG"/>
        </w:rPr>
        <w:t>2018</w:t>
      </w:r>
      <w:r w:rsidR="00D84C5A" w:rsidRPr="00CE69DA">
        <w:rPr>
          <w:b/>
          <w:bCs/>
          <w:color w:val="E36C0A" w:themeColor="accent6" w:themeShade="BF"/>
          <w:sz w:val="24"/>
          <w:szCs w:val="24"/>
          <w:u w:val="single"/>
          <w:lang w:val="en-US" w:eastAsia="bg-BG"/>
        </w:rPr>
        <w:t>,</w:t>
      </w:r>
      <w:r w:rsidR="00D84C5A" w:rsidRPr="00CE69DA">
        <w:rPr>
          <w:b/>
          <w:bCs/>
          <w:color w:val="E36C0A" w:themeColor="accent6" w:themeShade="BF"/>
          <w:sz w:val="24"/>
          <w:szCs w:val="24"/>
          <w:u w:val="single"/>
          <w:lang w:eastAsia="bg-BG"/>
        </w:rPr>
        <w:t xml:space="preserve"> Funchal, Madeira, Portugal</w:t>
      </w:r>
    </w:p>
    <w:p w:rsidR="00131385" w:rsidRPr="00D84C5A" w:rsidRDefault="00131385" w:rsidP="00131385">
      <w:pPr>
        <w:rPr>
          <w:bCs/>
          <w:iCs/>
          <w:sz w:val="24"/>
          <w:szCs w:val="24"/>
          <w:lang w:eastAsia="bg-BG"/>
        </w:rPr>
      </w:pPr>
      <w:r w:rsidRPr="00D84C5A">
        <w:rPr>
          <w:bCs/>
          <w:iCs/>
          <w:sz w:val="24"/>
          <w:szCs w:val="24"/>
          <w:lang w:eastAsia="bg-BG"/>
        </w:rPr>
        <w:t>The purpose of BIOSTEC is to bring together researchers and practitioners, including engineers, biologists, health professionals and informatics/computer scientists, interested in both theoretical advances and applications of information systems, artificial intelligence, signal processing, electronics and other engineering tools in knowledge areas related to biology and medicine. BIOSTEC is composed of five co-located conferences, each specialised in a different knowledge area.</w:t>
      </w:r>
    </w:p>
    <w:p w:rsidR="00D84C5A" w:rsidRDefault="00D84C5A" w:rsidP="00131385">
      <w:pPr>
        <w:rPr>
          <w:bCs/>
          <w:sz w:val="24"/>
          <w:szCs w:val="24"/>
          <w:lang w:val="en-US" w:eastAsia="bg-BG"/>
        </w:rPr>
      </w:pPr>
      <w:r>
        <w:rPr>
          <w:bCs/>
          <w:sz w:val="24"/>
          <w:szCs w:val="24"/>
          <w:lang w:val="en-US" w:eastAsia="bg-BG"/>
        </w:rPr>
        <w:t>More information on the Conference w</w:t>
      </w:r>
      <w:r w:rsidRPr="00CE69DA">
        <w:rPr>
          <w:bCs/>
          <w:sz w:val="24"/>
          <w:szCs w:val="24"/>
          <w:lang w:eastAsia="bg-BG"/>
        </w:rPr>
        <w:t xml:space="preserve">ebsite: </w:t>
      </w:r>
      <w:hyperlink r:id="rId39" w:history="1">
        <w:r w:rsidR="00131385" w:rsidRPr="00131385">
          <w:rPr>
            <w:rStyle w:val="Hyperlink"/>
            <w:bCs/>
            <w:sz w:val="24"/>
            <w:szCs w:val="24"/>
            <w:lang w:eastAsia="bg-BG"/>
          </w:rPr>
          <w:t>http://www.biostec.org/</w:t>
        </w:r>
      </w:hyperlink>
      <w:r w:rsidR="00131385" w:rsidRPr="00131385">
        <w:rPr>
          <w:bCs/>
          <w:sz w:val="24"/>
          <w:szCs w:val="24"/>
          <w:lang w:eastAsia="bg-BG"/>
        </w:rPr>
        <w:t xml:space="preserve"> </w:t>
      </w:r>
    </w:p>
    <w:p w:rsidR="00131385" w:rsidRPr="00116E6F" w:rsidRDefault="00131385" w:rsidP="00131385">
      <w:pPr>
        <w:rPr>
          <w:b/>
          <w:bCs/>
          <w:sz w:val="24"/>
          <w:szCs w:val="24"/>
          <w:lang w:val="en-US" w:eastAsia="bg-BG"/>
        </w:rPr>
      </w:pPr>
      <w:r w:rsidRPr="00116E6F">
        <w:rPr>
          <w:b/>
          <w:bCs/>
          <w:color w:val="E36C0A" w:themeColor="accent6" w:themeShade="BF"/>
          <w:sz w:val="24"/>
          <w:szCs w:val="24"/>
          <w:u w:val="single"/>
          <w:lang w:eastAsia="bg-BG"/>
        </w:rPr>
        <w:t>6th International Conference on Model-Driven Engineering and Software Development - MODELSWARD 2018</w:t>
      </w:r>
      <w:r w:rsidR="00116E6F" w:rsidRPr="00116E6F">
        <w:rPr>
          <w:b/>
          <w:bCs/>
          <w:color w:val="E36C0A" w:themeColor="accent6" w:themeShade="BF"/>
          <w:sz w:val="24"/>
          <w:szCs w:val="24"/>
          <w:u w:val="single"/>
          <w:lang w:val="en-US" w:eastAsia="bg-BG"/>
        </w:rPr>
        <w:t>, 22-24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31385" w:rsidRPr="00116E6F" w:rsidRDefault="00131385" w:rsidP="00131385">
      <w:pPr>
        <w:rPr>
          <w:bCs/>
          <w:iCs/>
          <w:sz w:val="24"/>
          <w:szCs w:val="24"/>
          <w:lang w:eastAsia="bg-BG"/>
        </w:rPr>
      </w:pPr>
      <w:r w:rsidRPr="00116E6F">
        <w:rPr>
          <w:bCs/>
          <w:iCs/>
          <w:sz w:val="24"/>
          <w:szCs w:val="24"/>
          <w:lang w:eastAsia="bg-BG"/>
        </w:rPr>
        <w:t>The purpose of the International Conference on Model-Driven Engineering and Software Development, MODELSWARD 2018, is to provide a platform for researchers, engineers, academicians as well as industrial professionals from all over the world to present their research results and development activities in using models and model driven engineering techniques for Software Development.</w:t>
      </w:r>
    </w:p>
    <w:p w:rsidR="00116E6F" w:rsidRDefault="00116E6F" w:rsidP="001A4464">
      <w:pPr>
        <w:rPr>
          <w:bCs/>
          <w:sz w:val="24"/>
          <w:szCs w:val="24"/>
          <w:lang w:val="en-US" w:eastAsia="bg-BG"/>
        </w:rPr>
      </w:pPr>
      <w:r>
        <w:rPr>
          <w:bCs/>
          <w:sz w:val="24"/>
          <w:szCs w:val="24"/>
          <w:lang w:val="en-US" w:eastAsia="bg-BG"/>
        </w:rPr>
        <w:t>More information on the Conference w</w:t>
      </w:r>
      <w:r w:rsidRPr="00CE69DA">
        <w:rPr>
          <w:bCs/>
          <w:sz w:val="24"/>
          <w:szCs w:val="24"/>
          <w:lang w:eastAsia="bg-BG"/>
        </w:rPr>
        <w:t xml:space="preserve">ebsite: </w:t>
      </w:r>
      <w:hyperlink r:id="rId40" w:history="1">
        <w:r w:rsidR="00131385" w:rsidRPr="00131385">
          <w:rPr>
            <w:rStyle w:val="Hyperlink"/>
            <w:bCs/>
            <w:sz w:val="24"/>
            <w:szCs w:val="24"/>
            <w:lang w:eastAsia="bg-BG"/>
          </w:rPr>
          <w:t>http://www.modelsward.org/</w:t>
        </w:r>
      </w:hyperlink>
      <w:r w:rsidR="00131385" w:rsidRPr="00131385">
        <w:rPr>
          <w:bCs/>
          <w:sz w:val="24"/>
          <w:szCs w:val="24"/>
          <w:lang w:eastAsia="bg-BG"/>
        </w:rPr>
        <w:t xml:space="preserve"> </w:t>
      </w:r>
    </w:p>
    <w:p w:rsidR="001A4464" w:rsidRPr="00116E6F" w:rsidRDefault="001A4464" w:rsidP="001A4464">
      <w:pPr>
        <w:rPr>
          <w:b/>
          <w:bCs/>
          <w:sz w:val="24"/>
          <w:szCs w:val="24"/>
          <w:lang w:val="en-US" w:eastAsia="bg-BG"/>
        </w:rPr>
      </w:pPr>
      <w:r w:rsidRPr="00116E6F">
        <w:rPr>
          <w:b/>
          <w:bCs/>
          <w:color w:val="E36C0A" w:themeColor="accent6" w:themeShade="BF"/>
          <w:sz w:val="24"/>
          <w:szCs w:val="24"/>
          <w:u w:val="single"/>
          <w:lang w:eastAsia="bg-BG"/>
        </w:rPr>
        <w:t>7th International Conference on Operations Research and Enterprise Systems - ICORES 2018</w:t>
      </w:r>
      <w:r w:rsidR="00116E6F" w:rsidRPr="00116E6F">
        <w:rPr>
          <w:b/>
          <w:bCs/>
          <w:color w:val="E36C0A" w:themeColor="accent6" w:themeShade="BF"/>
          <w:sz w:val="24"/>
          <w:szCs w:val="24"/>
          <w:u w:val="single"/>
          <w:lang w:val="en-US" w:eastAsia="bg-BG"/>
        </w:rPr>
        <w:t>, 24 – 26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A4464" w:rsidRPr="00116E6F" w:rsidRDefault="00116E6F" w:rsidP="001A4464">
      <w:pPr>
        <w:rPr>
          <w:bCs/>
          <w:iCs/>
          <w:sz w:val="24"/>
          <w:szCs w:val="24"/>
          <w:lang w:eastAsia="bg-BG"/>
        </w:rPr>
      </w:pPr>
      <w:r>
        <w:rPr>
          <w:bCs/>
          <w:iCs/>
          <w:sz w:val="24"/>
          <w:szCs w:val="24"/>
          <w:lang w:eastAsia="bg-BG"/>
        </w:rPr>
        <w:t xml:space="preserve">The </w:t>
      </w:r>
      <w:r w:rsidR="001A4464" w:rsidRPr="00116E6F">
        <w:rPr>
          <w:bCs/>
          <w:iCs/>
          <w:sz w:val="24"/>
          <w:szCs w:val="24"/>
          <w:lang w:eastAsia="bg-BG"/>
        </w:rPr>
        <w:t>International Conference on Operations Research a</w:t>
      </w:r>
      <w:r>
        <w:rPr>
          <w:bCs/>
          <w:iCs/>
          <w:sz w:val="24"/>
          <w:szCs w:val="24"/>
          <w:lang w:eastAsia="bg-BG"/>
        </w:rPr>
        <w:t xml:space="preserve">nd Enterprise Systems (ICORES) </w:t>
      </w:r>
      <w:r>
        <w:rPr>
          <w:bCs/>
          <w:iCs/>
          <w:sz w:val="24"/>
          <w:szCs w:val="24"/>
          <w:lang w:val="en-US" w:eastAsia="bg-BG"/>
        </w:rPr>
        <w:t xml:space="preserve">will </w:t>
      </w:r>
      <w:r w:rsidR="001A4464" w:rsidRPr="00116E6F">
        <w:rPr>
          <w:bCs/>
          <w:iCs/>
          <w:sz w:val="24"/>
          <w:szCs w:val="24"/>
          <w:lang w:eastAsia="bg-BG"/>
        </w:rPr>
        <w:t>bring together researchers, engineers, faculty, and practitioners interested in both theoretical advances and practical applications in the field of operations research. Two simultaneous tracks will be held, covering on one side domain independent methodologies and technologies and on the other side practical work developed in specific application areas.</w:t>
      </w:r>
    </w:p>
    <w:p w:rsidR="00116E6F" w:rsidRDefault="00116E6F" w:rsidP="005620B2">
      <w:pPr>
        <w:rPr>
          <w:bCs/>
          <w:sz w:val="24"/>
          <w:szCs w:val="24"/>
          <w:lang w:eastAsia="bg-BG"/>
        </w:rPr>
      </w:pPr>
      <w:r>
        <w:rPr>
          <w:bCs/>
          <w:sz w:val="24"/>
          <w:szCs w:val="24"/>
          <w:lang w:val="en-US" w:eastAsia="bg-BG"/>
        </w:rPr>
        <w:t>More information on the Conference w</w:t>
      </w:r>
      <w:r w:rsidRPr="00CE69DA">
        <w:rPr>
          <w:bCs/>
          <w:sz w:val="24"/>
          <w:szCs w:val="24"/>
          <w:lang w:eastAsia="bg-BG"/>
        </w:rPr>
        <w:t>ebsite</w:t>
      </w:r>
      <w:r>
        <w:rPr>
          <w:bCs/>
          <w:sz w:val="24"/>
          <w:szCs w:val="24"/>
          <w:lang w:val="en-US" w:eastAsia="bg-BG"/>
        </w:rPr>
        <w:t>:</w:t>
      </w:r>
      <w:r>
        <w:t xml:space="preserve"> </w:t>
      </w:r>
      <w:hyperlink r:id="rId41" w:history="1">
        <w:r w:rsidR="001A4464" w:rsidRPr="001A4464">
          <w:rPr>
            <w:rStyle w:val="Hyperlink"/>
            <w:bCs/>
            <w:sz w:val="24"/>
            <w:szCs w:val="24"/>
            <w:lang w:eastAsia="bg-BG"/>
          </w:rPr>
          <w:t>http://www.icores.org/</w:t>
        </w:r>
      </w:hyperlink>
      <w:r w:rsidR="001A4464" w:rsidRPr="001A4464">
        <w:rPr>
          <w:bCs/>
          <w:sz w:val="24"/>
          <w:szCs w:val="24"/>
          <w:lang w:eastAsia="bg-BG"/>
        </w:rPr>
        <w:t xml:space="preserve"> </w:t>
      </w:r>
    </w:p>
    <w:p w:rsidR="001A4464" w:rsidRPr="00116E6F" w:rsidRDefault="001A4464" w:rsidP="001A4464">
      <w:pPr>
        <w:rPr>
          <w:b/>
          <w:bCs/>
          <w:sz w:val="24"/>
          <w:szCs w:val="24"/>
          <w:lang w:val="en-US" w:eastAsia="bg-BG"/>
        </w:rPr>
      </w:pPr>
      <w:r w:rsidRPr="00116E6F">
        <w:rPr>
          <w:b/>
          <w:bCs/>
          <w:color w:val="E36C0A" w:themeColor="accent6" w:themeShade="BF"/>
          <w:sz w:val="24"/>
          <w:szCs w:val="24"/>
          <w:u w:val="single"/>
          <w:lang w:eastAsia="bg-BG"/>
        </w:rPr>
        <w:t>13th International Joint Conference on Computer Vision, Imaging and Computer Graphics Theory and Applications - VISIGRAPP 2018</w:t>
      </w:r>
      <w:r w:rsidR="00116E6F" w:rsidRPr="00116E6F">
        <w:rPr>
          <w:b/>
          <w:bCs/>
          <w:color w:val="E36C0A" w:themeColor="accent6" w:themeShade="BF"/>
          <w:sz w:val="24"/>
          <w:szCs w:val="24"/>
          <w:u w:val="single"/>
          <w:lang w:val="en-US" w:eastAsia="bg-BG"/>
        </w:rPr>
        <w:t>, 27 – 29 January</w:t>
      </w:r>
      <w:r w:rsidR="00116E6F" w:rsidRPr="00116E6F">
        <w:rPr>
          <w:b/>
          <w:bCs/>
          <w:color w:val="E36C0A" w:themeColor="accent6" w:themeShade="BF"/>
          <w:sz w:val="24"/>
          <w:szCs w:val="24"/>
          <w:u w:val="single"/>
          <w:lang w:eastAsia="bg-BG"/>
        </w:rPr>
        <w:t xml:space="preserve"> 2018</w:t>
      </w:r>
      <w:r w:rsidR="00116E6F" w:rsidRPr="00CE69DA">
        <w:rPr>
          <w:b/>
          <w:bCs/>
          <w:color w:val="E36C0A" w:themeColor="accent6" w:themeShade="BF"/>
          <w:sz w:val="24"/>
          <w:szCs w:val="24"/>
          <w:u w:val="single"/>
          <w:lang w:val="en-US" w:eastAsia="bg-BG"/>
        </w:rPr>
        <w:t>,</w:t>
      </w:r>
      <w:r w:rsidR="00116E6F" w:rsidRPr="00CE69DA">
        <w:rPr>
          <w:b/>
          <w:bCs/>
          <w:color w:val="E36C0A" w:themeColor="accent6" w:themeShade="BF"/>
          <w:sz w:val="24"/>
          <w:szCs w:val="24"/>
          <w:u w:val="single"/>
          <w:lang w:eastAsia="bg-BG"/>
        </w:rPr>
        <w:t xml:space="preserve"> Funchal, Madeira, Portugal</w:t>
      </w:r>
    </w:p>
    <w:p w:rsidR="001A4464" w:rsidRPr="00116E6F" w:rsidRDefault="001A4464" w:rsidP="001A4464">
      <w:pPr>
        <w:rPr>
          <w:bCs/>
          <w:iCs/>
          <w:sz w:val="24"/>
          <w:szCs w:val="24"/>
          <w:lang w:eastAsia="bg-BG"/>
        </w:rPr>
      </w:pPr>
      <w:r w:rsidRPr="00116E6F">
        <w:rPr>
          <w:bCs/>
          <w:iCs/>
          <w:sz w:val="24"/>
          <w:szCs w:val="24"/>
          <w:lang w:eastAsia="bg-BG"/>
        </w:rPr>
        <w:t xml:space="preserve">VISIGRAPP </w:t>
      </w:r>
      <w:r w:rsidR="00116E6F">
        <w:rPr>
          <w:bCs/>
          <w:iCs/>
          <w:sz w:val="24"/>
          <w:szCs w:val="24"/>
          <w:lang w:val="en-US" w:eastAsia="bg-BG"/>
        </w:rPr>
        <w:t xml:space="preserve">2018 will </w:t>
      </w:r>
      <w:r w:rsidRPr="00116E6F">
        <w:rPr>
          <w:bCs/>
          <w:iCs/>
          <w:sz w:val="24"/>
          <w:szCs w:val="24"/>
          <w:lang w:eastAsia="bg-BG"/>
        </w:rPr>
        <w:t xml:space="preserve">bring together researchers and practitioners interested in both theoretical advances and applications of computer vision, computer graphics and information visualisation. VISIGRAPP is composed of four co-located conferences, each specialised in at least one of the aforementioned main knowledge areas. </w:t>
      </w:r>
    </w:p>
    <w:p w:rsidR="001A4464" w:rsidRDefault="00116E6F" w:rsidP="001A4464">
      <w:pPr>
        <w:rPr>
          <w:bCs/>
          <w:sz w:val="24"/>
          <w:szCs w:val="24"/>
          <w:lang w:val="en-US" w:eastAsia="bg-BG"/>
        </w:rPr>
      </w:pPr>
      <w:r>
        <w:rPr>
          <w:bCs/>
          <w:sz w:val="24"/>
          <w:szCs w:val="24"/>
          <w:lang w:val="en-US" w:eastAsia="bg-BG"/>
        </w:rPr>
        <w:t>More information on the Conference w</w:t>
      </w:r>
      <w:r w:rsidRPr="00CE69DA">
        <w:rPr>
          <w:bCs/>
          <w:sz w:val="24"/>
          <w:szCs w:val="24"/>
          <w:lang w:eastAsia="bg-BG"/>
        </w:rPr>
        <w:t>ebsite</w:t>
      </w:r>
      <w:r>
        <w:rPr>
          <w:bCs/>
          <w:sz w:val="24"/>
          <w:szCs w:val="24"/>
          <w:lang w:val="en-US" w:eastAsia="bg-BG"/>
        </w:rPr>
        <w:t>:</w:t>
      </w:r>
      <w:r>
        <w:t xml:space="preserve"> </w:t>
      </w:r>
      <w:hyperlink r:id="rId42" w:history="1">
        <w:r w:rsidR="001A4464" w:rsidRPr="001A4464">
          <w:rPr>
            <w:rStyle w:val="Hyperlink"/>
            <w:bCs/>
            <w:sz w:val="24"/>
            <w:szCs w:val="24"/>
            <w:lang w:eastAsia="bg-BG"/>
          </w:rPr>
          <w:t>http://www.visigrapp.org/</w:t>
        </w:r>
      </w:hyperlink>
      <w:r w:rsidR="001A4464" w:rsidRPr="001A4464">
        <w:rPr>
          <w:bCs/>
          <w:sz w:val="24"/>
          <w:szCs w:val="24"/>
          <w:lang w:eastAsia="bg-BG"/>
        </w:rPr>
        <w:t xml:space="preserve"> </w:t>
      </w:r>
    </w:p>
    <w:p w:rsidR="000F6FBF" w:rsidRDefault="000F6FBF" w:rsidP="001A4464">
      <w:pPr>
        <w:rPr>
          <w:bCs/>
          <w:sz w:val="24"/>
          <w:szCs w:val="24"/>
          <w:lang w:val="en-US" w:eastAsia="bg-BG"/>
        </w:rPr>
      </w:pPr>
    </w:p>
    <w:p w:rsidR="00B84583" w:rsidRPr="00963A2D" w:rsidRDefault="00B84583" w:rsidP="00B84583">
      <w:pPr>
        <w:rPr>
          <w:b/>
          <w:bCs/>
          <w:color w:val="E36C0A" w:themeColor="accent6" w:themeShade="BF"/>
          <w:sz w:val="24"/>
          <w:szCs w:val="24"/>
          <w:u w:val="single"/>
          <w:lang w:eastAsia="bg-BG"/>
        </w:rPr>
      </w:pPr>
      <w:r w:rsidRPr="00963A2D">
        <w:rPr>
          <w:b/>
          <w:bCs/>
          <w:color w:val="E36C0A" w:themeColor="accent6" w:themeShade="BF"/>
          <w:sz w:val="24"/>
          <w:szCs w:val="24"/>
          <w:u w:val="single"/>
          <w:lang w:eastAsia="bg-BG"/>
        </w:rPr>
        <w:lastRenderedPageBreak/>
        <w:t>Horizon 2020 Project Management and Financial Reporting</w:t>
      </w:r>
      <w:r w:rsidR="00114751" w:rsidRPr="00963A2D">
        <w:rPr>
          <w:b/>
          <w:bCs/>
          <w:color w:val="E36C0A" w:themeColor="accent6" w:themeShade="BF"/>
          <w:sz w:val="24"/>
          <w:szCs w:val="24"/>
          <w:u w:val="single"/>
          <w:lang w:val="en-US" w:eastAsia="bg-BG"/>
        </w:rPr>
        <w:t xml:space="preserve">, 22 – 23 </w:t>
      </w:r>
      <w:r w:rsidR="00963A2D" w:rsidRPr="00963A2D">
        <w:rPr>
          <w:b/>
          <w:bCs/>
          <w:color w:val="E36C0A" w:themeColor="accent6" w:themeShade="BF"/>
          <w:sz w:val="24"/>
          <w:szCs w:val="24"/>
          <w:u w:val="single"/>
          <w:lang w:val="en-US" w:eastAsia="bg-BG"/>
        </w:rPr>
        <w:t xml:space="preserve">February </w:t>
      </w:r>
      <w:r w:rsidRPr="00963A2D">
        <w:rPr>
          <w:b/>
          <w:bCs/>
          <w:color w:val="E36C0A" w:themeColor="accent6" w:themeShade="BF"/>
          <w:sz w:val="24"/>
          <w:szCs w:val="24"/>
          <w:u w:val="single"/>
          <w:lang w:eastAsia="bg-BG"/>
        </w:rPr>
        <w:t>2018</w:t>
      </w:r>
      <w:r w:rsidR="00963A2D" w:rsidRPr="00963A2D">
        <w:rPr>
          <w:b/>
          <w:bCs/>
          <w:color w:val="E36C0A" w:themeColor="accent6" w:themeShade="BF"/>
          <w:sz w:val="24"/>
          <w:szCs w:val="24"/>
          <w:u w:val="single"/>
          <w:lang w:val="en-US" w:eastAsia="bg-BG"/>
        </w:rPr>
        <w:t xml:space="preserve">, </w:t>
      </w:r>
      <w:r w:rsidRPr="00963A2D">
        <w:rPr>
          <w:b/>
          <w:bCs/>
          <w:color w:val="E36C0A" w:themeColor="accent6" w:themeShade="BF"/>
          <w:sz w:val="24"/>
          <w:szCs w:val="24"/>
          <w:u w:val="single"/>
          <w:lang w:eastAsia="bg-BG"/>
        </w:rPr>
        <w:t>Austria</w:t>
      </w:r>
    </w:p>
    <w:p w:rsidR="00B84583" w:rsidRPr="00C950B8" w:rsidRDefault="00B84583" w:rsidP="00963A2D">
      <w:pPr>
        <w:rPr>
          <w:sz w:val="24"/>
          <w:szCs w:val="24"/>
          <w:lang w:eastAsia="bg-BG"/>
        </w:rPr>
      </w:pPr>
      <w:r w:rsidRPr="00C950B8">
        <w:rPr>
          <w:sz w:val="24"/>
          <w:szCs w:val="24"/>
          <w:lang w:eastAsia="bg-BG"/>
        </w:rPr>
        <w:t>How to manage your EU-funded research and innovation project in the most efficient way?</w:t>
      </w:r>
    </w:p>
    <w:p w:rsidR="00963A2D" w:rsidRPr="00C950B8" w:rsidRDefault="00B84583" w:rsidP="00963A2D">
      <w:pPr>
        <w:rPr>
          <w:sz w:val="24"/>
          <w:szCs w:val="24"/>
          <w:lang w:val="en-US" w:eastAsia="bg-BG"/>
        </w:rPr>
      </w:pPr>
      <w:r w:rsidRPr="00C950B8">
        <w:rPr>
          <w:sz w:val="24"/>
          <w:szCs w:val="24"/>
          <w:lang w:eastAsia="bg-BG"/>
        </w:rPr>
        <w:t>Why participate in the "Horizon 2020 Project Management and Financial Reporting" course?</w:t>
      </w:r>
      <w:r w:rsidR="00963A2D" w:rsidRPr="00C950B8">
        <w:rPr>
          <w:sz w:val="24"/>
          <w:szCs w:val="24"/>
          <w:lang w:val="en-US" w:eastAsia="bg-BG"/>
        </w:rPr>
        <w:t xml:space="preserve"> </w:t>
      </w:r>
      <w:r w:rsidRPr="00C950B8">
        <w:rPr>
          <w:sz w:val="24"/>
          <w:szCs w:val="24"/>
          <w:lang w:eastAsia="bg-BG"/>
        </w:rPr>
        <w:t>Get a practical insight into:</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Avoiding financial mismanagement in your Horizon 2020 project;</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Drafting a sound consortium agreement and handling IPR issues;</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Putting together periodic and final reports;</w:t>
      </w:r>
    </w:p>
    <w:p w:rsidR="00963A2D" w:rsidRPr="00C950B8" w:rsidRDefault="00B84583" w:rsidP="00C950B8">
      <w:pPr>
        <w:pStyle w:val="ListParagraph"/>
        <w:numPr>
          <w:ilvl w:val="1"/>
          <w:numId w:val="1"/>
        </w:numPr>
        <w:rPr>
          <w:sz w:val="24"/>
          <w:szCs w:val="24"/>
          <w:lang w:val="en-US" w:eastAsia="bg-BG"/>
        </w:rPr>
      </w:pPr>
      <w:r w:rsidRPr="00C950B8">
        <w:rPr>
          <w:sz w:val="24"/>
          <w:szCs w:val="24"/>
          <w:lang w:eastAsia="bg-BG"/>
        </w:rPr>
        <w:t>Getting prepared for technical reviews and EC audits.</w:t>
      </w:r>
    </w:p>
    <w:p w:rsidR="00B84583" w:rsidRPr="00C950B8" w:rsidRDefault="00B84583" w:rsidP="00963A2D">
      <w:pPr>
        <w:rPr>
          <w:sz w:val="24"/>
          <w:szCs w:val="24"/>
          <w:lang w:eastAsia="bg-BG"/>
        </w:rPr>
      </w:pPr>
      <w:r w:rsidRPr="00C950B8">
        <w:rPr>
          <w:sz w:val="24"/>
          <w:szCs w:val="24"/>
          <w:lang w:eastAsia="bg-BG"/>
        </w:rPr>
        <w:t>This 2-day training course will introduce the first crucial steps for getting a Horizon 2020 project started on the right foot, provide practical tips to ensure a sound technical implementation of your project, and go into the issues of financial management and reporting.</w:t>
      </w:r>
    </w:p>
    <w:p w:rsidR="00963A2D" w:rsidRPr="00C950B8" w:rsidRDefault="00B84583" w:rsidP="00963A2D">
      <w:pPr>
        <w:rPr>
          <w:sz w:val="24"/>
          <w:szCs w:val="24"/>
          <w:lang w:val="en-US" w:eastAsia="bg-BG"/>
        </w:rPr>
      </w:pPr>
      <w:r w:rsidRPr="00C950B8">
        <w:rPr>
          <w:sz w:val="24"/>
          <w:szCs w:val="24"/>
          <w:lang w:eastAsia="bg-BG"/>
        </w:rPr>
        <w:t>Participants prepare a full financial report for a virtual research project, a role-play exercise, based on "dummy" invoices, salary slips and time-sheets!</w:t>
      </w:r>
    </w:p>
    <w:p w:rsidR="000F6FBF" w:rsidRPr="00B84583" w:rsidRDefault="00B84583" w:rsidP="001A4464">
      <w:pPr>
        <w:rPr>
          <w:bCs/>
          <w:sz w:val="24"/>
          <w:szCs w:val="24"/>
          <w:lang w:eastAsia="bg-BG"/>
        </w:rPr>
      </w:pPr>
      <w:r w:rsidRPr="00B84583">
        <w:rPr>
          <w:bCs/>
          <w:sz w:val="24"/>
          <w:szCs w:val="24"/>
          <w:lang w:eastAsia="bg-BG"/>
        </w:rPr>
        <w:t xml:space="preserve">For more information and registration: </w:t>
      </w:r>
      <w:hyperlink r:id="rId43" w:history="1">
        <w:r w:rsidRPr="00B84583">
          <w:rPr>
            <w:rStyle w:val="Hyperlink"/>
            <w:bCs/>
            <w:sz w:val="24"/>
            <w:szCs w:val="24"/>
            <w:lang w:eastAsia="bg-BG"/>
          </w:rPr>
          <w:t>https://www.eutrainingsite.com/training-courses/138/horizon-2020-project-management-and-financial-reporting</w:t>
        </w:r>
      </w:hyperlink>
    </w:p>
    <w:p w:rsidR="000F6FBF" w:rsidRDefault="000F6FBF" w:rsidP="001A4464">
      <w:pPr>
        <w:rPr>
          <w:bCs/>
          <w:sz w:val="24"/>
          <w:szCs w:val="24"/>
          <w:lang w:val="en-US" w:eastAsia="bg-BG"/>
        </w:rPr>
      </w:pPr>
    </w:p>
    <w:p w:rsidR="000F6FBF" w:rsidRDefault="000F6FBF" w:rsidP="001A4464">
      <w:pPr>
        <w:rPr>
          <w:bCs/>
          <w:sz w:val="24"/>
          <w:szCs w:val="24"/>
          <w:lang w:val="en-US" w:eastAsia="bg-BG"/>
        </w:rPr>
      </w:pPr>
    </w:p>
    <w:p w:rsidR="000F6FBF" w:rsidRDefault="000F6FBF" w:rsidP="001A4464">
      <w:pPr>
        <w:rPr>
          <w:bCs/>
          <w:sz w:val="24"/>
          <w:szCs w:val="24"/>
          <w:lang w:val="en-US" w:eastAsia="bg-BG"/>
        </w:rPr>
      </w:pPr>
    </w:p>
    <w:p w:rsidR="000F6FBF" w:rsidRDefault="000F6FBF" w:rsidP="001A4464">
      <w:pPr>
        <w:rPr>
          <w:bCs/>
          <w:sz w:val="24"/>
          <w:szCs w:val="24"/>
          <w:lang w:val="en-US" w:eastAsia="bg-BG"/>
        </w:rPr>
      </w:pPr>
    </w:p>
    <w:p w:rsidR="000F6FBF" w:rsidRDefault="000F6FBF" w:rsidP="001A4464">
      <w:pPr>
        <w:rPr>
          <w:bCs/>
          <w:sz w:val="24"/>
          <w:szCs w:val="24"/>
          <w:lang w:val="en-US" w:eastAsia="bg-BG"/>
        </w:rPr>
      </w:pPr>
    </w:p>
    <w:p w:rsidR="000F6FBF" w:rsidRDefault="000F6FBF" w:rsidP="001A4464">
      <w:pPr>
        <w:rPr>
          <w:bCs/>
          <w:sz w:val="24"/>
          <w:szCs w:val="24"/>
          <w:lang w:val="en-US" w:eastAsia="bg-BG"/>
        </w:rPr>
      </w:pPr>
    </w:p>
    <w:p w:rsidR="000F6FBF" w:rsidRDefault="000F6FBF" w:rsidP="001A4464">
      <w:pPr>
        <w:rPr>
          <w:bCs/>
          <w:sz w:val="24"/>
          <w:szCs w:val="24"/>
          <w:lang w:val="en-US" w:eastAsia="bg-BG"/>
        </w:rPr>
      </w:pPr>
    </w:p>
    <w:p w:rsidR="000F6FBF" w:rsidRPr="000F6FBF" w:rsidRDefault="000F6FBF" w:rsidP="001A4464">
      <w:pPr>
        <w:rPr>
          <w:bCs/>
          <w:sz w:val="24"/>
          <w:szCs w:val="24"/>
          <w:lang w:val="en-US"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44"/>
          <w:pgSz w:w="11906" w:h="16838"/>
          <w:pgMar w:top="1417" w:right="1417" w:bottom="1417" w:left="1417" w:header="708" w:footer="708" w:gutter="0"/>
          <w:cols w:space="708"/>
          <w:docGrid w:linePitch="360"/>
        </w:sectPr>
      </w:pPr>
    </w:p>
    <w:p w:rsidR="00912146" w:rsidRDefault="00912146" w:rsidP="00B278E8">
      <w:pPr>
        <w:pStyle w:val="Publications"/>
      </w:pPr>
      <w:bookmarkStart w:id="20" w:name="_Toc498005907"/>
      <w:r>
        <w:lastRenderedPageBreak/>
        <w:t>ПУБЛИКАЦИИ</w:t>
      </w:r>
      <w:bookmarkEnd w:id="20"/>
    </w:p>
    <w:p w:rsidR="00FE66A8" w:rsidRDefault="000A4BB1" w:rsidP="00B42A97">
      <w:pPr>
        <w:pStyle w:val="Heading2"/>
        <w:ind w:left="426"/>
        <w:rPr>
          <w:lang w:val="en-GB"/>
        </w:rPr>
      </w:pPr>
      <w:bookmarkStart w:id="21" w:name="_Toc498005908"/>
      <w:r>
        <w:rPr>
          <w:lang w:val="en-GB"/>
        </w:rPr>
        <w:t>RESEARCH EU MAGAZINE</w:t>
      </w:r>
      <w:bookmarkEnd w:id="21"/>
    </w:p>
    <w:p w:rsidR="00F30194" w:rsidRDefault="000A4BB1" w:rsidP="009A126F">
      <w:pPr>
        <w:rPr>
          <w:b/>
          <w:bCs/>
          <w:lang w:val="en-GB"/>
        </w:rPr>
      </w:pPr>
      <w:r>
        <w:rPr>
          <w:noProof/>
          <w:sz w:val="19"/>
          <w:szCs w:val="19"/>
          <w:lang w:eastAsia="bg-BG"/>
        </w:rPr>
        <w:drawing>
          <wp:inline distT="0" distB="0" distL="0" distR="0" wp14:anchorId="1C19359D" wp14:editId="0B7E1AB6">
            <wp:extent cx="1227600" cy="1728000"/>
            <wp:effectExtent l="0" t="0" r="0" b="5715"/>
            <wp:docPr id="15" name="Picture 15" descr="Let there be light: Technologies for the visually impa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t there be light: Technologies for the visually impair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27600" cy="1728000"/>
                    </a:xfrm>
                    <a:prstGeom prst="rect">
                      <a:avLst/>
                    </a:prstGeom>
                    <a:noFill/>
                    <a:ln>
                      <a:noFill/>
                    </a:ln>
                  </pic:spPr>
                </pic:pic>
              </a:graphicData>
            </a:graphic>
          </wp:inline>
        </w:drawing>
      </w:r>
      <w:r>
        <w:rPr>
          <w:b/>
          <w:bCs/>
          <w:lang w:val="en-GB"/>
        </w:rPr>
        <w:t>October 2017</w:t>
      </w:r>
    </w:p>
    <w:p w:rsidR="000A4BB1" w:rsidRPr="000A4BB1" w:rsidRDefault="000A4BB1" w:rsidP="000A4BB1">
      <w:pPr>
        <w:rPr>
          <w:bCs/>
          <w:sz w:val="24"/>
          <w:szCs w:val="24"/>
          <w:lang w:val="en-US"/>
        </w:rPr>
      </w:pPr>
      <w:r w:rsidRPr="000A4BB1">
        <w:rPr>
          <w:bCs/>
          <w:sz w:val="24"/>
          <w:szCs w:val="24"/>
        </w:rPr>
        <w:t>Special Feature</w:t>
      </w:r>
      <w:r w:rsidR="00B42A97">
        <w:rPr>
          <w:bCs/>
          <w:sz w:val="24"/>
          <w:szCs w:val="24"/>
          <w:lang w:val="en-US"/>
        </w:rPr>
        <w:t xml:space="preserve">: </w:t>
      </w:r>
      <w:r w:rsidRPr="000A4BB1">
        <w:rPr>
          <w:bCs/>
          <w:sz w:val="24"/>
          <w:szCs w:val="24"/>
        </w:rPr>
        <w:t>Let there be light: Technologies for the visually impaired</w:t>
      </w:r>
    </w:p>
    <w:p w:rsidR="000A4BB1" w:rsidRPr="000A4BB1" w:rsidRDefault="00E20859" w:rsidP="00E03E53">
      <w:pPr>
        <w:spacing w:after="600"/>
        <w:rPr>
          <w:bCs/>
          <w:sz w:val="24"/>
          <w:szCs w:val="24"/>
          <w:lang w:val="en-US"/>
        </w:rPr>
      </w:pPr>
      <w:hyperlink r:id="rId46" w:history="1">
        <w:r w:rsidR="000A4BB1" w:rsidRPr="000A4BB1">
          <w:rPr>
            <w:rStyle w:val="Hyperlink"/>
            <w:bCs/>
            <w:sz w:val="24"/>
            <w:szCs w:val="24"/>
            <w:lang w:val="en-US"/>
          </w:rPr>
          <w:t>Read more</w:t>
        </w:r>
      </w:hyperlink>
    </w:p>
    <w:p w:rsidR="00E03E53" w:rsidRPr="00E03E53" w:rsidRDefault="00E03E53" w:rsidP="00E03E53">
      <w:pPr>
        <w:pStyle w:val="Heading2"/>
        <w:ind w:left="426"/>
        <w:rPr>
          <w:lang w:val="en"/>
        </w:rPr>
      </w:pPr>
      <w:bookmarkStart w:id="22" w:name="_Toc498005909"/>
      <w:r w:rsidRPr="00E03E53">
        <w:rPr>
          <w:lang w:val="en"/>
        </w:rPr>
        <w:t>The Twentieth Century in European Memory - Transcultural Mediation and Reception</w:t>
      </w:r>
      <w:bookmarkEnd w:id="22"/>
    </w:p>
    <w:p w:rsidR="00F30194" w:rsidRPr="00F30194" w:rsidRDefault="00E03E53" w:rsidP="009A126F">
      <w:pPr>
        <w:rPr>
          <w:b/>
          <w:bCs/>
          <w:lang w:val="en"/>
        </w:rPr>
      </w:pPr>
      <w:r>
        <w:rPr>
          <w:noProof/>
          <w:lang w:eastAsia="bg-BG"/>
        </w:rPr>
        <w:drawing>
          <wp:anchor distT="0" distB="0" distL="114300" distR="114300" simplePos="0" relativeHeight="251717632" behindDoc="1" locked="0" layoutInCell="1" allowOverlap="1" wp14:anchorId="7D8D3294" wp14:editId="2CDA4D1B">
            <wp:simplePos x="0" y="0"/>
            <wp:positionH relativeFrom="column">
              <wp:posOffset>28575</wp:posOffset>
            </wp:positionH>
            <wp:positionV relativeFrom="paragraph">
              <wp:posOffset>43180</wp:posOffset>
            </wp:positionV>
            <wp:extent cx="1238400" cy="1882800"/>
            <wp:effectExtent l="0" t="0" r="0" b="3175"/>
            <wp:wrapThrough wrapText="bothSides">
              <wp:wrapPolygon edited="0">
                <wp:start x="0" y="0"/>
                <wp:lineTo x="0" y="21418"/>
                <wp:lineTo x="21268" y="21418"/>
                <wp:lineTo x="21268" y="0"/>
                <wp:lineTo x="0" y="0"/>
              </wp:wrapPolygon>
            </wp:wrapThrough>
            <wp:docPr id="3" name="Picture 3" descr="http://www.cost.eu/var/ezwebin_site/storage/images/medialib/images/library/publications/the-twentieth-century-in-european-memory/1867300-1-eng-GB/The-Twentieth-century-in-European-memory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images/library/publications/the-twentieth-century-in-european-memory/1867300-1-eng-GB/The-Twentieth-century-in-European-memory_publication.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38400" cy="18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3E53" w:rsidRDefault="00E03E53" w:rsidP="00E03E53">
      <w:pPr>
        <w:rPr>
          <w:rFonts w:eastAsia="Times New Roman" w:cs="Times New Roman"/>
          <w:sz w:val="24"/>
          <w:szCs w:val="24"/>
          <w:lang w:val="en" w:eastAsia="bg-BG"/>
        </w:rPr>
      </w:pPr>
    </w:p>
    <w:p w:rsidR="00CC68B5" w:rsidRDefault="00CC68B5" w:rsidP="00E03E53">
      <w:pPr>
        <w:rPr>
          <w:rFonts w:eastAsia="Times New Roman" w:cs="Times New Roman"/>
          <w:sz w:val="24"/>
          <w:szCs w:val="24"/>
          <w:lang w:val="en" w:eastAsia="bg-BG"/>
        </w:rPr>
      </w:pPr>
    </w:p>
    <w:p w:rsidR="00E03E53"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 xml:space="preserve">Author(s): </w:t>
      </w:r>
      <w:proofErr w:type="spellStart"/>
      <w:r w:rsidRPr="00F30194">
        <w:rPr>
          <w:rFonts w:eastAsia="Times New Roman" w:cs="Times New Roman"/>
          <w:sz w:val="24"/>
          <w:szCs w:val="24"/>
          <w:lang w:val="en" w:eastAsia="bg-BG"/>
        </w:rPr>
        <w:t>Sindbæk</w:t>
      </w:r>
      <w:proofErr w:type="spellEnd"/>
      <w:r w:rsidRPr="00F30194">
        <w:rPr>
          <w:rFonts w:eastAsia="Times New Roman" w:cs="Times New Roman"/>
          <w:sz w:val="24"/>
          <w:szCs w:val="24"/>
          <w:lang w:val="en" w:eastAsia="bg-BG"/>
        </w:rPr>
        <w:t xml:space="preserve"> Andersen, T., </w:t>
      </w:r>
      <w:proofErr w:type="spellStart"/>
      <w:r w:rsidRPr="00F30194">
        <w:rPr>
          <w:rFonts w:eastAsia="Times New Roman" w:cs="Times New Roman"/>
          <w:sz w:val="24"/>
          <w:szCs w:val="24"/>
          <w:lang w:val="en" w:eastAsia="bg-BG"/>
        </w:rPr>
        <w:t>Törnquist-Plewa</w:t>
      </w:r>
      <w:proofErr w:type="spellEnd"/>
      <w:r w:rsidRPr="00F30194">
        <w:rPr>
          <w:rFonts w:eastAsia="Times New Roman" w:cs="Times New Roman"/>
          <w:sz w:val="24"/>
          <w:szCs w:val="24"/>
          <w:lang w:val="en" w:eastAsia="bg-BG"/>
        </w:rPr>
        <w:t>, B. (Eds.)</w:t>
      </w:r>
    </w:p>
    <w:p w:rsidR="00F30194" w:rsidRPr="00F30194" w:rsidRDefault="00F30194" w:rsidP="00E03E53">
      <w:pPr>
        <w:rPr>
          <w:rFonts w:eastAsia="Times New Roman" w:cs="Times New Roman"/>
          <w:sz w:val="24"/>
          <w:szCs w:val="24"/>
          <w:lang w:val="en" w:eastAsia="bg-BG"/>
        </w:rPr>
      </w:pPr>
      <w:r w:rsidRPr="00F30194">
        <w:rPr>
          <w:rFonts w:eastAsia="Times New Roman" w:cs="Times New Roman"/>
          <w:sz w:val="24"/>
          <w:szCs w:val="24"/>
          <w:lang w:val="en" w:eastAsia="bg-BG"/>
        </w:rPr>
        <w:t>Publisher(s): Brill</w:t>
      </w:r>
    </w:p>
    <w:p w:rsidR="00F30194" w:rsidRPr="00F30194" w:rsidRDefault="00E20859" w:rsidP="00E03E53">
      <w:pPr>
        <w:spacing w:before="100" w:beforeAutospacing="1" w:after="100" w:afterAutospacing="1" w:line="240" w:lineRule="auto"/>
        <w:ind w:left="720"/>
        <w:jc w:val="left"/>
        <w:rPr>
          <w:rFonts w:eastAsia="Times New Roman" w:cs="Times New Roman"/>
          <w:sz w:val="24"/>
          <w:szCs w:val="24"/>
          <w:lang w:val="en" w:eastAsia="bg-BG"/>
        </w:rPr>
      </w:pPr>
      <w:hyperlink r:id="rId48" w:tooltip="The Twentieth Century in European Memory" w:history="1">
        <w:r w:rsidR="00F30194" w:rsidRPr="00F30194">
          <w:rPr>
            <w:rFonts w:eastAsia="Times New Roman" w:cs="Times New Roman"/>
            <w:color w:val="0000FF"/>
            <w:sz w:val="24"/>
            <w:szCs w:val="24"/>
            <w:u w:val="single"/>
            <w:lang w:val="en" w:eastAsia="bg-BG"/>
          </w:rPr>
          <w:t>Download (PDF, 3 MB)</w:t>
        </w:r>
      </w:hyperlink>
    </w:p>
    <w:p w:rsidR="00F30194" w:rsidRPr="00F30194" w:rsidRDefault="00F30194" w:rsidP="006F2579">
      <w:pPr>
        <w:spacing w:before="100" w:beforeAutospacing="1" w:after="100" w:afterAutospacing="1"/>
        <w:rPr>
          <w:rFonts w:eastAsia="Times New Roman" w:cs="Times New Roman"/>
          <w:sz w:val="24"/>
          <w:szCs w:val="24"/>
          <w:lang w:val="en" w:eastAsia="bg-BG"/>
        </w:rPr>
      </w:pPr>
      <w:r w:rsidRPr="00F30194">
        <w:rPr>
          <w:rFonts w:eastAsia="Times New Roman" w:cs="Times New Roman"/>
          <w:sz w:val="24"/>
          <w:szCs w:val="24"/>
          <w:lang w:val="en" w:eastAsia="bg-BG"/>
        </w:rPr>
        <w:t>This volume is the final outcome of the resea</w:t>
      </w:r>
      <w:r w:rsidR="00E03E53">
        <w:rPr>
          <w:rFonts w:eastAsia="Times New Roman" w:cs="Times New Roman"/>
          <w:sz w:val="24"/>
          <w:szCs w:val="24"/>
          <w:lang w:val="en" w:eastAsia="bg-BG"/>
        </w:rPr>
        <w:t>rch network In Search of Trans-</w:t>
      </w:r>
      <w:proofErr w:type="gramStart"/>
      <w:r w:rsidR="00E03E53">
        <w:rPr>
          <w:rFonts w:eastAsia="Times New Roman" w:cs="Times New Roman"/>
          <w:sz w:val="24"/>
          <w:szCs w:val="24"/>
          <w:lang w:val="en" w:eastAsia="bg-BG"/>
        </w:rPr>
        <w:t>cultural</w:t>
      </w:r>
      <w:proofErr w:type="gramEnd"/>
      <w:r w:rsidR="00E03E53">
        <w:rPr>
          <w:rFonts w:eastAsia="Times New Roman" w:cs="Times New Roman"/>
          <w:sz w:val="24"/>
          <w:szCs w:val="24"/>
          <w:lang w:val="en" w:eastAsia="bg-BG"/>
        </w:rPr>
        <w:t xml:space="preserve"> Memory in Europe</w:t>
      </w:r>
      <w:r w:rsidRPr="00F30194">
        <w:rPr>
          <w:rFonts w:eastAsia="Times New Roman" w:cs="Times New Roman"/>
          <w:sz w:val="24"/>
          <w:szCs w:val="24"/>
          <w:lang w:val="en" w:eastAsia="bg-BG"/>
        </w:rPr>
        <w:t>(</w:t>
      </w:r>
      <w:proofErr w:type="spellStart"/>
      <w:r w:rsidRPr="00F30194">
        <w:rPr>
          <w:rFonts w:eastAsia="Times New Roman" w:cs="Times New Roman"/>
          <w:sz w:val="24"/>
          <w:szCs w:val="24"/>
          <w:lang w:val="en" w:eastAsia="bg-BG"/>
        </w:rPr>
        <w:t>istme</w:t>
      </w:r>
      <w:proofErr w:type="spellEnd"/>
      <w:r w:rsidRPr="00F30194">
        <w:rPr>
          <w:rFonts w:eastAsia="Times New Roman" w:cs="Times New Roman"/>
          <w:sz w:val="24"/>
          <w:szCs w:val="24"/>
          <w:lang w:val="en" w:eastAsia="bg-BG"/>
        </w:rPr>
        <w:t xml:space="preserve">) which ran from 2012 to 2016. Funded by the </w:t>
      </w:r>
      <w:r w:rsidR="00E03E53">
        <w:rPr>
          <w:rFonts w:eastAsia="Times New Roman" w:cs="Times New Roman"/>
          <w:sz w:val="24"/>
          <w:szCs w:val="24"/>
          <w:lang w:val="en" w:eastAsia="bg-BG"/>
        </w:rPr>
        <w:t>EU COST</w:t>
      </w:r>
      <w:r w:rsidRPr="00F30194">
        <w:rPr>
          <w:rFonts w:eastAsia="Times New Roman" w:cs="Times New Roman"/>
          <w:sz w:val="24"/>
          <w:szCs w:val="24"/>
          <w:lang w:val="en" w:eastAsia="bg-BG"/>
        </w:rPr>
        <w:t xml:space="preserve"> (Cooperation in Science and Technology) programme, the network was able to bring together scholars from 33 European countries and a variety of disciplinary backgrounds. The goal of the network was to go beyond what we saw as tendencies within memory studies to be too nationally orientated and to reify the bonds between culture, nation and memory. The ambition was to investigate transcultural dynamics of memory in Europe with special attention paid to memories of the troubled twentieth century, and how they have been transmitted and received across the continent. Moreover, the network aimed to develop European memory studies theoretically and methodologically by focusing on transculturality and reception. It is why this volume is </w:t>
      </w:r>
      <w:proofErr w:type="spellStart"/>
      <w:r w:rsidRPr="00F30194">
        <w:rPr>
          <w:rFonts w:eastAsia="Times New Roman" w:cs="Times New Roman"/>
          <w:sz w:val="24"/>
          <w:szCs w:val="24"/>
          <w:lang w:val="en" w:eastAsia="bg-BG"/>
        </w:rPr>
        <w:t>centred</w:t>
      </w:r>
      <w:proofErr w:type="spellEnd"/>
      <w:r w:rsidRPr="00F30194">
        <w:rPr>
          <w:rFonts w:eastAsia="Times New Roman" w:cs="Times New Roman"/>
          <w:sz w:val="24"/>
          <w:szCs w:val="24"/>
          <w:lang w:val="en" w:eastAsia="bg-BG"/>
        </w:rPr>
        <w:t xml:space="preserve"> on these issues. </w:t>
      </w:r>
    </w:p>
    <w:p w:rsidR="00F30194" w:rsidRPr="00CC68B5" w:rsidRDefault="00137535" w:rsidP="00CC68B5">
      <w:pPr>
        <w:pStyle w:val="Heading2"/>
        <w:ind w:left="426"/>
        <w:rPr>
          <w:lang w:val="en-GB"/>
        </w:rPr>
      </w:pPr>
      <w:bookmarkStart w:id="23" w:name="_Toc498005910"/>
      <w:r w:rsidRPr="00CC68B5">
        <w:rPr>
          <w:lang w:val="en"/>
        </w:rPr>
        <w:lastRenderedPageBreak/>
        <w:t xml:space="preserve">Field guide for the identification of </w:t>
      </w:r>
      <w:r w:rsidR="00CC68B5" w:rsidRPr="00CC68B5">
        <w:rPr>
          <w:lang w:val="en"/>
        </w:rPr>
        <w:t>damage on woody sentinel plants</w:t>
      </w:r>
      <w:bookmarkEnd w:id="23"/>
    </w:p>
    <w:p w:rsidR="0010346B" w:rsidRDefault="0010346B" w:rsidP="009A126F">
      <w:pPr>
        <w:rPr>
          <w:b/>
          <w:bCs/>
          <w:lang w:val="en-GB"/>
        </w:rPr>
      </w:pPr>
      <w:r w:rsidRPr="00137535">
        <w:rPr>
          <w:b/>
          <w:bCs/>
          <w:noProof/>
          <w:lang w:eastAsia="bg-BG"/>
        </w:rPr>
        <w:drawing>
          <wp:anchor distT="0" distB="0" distL="114300" distR="114300" simplePos="0" relativeHeight="251718656" behindDoc="1" locked="0" layoutInCell="1" allowOverlap="1" wp14:anchorId="0FC94F56" wp14:editId="38F53E8E">
            <wp:simplePos x="0" y="0"/>
            <wp:positionH relativeFrom="column">
              <wp:posOffset>36830</wp:posOffset>
            </wp:positionH>
            <wp:positionV relativeFrom="paragraph">
              <wp:posOffset>72390</wp:posOffset>
            </wp:positionV>
            <wp:extent cx="1195070" cy="1795780"/>
            <wp:effectExtent l="0" t="0" r="5080" b="0"/>
            <wp:wrapThrough wrapText="bothSides">
              <wp:wrapPolygon edited="0">
                <wp:start x="0" y="0"/>
                <wp:lineTo x="0" y="21310"/>
                <wp:lineTo x="21348" y="21310"/>
                <wp:lineTo x="21348" y="0"/>
                <wp:lineTo x="0" y="0"/>
              </wp:wrapPolygon>
            </wp:wrapThrough>
            <wp:docPr id="4" name="Picture 4" descr="http://www.cost.eu/var/ezwebin_site/storage/images/medialib/images/woody-planys/1855969-1-eng-GB/woody-plany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st.eu/var/ezwebin_site/storage/images/medialib/images/woody-planys/1855969-1-eng-GB/woody-planys_publication.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95070" cy="1795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535" w:rsidRDefault="00137535" w:rsidP="009A126F">
      <w:pPr>
        <w:rPr>
          <w:b/>
          <w:bCs/>
          <w:lang w:val="en-GB"/>
        </w:rPr>
      </w:pPr>
    </w:p>
    <w:p w:rsidR="00137535" w:rsidRPr="00137535" w:rsidRDefault="00137535" w:rsidP="0010346B">
      <w:pPr>
        <w:spacing w:before="100" w:beforeAutospacing="1" w:after="100" w:afterAutospacing="1" w:line="240" w:lineRule="auto"/>
        <w:jc w:val="left"/>
        <w:rPr>
          <w:rFonts w:eastAsia="Times New Roman" w:cs="Times New Roman"/>
          <w:sz w:val="24"/>
          <w:szCs w:val="24"/>
          <w:lang w:val="en" w:eastAsia="bg-BG"/>
        </w:rPr>
      </w:pPr>
      <w:r w:rsidRPr="00137535">
        <w:rPr>
          <w:rFonts w:eastAsia="Times New Roman" w:cs="Times New Roman"/>
          <w:sz w:val="24"/>
          <w:szCs w:val="24"/>
          <w:lang w:val="en" w:eastAsia="bg-BG"/>
        </w:rPr>
        <w:t xml:space="preserve">Author(s): Roques, A., Cleary, M., </w:t>
      </w:r>
      <w:proofErr w:type="spellStart"/>
      <w:r w:rsidRPr="00137535">
        <w:rPr>
          <w:rFonts w:eastAsia="Times New Roman" w:cs="Times New Roman"/>
          <w:sz w:val="24"/>
          <w:szCs w:val="24"/>
          <w:lang w:val="en" w:eastAsia="bg-BG"/>
        </w:rPr>
        <w:t>Matsiakh</w:t>
      </w:r>
      <w:proofErr w:type="spellEnd"/>
      <w:r w:rsidRPr="00137535">
        <w:rPr>
          <w:rFonts w:eastAsia="Times New Roman" w:cs="Times New Roman"/>
          <w:sz w:val="24"/>
          <w:szCs w:val="24"/>
          <w:lang w:val="en" w:eastAsia="bg-BG"/>
        </w:rPr>
        <w:t xml:space="preserve">, I., </w:t>
      </w:r>
      <w:proofErr w:type="spellStart"/>
      <w:r w:rsidRPr="00137535">
        <w:rPr>
          <w:rFonts w:eastAsia="Times New Roman" w:cs="Times New Roman"/>
          <w:sz w:val="24"/>
          <w:szCs w:val="24"/>
          <w:lang w:val="en" w:eastAsia="bg-BG"/>
        </w:rPr>
        <w:t>Eschen</w:t>
      </w:r>
      <w:proofErr w:type="spellEnd"/>
      <w:r w:rsidRPr="00137535">
        <w:rPr>
          <w:rFonts w:eastAsia="Times New Roman" w:cs="Times New Roman"/>
          <w:sz w:val="24"/>
          <w:szCs w:val="24"/>
          <w:lang w:val="en" w:eastAsia="bg-BG"/>
        </w:rPr>
        <w:t>, R. (</w:t>
      </w:r>
      <w:proofErr w:type="spellStart"/>
      <w:r w:rsidRPr="00137535">
        <w:rPr>
          <w:rFonts w:eastAsia="Times New Roman" w:cs="Times New Roman"/>
          <w:sz w:val="24"/>
          <w:szCs w:val="24"/>
          <w:lang w:val="en" w:eastAsia="bg-BG"/>
        </w:rPr>
        <w:t>Eds</w:t>
      </w:r>
      <w:proofErr w:type="spellEnd"/>
      <w:r w:rsidRPr="00137535">
        <w:rPr>
          <w:rFonts w:eastAsia="Times New Roman" w:cs="Times New Roman"/>
          <w:sz w:val="24"/>
          <w:szCs w:val="24"/>
          <w:lang w:val="en" w:eastAsia="bg-BG"/>
        </w:rPr>
        <w:t>)</w:t>
      </w:r>
    </w:p>
    <w:p w:rsidR="00137535" w:rsidRPr="00137535" w:rsidRDefault="00137535" w:rsidP="0010346B">
      <w:pPr>
        <w:spacing w:before="100" w:beforeAutospacing="1" w:after="100" w:afterAutospacing="1" w:line="240" w:lineRule="auto"/>
        <w:jc w:val="left"/>
        <w:rPr>
          <w:rFonts w:eastAsia="Times New Roman" w:cs="Times New Roman"/>
          <w:sz w:val="24"/>
          <w:szCs w:val="24"/>
          <w:lang w:val="en" w:eastAsia="bg-BG"/>
        </w:rPr>
      </w:pPr>
      <w:r w:rsidRPr="00137535">
        <w:rPr>
          <w:rFonts w:eastAsia="Times New Roman" w:cs="Times New Roman"/>
          <w:sz w:val="24"/>
          <w:szCs w:val="24"/>
          <w:lang w:val="en" w:eastAsia="bg-BG"/>
        </w:rPr>
        <w:t>Publisher(s): CABI</w:t>
      </w:r>
    </w:p>
    <w:p w:rsidR="00137535" w:rsidRPr="00137535" w:rsidRDefault="00E20859" w:rsidP="0010346B">
      <w:pPr>
        <w:spacing w:before="100" w:beforeAutospacing="1" w:after="100" w:afterAutospacing="1" w:line="240" w:lineRule="auto"/>
        <w:jc w:val="left"/>
        <w:rPr>
          <w:rFonts w:eastAsia="Times New Roman" w:cs="Times New Roman"/>
          <w:sz w:val="24"/>
          <w:szCs w:val="24"/>
          <w:lang w:val="en" w:eastAsia="bg-BG"/>
        </w:rPr>
      </w:pPr>
      <w:hyperlink r:id="rId50" w:history="1">
        <w:r w:rsidR="00137535" w:rsidRPr="00137535">
          <w:rPr>
            <w:rFonts w:eastAsia="Times New Roman" w:cs="Times New Roman"/>
            <w:color w:val="0000FF"/>
            <w:sz w:val="24"/>
            <w:szCs w:val="24"/>
            <w:u w:val="single"/>
            <w:lang w:val="en" w:eastAsia="bg-BG"/>
          </w:rPr>
          <w:t>http://www.cabi.org/cabebooks/ebook/20173265430</w:t>
        </w:r>
      </w:hyperlink>
    </w:p>
    <w:p w:rsidR="0010346B" w:rsidRDefault="0010346B" w:rsidP="0010346B">
      <w:pPr>
        <w:spacing w:before="120" w:after="0" w:line="240" w:lineRule="auto"/>
        <w:rPr>
          <w:rFonts w:eastAsia="Times New Roman" w:cs="Times New Roman"/>
          <w:sz w:val="24"/>
          <w:szCs w:val="24"/>
          <w:lang w:val="en" w:eastAsia="bg-BG"/>
        </w:rPr>
      </w:pPr>
    </w:p>
    <w:p w:rsidR="00137535" w:rsidRPr="00137535" w:rsidRDefault="00137535" w:rsidP="0095142E">
      <w:pPr>
        <w:spacing w:after="120"/>
        <w:rPr>
          <w:rFonts w:eastAsia="Times New Roman" w:cs="Times New Roman"/>
          <w:sz w:val="24"/>
          <w:szCs w:val="24"/>
          <w:lang w:val="en" w:eastAsia="bg-BG"/>
        </w:rPr>
      </w:pPr>
      <w:r w:rsidRPr="00137535">
        <w:rPr>
          <w:rFonts w:eastAsia="Times New Roman" w:cs="Times New Roman"/>
          <w:sz w:val="24"/>
          <w:szCs w:val="24"/>
          <w:lang w:val="en" w:eastAsia="bg-BG"/>
        </w:rPr>
        <w:t>Invasive alien invertebrate pests and microbial diseases of woody plants cause serious damage to the economy and the environment, but most of these pests were unknown prior to their introduction. Sentinel plants are a new tool to identify pests in the country of origin, which may inform pest risk analysis and allow development of measures to mitigate the risk of introduction.</w:t>
      </w:r>
    </w:p>
    <w:p w:rsidR="00137535" w:rsidRPr="00137535" w:rsidRDefault="00137535" w:rsidP="0095142E">
      <w:pPr>
        <w:spacing w:before="120" w:after="120"/>
        <w:rPr>
          <w:rFonts w:eastAsia="Times New Roman" w:cs="Times New Roman"/>
          <w:sz w:val="24"/>
          <w:szCs w:val="24"/>
          <w:lang w:val="en" w:eastAsia="bg-BG"/>
        </w:rPr>
      </w:pPr>
      <w:r w:rsidRPr="00137535">
        <w:rPr>
          <w:rFonts w:eastAsia="Times New Roman" w:cs="Times New Roman"/>
          <w:sz w:val="24"/>
          <w:szCs w:val="24"/>
          <w:lang w:val="en" w:eastAsia="bg-BG"/>
        </w:rPr>
        <w:t>Because many of the pests are unknown and in many cases damage, rather than the causal agents may be visible, people monitoring trees need to identify the type of agent that may have caused the damage they observe. A guide for the tentative identification of likely causal agents of damage to trees, co-edited and written by scientists from CABI Switzerland, was recently published.</w:t>
      </w:r>
    </w:p>
    <w:p w:rsidR="00137535" w:rsidRPr="00137535" w:rsidRDefault="00137535" w:rsidP="0095142E">
      <w:pPr>
        <w:spacing w:before="120" w:after="600"/>
        <w:rPr>
          <w:rFonts w:eastAsia="Times New Roman" w:cs="Times New Roman"/>
          <w:sz w:val="24"/>
          <w:szCs w:val="24"/>
          <w:lang w:val="en" w:eastAsia="bg-BG"/>
        </w:rPr>
      </w:pPr>
      <w:r w:rsidRPr="00137535">
        <w:rPr>
          <w:rFonts w:eastAsia="Times New Roman" w:cs="Times New Roman"/>
          <w:sz w:val="24"/>
          <w:szCs w:val="24"/>
          <w:lang w:val="en" w:eastAsia="bg-BG"/>
        </w:rPr>
        <w:t>The guide is intended for use in sentinel plantings, where agents often may not be known. Hence, in contrast to many existing field guides about tree pests, this is not a book to put a specific name on the agent. Also, the typical user is not expected to have the technical background to identify a wide range of pests.</w:t>
      </w:r>
      <w:r w:rsidR="0010346B" w:rsidRPr="0010346B">
        <w:rPr>
          <w:rFonts w:eastAsia="Times New Roman" w:cs="Times New Roman"/>
          <w:sz w:val="24"/>
          <w:szCs w:val="24"/>
          <w:lang w:val="en" w:eastAsia="bg-BG"/>
        </w:rPr>
        <w:t xml:space="preserve"> </w:t>
      </w:r>
      <w:r w:rsidR="0010346B" w:rsidRPr="00137535">
        <w:rPr>
          <w:rFonts w:eastAsia="Times New Roman" w:cs="Times New Roman"/>
          <w:sz w:val="24"/>
          <w:szCs w:val="24"/>
          <w:lang w:val="en" w:eastAsia="bg-BG"/>
        </w:rPr>
        <w:t>In addition, it may be used as training material for plant health professionals and students of forest entomology and pathology.</w:t>
      </w:r>
    </w:p>
    <w:p w:rsidR="00CC68B5" w:rsidRDefault="00CC68B5" w:rsidP="00CC68B5">
      <w:pPr>
        <w:pStyle w:val="Heading2"/>
        <w:ind w:left="426"/>
        <w:rPr>
          <w:lang w:val="en-US"/>
        </w:rPr>
      </w:pPr>
      <w:bookmarkStart w:id="24" w:name="_Toc498005911"/>
      <w:r>
        <w:rPr>
          <w:lang w:val="en-US"/>
        </w:rPr>
        <w:t>CERN COURIER</w:t>
      </w:r>
      <w:bookmarkEnd w:id="24"/>
    </w:p>
    <w:p w:rsidR="00CC68B5" w:rsidRPr="005224E7" w:rsidRDefault="00CC68B5" w:rsidP="00CC68B5">
      <w:pPr>
        <w:rPr>
          <w:b/>
          <w:bCs/>
          <w:lang w:val="en-GB"/>
        </w:rPr>
      </w:pPr>
      <w:r w:rsidRPr="005224E7">
        <w:rPr>
          <w:b/>
          <w:bCs/>
          <w:noProof/>
          <w:lang w:eastAsia="bg-BG"/>
        </w:rPr>
        <w:drawing>
          <wp:inline distT="0" distB="0" distL="0" distR="0" wp14:anchorId="4318008D" wp14:editId="0AD9F8AB">
            <wp:extent cx="1288800" cy="1702800"/>
            <wp:effectExtent l="0" t="0" r="6985" b="0"/>
            <wp:docPr id="11" name="Picture 11" descr="http://images.iop.org/objects/ccr/cern/57/9/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7/9/cover.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88800" cy="1702800"/>
                    </a:xfrm>
                    <a:prstGeom prst="rect">
                      <a:avLst/>
                    </a:prstGeom>
                    <a:noFill/>
                    <a:ln>
                      <a:noFill/>
                    </a:ln>
                  </pic:spPr>
                </pic:pic>
              </a:graphicData>
            </a:graphic>
          </wp:inline>
        </w:drawing>
      </w:r>
      <w:r w:rsidRPr="005224E7">
        <w:rPr>
          <w:b/>
          <w:bCs/>
          <w:lang w:val="en-GB"/>
        </w:rPr>
        <w:t>November 2017</w:t>
      </w:r>
      <w:r>
        <w:rPr>
          <w:b/>
          <w:bCs/>
          <w:lang w:val="en-GB"/>
        </w:rPr>
        <w:t xml:space="preserve">, </w:t>
      </w:r>
      <w:r w:rsidRPr="005224E7">
        <w:rPr>
          <w:b/>
          <w:bCs/>
          <w:lang w:val="en-GB"/>
        </w:rPr>
        <w:t>Volume 57 Issue 9</w:t>
      </w:r>
    </w:p>
    <w:p w:rsidR="00CC68B5" w:rsidRPr="005224E7" w:rsidRDefault="00E20859" w:rsidP="00CC68B5">
      <w:pPr>
        <w:spacing w:after="600"/>
        <w:rPr>
          <w:b/>
          <w:bCs/>
          <w:lang w:val="en-GB"/>
        </w:rPr>
      </w:pPr>
      <w:hyperlink r:id="rId52" w:history="1">
        <w:r w:rsidR="00CC68B5" w:rsidRPr="005224E7">
          <w:rPr>
            <w:rStyle w:val="Hyperlink"/>
            <w:b/>
            <w:bCs/>
            <w:lang w:val="en-GB"/>
          </w:rPr>
          <w:t>Download digital edition</w:t>
        </w:r>
      </w:hyperlink>
    </w:p>
    <w:p w:rsidR="00FE66A8" w:rsidRPr="00FE66A8" w:rsidRDefault="00FE66A8" w:rsidP="00FE66A8">
      <w:pPr>
        <w:pStyle w:val="Heading2"/>
        <w:ind w:left="425" w:hanging="357"/>
        <w:rPr>
          <w:rFonts w:eastAsia="Times New Roman"/>
          <w:lang w:val="en" w:eastAsia="bg-BG"/>
        </w:rPr>
      </w:pPr>
      <w:bookmarkStart w:id="25" w:name="_Toc498005912"/>
      <w:r w:rsidRPr="00FE66A8">
        <w:rPr>
          <w:rFonts w:eastAsia="Times New Roman"/>
          <w:lang w:val="en" w:eastAsia="bg-BG"/>
        </w:rPr>
        <w:lastRenderedPageBreak/>
        <w:t>Laser Optofluidics in Fighting Multiple Drug Resistance</w:t>
      </w:r>
      <w:bookmarkEnd w:id="25"/>
    </w:p>
    <w:p w:rsidR="009A126F" w:rsidRDefault="00FE66A8" w:rsidP="009A126F">
      <w:pPr>
        <w:rPr>
          <w:lang w:val="en-US"/>
        </w:rPr>
      </w:pPr>
      <w:r w:rsidRPr="00DA2EBA">
        <w:rPr>
          <w:rFonts w:eastAsia="Times New Roman" w:cs="Times New Roman"/>
          <w:noProof/>
          <w:sz w:val="24"/>
          <w:szCs w:val="24"/>
          <w:lang w:eastAsia="bg-BG"/>
        </w:rPr>
        <w:drawing>
          <wp:anchor distT="0" distB="0" distL="114300" distR="114300" simplePos="0" relativeHeight="251716608" behindDoc="1" locked="0" layoutInCell="1" allowOverlap="1" wp14:anchorId="5CEF6D14" wp14:editId="68389133">
            <wp:simplePos x="0" y="0"/>
            <wp:positionH relativeFrom="column">
              <wp:posOffset>-2540</wp:posOffset>
            </wp:positionH>
            <wp:positionV relativeFrom="paragraph">
              <wp:posOffset>70485</wp:posOffset>
            </wp:positionV>
            <wp:extent cx="1336040" cy="1614170"/>
            <wp:effectExtent l="0" t="0" r="0" b="5080"/>
            <wp:wrapThrough wrapText="bothSides">
              <wp:wrapPolygon edited="0">
                <wp:start x="0" y="0"/>
                <wp:lineTo x="0" y="21413"/>
                <wp:lineTo x="21251" y="21413"/>
                <wp:lineTo x="21251" y="0"/>
                <wp:lineTo x="0" y="0"/>
              </wp:wrapPolygon>
            </wp:wrapThrough>
            <wp:docPr id="10" name="Picture 10" descr="http://www.cost.eu/var/ezwebin_site/storage/images/medialib/files/laser-optofluidics-in-fighting-multiple-drug-resistance/1852150-1-eng-GB/Laser-Optofluidics-in-Fighting-Multiple-Drug-Resistance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st.eu/var/ezwebin_site/storage/images/medialib/files/laser-optofluidics-in-fighting-multiple-drug-resistance/1852150-1-eng-GB/Laser-Optofluidics-in-Fighting-Multiple-Drug-Resistance_publication.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6040" cy="1614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26F" w:rsidRDefault="009A126F" w:rsidP="009A126F">
      <w:pPr>
        <w:rPr>
          <w:lang w:val="en-US"/>
        </w:rPr>
      </w:pPr>
    </w:p>
    <w:p w:rsidR="009A126F" w:rsidRPr="009A126F" w:rsidRDefault="009A126F" w:rsidP="009A126F">
      <w:pPr>
        <w:rPr>
          <w:lang w:val="en-US"/>
        </w:rPr>
      </w:pP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 xml:space="preserve">Author(s): </w:t>
      </w:r>
      <w:proofErr w:type="spellStart"/>
      <w:r w:rsidRPr="00DA2EBA">
        <w:rPr>
          <w:rFonts w:eastAsia="Times New Roman" w:cs="Times New Roman"/>
          <w:sz w:val="24"/>
          <w:szCs w:val="24"/>
          <w:lang w:val="en" w:eastAsia="bg-BG"/>
        </w:rPr>
        <w:t>Pascu</w:t>
      </w:r>
      <w:proofErr w:type="spellEnd"/>
      <w:r w:rsidRPr="00DA2EBA">
        <w:rPr>
          <w:rFonts w:eastAsia="Times New Roman" w:cs="Times New Roman"/>
          <w:sz w:val="24"/>
          <w:szCs w:val="24"/>
          <w:lang w:val="en" w:eastAsia="bg-BG"/>
        </w:rPr>
        <w:t>, M L (Ed)</w:t>
      </w:r>
    </w:p>
    <w:p w:rsidR="00DA2EBA" w:rsidRPr="00DA2EBA" w:rsidRDefault="00DA2EBA" w:rsidP="00FE66A8">
      <w:pPr>
        <w:spacing w:before="120" w:after="120"/>
        <w:ind w:left="720"/>
        <w:rPr>
          <w:rFonts w:eastAsia="Times New Roman" w:cs="Times New Roman"/>
          <w:sz w:val="24"/>
          <w:szCs w:val="24"/>
          <w:lang w:val="en" w:eastAsia="bg-BG"/>
        </w:rPr>
      </w:pPr>
      <w:r w:rsidRPr="00DA2EBA">
        <w:rPr>
          <w:rFonts w:eastAsia="Times New Roman" w:cs="Times New Roman"/>
          <w:sz w:val="24"/>
          <w:szCs w:val="24"/>
          <w:lang w:val="en" w:eastAsia="bg-BG"/>
        </w:rPr>
        <w:t xml:space="preserve">Publisher(s): Bentham Books </w:t>
      </w:r>
    </w:p>
    <w:p w:rsidR="00DA2EBA" w:rsidRPr="00DA2EBA" w:rsidRDefault="00E20859" w:rsidP="00FE66A8">
      <w:pPr>
        <w:spacing w:before="100" w:beforeAutospacing="1" w:after="100" w:afterAutospacing="1"/>
        <w:ind w:left="720"/>
        <w:rPr>
          <w:rFonts w:eastAsia="Times New Roman" w:cs="Times New Roman"/>
          <w:sz w:val="24"/>
          <w:szCs w:val="24"/>
          <w:lang w:val="en" w:eastAsia="bg-BG"/>
        </w:rPr>
      </w:pPr>
      <w:hyperlink r:id="rId54" w:history="1">
        <w:r w:rsidR="00DA2EBA" w:rsidRPr="00DA2EBA">
          <w:rPr>
            <w:rFonts w:eastAsia="Times New Roman" w:cs="Times New Roman"/>
            <w:color w:val="0000FF"/>
            <w:sz w:val="24"/>
            <w:szCs w:val="24"/>
            <w:u w:val="single"/>
            <w:lang w:val="en" w:eastAsia="bg-BG"/>
          </w:rPr>
          <w:t>https://ebooks.benthamscience.com/book/9781681084985/</w:t>
        </w:r>
      </w:hyperlink>
    </w:p>
    <w:p w:rsidR="00DA2EBA" w:rsidRPr="00DA2EBA" w:rsidRDefault="00DA2EBA" w:rsidP="00FE66A8">
      <w:pPr>
        <w:spacing w:before="100" w:beforeAutospacing="1" w:after="120"/>
        <w:rPr>
          <w:rFonts w:eastAsia="Times New Roman" w:cs="Times New Roman"/>
          <w:sz w:val="24"/>
          <w:szCs w:val="24"/>
          <w:lang w:val="en" w:eastAsia="bg-BG"/>
        </w:rPr>
      </w:pPr>
      <w:r w:rsidRPr="00DA2EBA">
        <w:rPr>
          <w:rFonts w:eastAsia="Times New Roman" w:cs="Times New Roman"/>
          <w:sz w:val="24"/>
          <w:szCs w:val="24"/>
          <w:lang w:val="en" w:eastAsia="bg-BG"/>
        </w:rPr>
        <w:t xml:space="preserve">This publication relates to </w:t>
      </w:r>
      <w:hyperlink r:id="rId55" w:history="1">
        <w:r w:rsidRPr="00DA2EBA">
          <w:rPr>
            <w:rFonts w:eastAsia="Times New Roman" w:cs="Times New Roman"/>
            <w:color w:val="0000FF"/>
            <w:sz w:val="24"/>
            <w:szCs w:val="24"/>
            <w:u w:val="single"/>
            <w:lang w:val="en" w:eastAsia="bg-BG"/>
          </w:rPr>
          <w:t>COST Action </w:t>
        </w:r>
      </w:hyperlink>
      <w:hyperlink r:id="rId56" w:history="1">
        <w:r w:rsidRPr="00DA2EBA">
          <w:rPr>
            <w:rFonts w:eastAsia="Times New Roman" w:cs="Times New Roman"/>
            <w:color w:val="0000FF"/>
            <w:sz w:val="24"/>
            <w:szCs w:val="24"/>
            <w:u w:val="single"/>
            <w:lang w:val="en" w:eastAsia="bg-BG"/>
          </w:rPr>
          <w:t>MP1106</w:t>
        </w:r>
      </w:hyperlink>
      <w:r w:rsidRPr="00DA2EBA">
        <w:rPr>
          <w:rFonts w:eastAsia="Times New Roman" w:cs="Times New Roman"/>
          <w:sz w:val="24"/>
          <w:szCs w:val="24"/>
          <w:lang w:val="en" w:eastAsia="bg-BG"/>
        </w:rPr>
        <w:t> Smart and green interfaces - from single bubbles and drops to industrial, environmen</w:t>
      </w:r>
      <w:r w:rsidR="00FE66A8">
        <w:rPr>
          <w:rFonts w:eastAsia="Times New Roman" w:cs="Times New Roman"/>
          <w:sz w:val="24"/>
          <w:szCs w:val="24"/>
          <w:lang w:val="en" w:eastAsia="bg-BG"/>
        </w:rPr>
        <w:t>tal and biomedical applications.</w:t>
      </w:r>
    </w:p>
    <w:p w:rsidR="00DA2EBA" w:rsidRPr="00DA2EBA" w:rsidRDefault="00DA2EBA" w:rsidP="00EA5ABA">
      <w:pPr>
        <w:spacing w:before="120" w:after="120"/>
        <w:rPr>
          <w:rFonts w:eastAsia="Times New Roman" w:cs="Times New Roman"/>
          <w:sz w:val="24"/>
          <w:szCs w:val="24"/>
          <w:lang w:val="en" w:eastAsia="bg-BG"/>
        </w:rPr>
      </w:pPr>
      <w:r w:rsidRPr="00DA2EBA">
        <w:rPr>
          <w:rFonts w:eastAsia="Times New Roman" w:cs="Times New Roman"/>
          <w:sz w:val="24"/>
          <w:szCs w:val="24"/>
          <w:lang w:val="en" w:eastAsia="bg-BG"/>
        </w:rPr>
        <w:t xml:space="preserve">This monograph is a collection of reviews that presents results obtained from new and somewhat unconventional methods used to fight multiple drug resistance (MDR) acquired by microorganisms and </w:t>
      </w:r>
      <w:proofErr w:type="spellStart"/>
      <w:r w:rsidRPr="00DA2EBA">
        <w:rPr>
          <w:rFonts w:eastAsia="Times New Roman" w:cs="Times New Roman"/>
          <w:sz w:val="24"/>
          <w:szCs w:val="24"/>
          <w:lang w:val="en" w:eastAsia="bg-BG"/>
        </w:rPr>
        <w:t>tumours</w:t>
      </w:r>
      <w:proofErr w:type="spellEnd"/>
      <w:r w:rsidRPr="00DA2EBA">
        <w:rPr>
          <w:rFonts w:eastAsia="Times New Roman" w:cs="Times New Roman"/>
          <w:sz w:val="24"/>
          <w:szCs w:val="24"/>
          <w:lang w:val="en" w:eastAsia="bg-BG"/>
        </w:rPr>
        <w:t>. Two directions are considered: (</w:t>
      </w:r>
      <w:proofErr w:type="spellStart"/>
      <w:r w:rsidRPr="00DA2EBA">
        <w:rPr>
          <w:rFonts w:eastAsia="Times New Roman" w:cs="Times New Roman"/>
          <w:sz w:val="24"/>
          <w:szCs w:val="24"/>
          <w:lang w:val="en" w:eastAsia="bg-BG"/>
        </w:rPr>
        <w:t>i</w:t>
      </w:r>
      <w:proofErr w:type="spellEnd"/>
      <w:r w:rsidRPr="00DA2EBA">
        <w:rPr>
          <w:rFonts w:eastAsia="Times New Roman" w:cs="Times New Roman"/>
          <w:sz w:val="24"/>
          <w:szCs w:val="24"/>
          <w:lang w:val="en" w:eastAsia="bg-BG"/>
        </w:rPr>
        <w:t xml:space="preserve">) the modification of non-antibiotic medicines by exposure to un-coherent, or laser optical radiation to obtain photoproducts that receive bactericidal or, possibly, </w:t>
      </w:r>
      <w:proofErr w:type="spellStart"/>
      <w:r w:rsidRPr="00DA2EBA">
        <w:rPr>
          <w:rFonts w:eastAsia="Times New Roman" w:cs="Times New Roman"/>
          <w:sz w:val="24"/>
          <w:szCs w:val="24"/>
          <w:lang w:val="en" w:eastAsia="bg-BG"/>
        </w:rPr>
        <w:t>tumouricidal</w:t>
      </w:r>
      <w:proofErr w:type="spellEnd"/>
      <w:r w:rsidRPr="00DA2EBA">
        <w:rPr>
          <w:rFonts w:eastAsia="Times New Roman" w:cs="Times New Roman"/>
          <w:sz w:val="24"/>
          <w:szCs w:val="24"/>
          <w:lang w:val="en" w:eastAsia="bg-BG"/>
        </w:rPr>
        <w:t xml:space="preserve"> properties and (ii) the development of new vectors (micrometric droplets of solutions containing medicinal agents) to transport medicines to targets based on optical and micro spectroscopic methods.</w:t>
      </w:r>
    </w:p>
    <w:p w:rsidR="00FE66A8" w:rsidRDefault="00DA2EBA" w:rsidP="00FE66A8">
      <w:pPr>
        <w:spacing w:before="120" w:after="100" w:afterAutospacing="1"/>
        <w:rPr>
          <w:rFonts w:eastAsia="Times New Roman" w:cs="Times New Roman"/>
          <w:sz w:val="24"/>
          <w:szCs w:val="24"/>
          <w:lang w:val="en" w:eastAsia="bg-BG"/>
        </w:rPr>
      </w:pPr>
      <w:r w:rsidRPr="00DA2EBA">
        <w:rPr>
          <w:rFonts w:eastAsia="Times New Roman" w:cs="Times New Roman"/>
          <w:sz w:val="24"/>
          <w:szCs w:val="24"/>
          <w:lang w:val="en" w:eastAsia="bg-BG"/>
        </w:rPr>
        <w:t>Chapters shed light on pendant droplets used for antibiotic drug delivery, the science of lasers and their interactions with fluids in pendant droplets and spectroscopic analyses of droplets used to treat MDR infections. It therefore equips researchers and medical professionals with information about tools that enable them to respond to medical emergencies in challenging environments.</w:t>
      </w:r>
    </w:p>
    <w:p w:rsidR="00C8629F" w:rsidRPr="00370D64" w:rsidRDefault="00C8629F" w:rsidP="00C8629F">
      <w:pPr>
        <w:pStyle w:val="Heading2"/>
        <w:ind w:left="426"/>
        <w:rPr>
          <w:lang w:val="en"/>
        </w:rPr>
      </w:pPr>
      <w:bookmarkStart w:id="26" w:name="_Toc498005913"/>
      <w:r w:rsidRPr="00370D64">
        <w:rPr>
          <w:lang w:val="en"/>
        </w:rPr>
        <w:t>History Education and Conflict Transformation</w:t>
      </w:r>
      <w:bookmarkEnd w:id="26"/>
    </w:p>
    <w:p w:rsidR="00C8629F" w:rsidRDefault="00C8629F" w:rsidP="00334FB4">
      <w:pPr>
        <w:rPr>
          <w:rStyle w:val="Hyperlink"/>
          <w:b/>
          <w:bCs/>
          <w:sz w:val="24"/>
          <w:szCs w:val="24"/>
          <w:lang w:val="en-GB"/>
        </w:rPr>
      </w:pPr>
      <w:r w:rsidRPr="004F759C">
        <w:rPr>
          <w:noProof/>
          <w:sz w:val="24"/>
          <w:szCs w:val="24"/>
          <w:lang w:eastAsia="bg-BG"/>
        </w:rPr>
        <w:drawing>
          <wp:anchor distT="0" distB="0" distL="114300" distR="114300" simplePos="0" relativeHeight="251714560" behindDoc="1" locked="0" layoutInCell="1" allowOverlap="1" wp14:anchorId="6619EC93" wp14:editId="0B95B72C">
            <wp:simplePos x="0" y="0"/>
            <wp:positionH relativeFrom="column">
              <wp:posOffset>60325</wp:posOffset>
            </wp:positionH>
            <wp:positionV relativeFrom="paragraph">
              <wp:posOffset>85725</wp:posOffset>
            </wp:positionV>
            <wp:extent cx="1234440" cy="1731010"/>
            <wp:effectExtent l="0" t="0" r="3810" b="2540"/>
            <wp:wrapThrough wrapText="bothSides">
              <wp:wrapPolygon edited="0">
                <wp:start x="0" y="0"/>
                <wp:lineTo x="0" y="21394"/>
                <wp:lineTo x="21333" y="21394"/>
                <wp:lineTo x="21333" y="0"/>
                <wp:lineTo x="0" y="0"/>
              </wp:wrapPolygon>
            </wp:wrapThrough>
            <wp:docPr id="6" name="Picture 6" descr="History Education and Conflict Transform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Education and Conflict Transformation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34440" cy="1731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29F" w:rsidRPr="009215F5" w:rsidRDefault="00C8629F" w:rsidP="00C8629F">
      <w:pPr>
        <w:spacing w:before="120" w:after="120"/>
        <w:ind w:left="720"/>
        <w:rPr>
          <w:sz w:val="24"/>
          <w:szCs w:val="24"/>
          <w:lang w:val="en"/>
        </w:rPr>
      </w:pPr>
    </w:p>
    <w:p w:rsidR="00C8629F" w:rsidRPr="009215F5" w:rsidRDefault="00C8629F" w:rsidP="00C8629F">
      <w:pPr>
        <w:spacing w:before="120" w:after="120"/>
        <w:ind w:left="720"/>
        <w:rPr>
          <w:sz w:val="24"/>
          <w:szCs w:val="24"/>
          <w:lang w:val="en"/>
        </w:rPr>
      </w:pPr>
    </w:p>
    <w:p w:rsidR="00C8629F" w:rsidRPr="009215F5" w:rsidRDefault="00C8629F" w:rsidP="00C8629F">
      <w:pPr>
        <w:spacing w:before="120" w:after="120"/>
        <w:ind w:left="720"/>
        <w:rPr>
          <w:sz w:val="24"/>
          <w:szCs w:val="24"/>
          <w:lang w:val="en"/>
        </w:rPr>
      </w:pPr>
    </w:p>
    <w:p w:rsidR="00C8629F" w:rsidRPr="004F759C" w:rsidRDefault="00C8629F" w:rsidP="00C8629F">
      <w:pPr>
        <w:spacing w:after="0"/>
        <w:rPr>
          <w:sz w:val="24"/>
          <w:szCs w:val="24"/>
          <w:lang w:val="en"/>
        </w:rPr>
      </w:pPr>
      <w:r w:rsidRPr="004F759C">
        <w:rPr>
          <w:sz w:val="24"/>
          <w:szCs w:val="24"/>
          <w:lang w:val="en"/>
        </w:rPr>
        <w:t xml:space="preserve">Author(s): </w:t>
      </w:r>
      <w:proofErr w:type="spellStart"/>
      <w:r w:rsidRPr="004F759C">
        <w:rPr>
          <w:sz w:val="24"/>
          <w:szCs w:val="24"/>
          <w:lang w:val="en"/>
        </w:rPr>
        <w:t>Psaltis</w:t>
      </w:r>
      <w:proofErr w:type="spellEnd"/>
      <w:r w:rsidRPr="004F759C">
        <w:rPr>
          <w:sz w:val="24"/>
          <w:szCs w:val="24"/>
          <w:lang w:val="en"/>
        </w:rPr>
        <w:t xml:space="preserve">, C., </w:t>
      </w:r>
      <w:proofErr w:type="spellStart"/>
      <w:r w:rsidRPr="004F759C">
        <w:rPr>
          <w:sz w:val="24"/>
          <w:szCs w:val="24"/>
          <w:lang w:val="en"/>
        </w:rPr>
        <w:t>Carretero</w:t>
      </w:r>
      <w:proofErr w:type="spellEnd"/>
      <w:r w:rsidRPr="004F759C">
        <w:rPr>
          <w:sz w:val="24"/>
          <w:szCs w:val="24"/>
          <w:lang w:val="en"/>
        </w:rPr>
        <w:t xml:space="preserve">, M., </w:t>
      </w:r>
      <w:proofErr w:type="spellStart"/>
      <w:r w:rsidRPr="004F759C">
        <w:rPr>
          <w:sz w:val="24"/>
          <w:szCs w:val="24"/>
          <w:lang w:val="en"/>
        </w:rPr>
        <w:t>Cehajic</w:t>
      </w:r>
      <w:proofErr w:type="spellEnd"/>
      <w:r w:rsidRPr="004F759C">
        <w:rPr>
          <w:sz w:val="24"/>
          <w:szCs w:val="24"/>
          <w:lang w:val="en"/>
        </w:rPr>
        <w:t xml:space="preserve">-Clancy, S. (Eds.) </w:t>
      </w:r>
    </w:p>
    <w:p w:rsidR="00C8629F" w:rsidRPr="009215F5" w:rsidRDefault="00C8629F" w:rsidP="00C8629F">
      <w:pPr>
        <w:spacing w:after="0"/>
        <w:ind w:left="720"/>
        <w:rPr>
          <w:sz w:val="24"/>
          <w:szCs w:val="24"/>
          <w:lang w:val="en"/>
        </w:rPr>
      </w:pPr>
      <w:r w:rsidRPr="004F759C">
        <w:rPr>
          <w:sz w:val="24"/>
          <w:szCs w:val="24"/>
          <w:lang w:val="en"/>
        </w:rPr>
        <w:t>Publisher(s): Springer</w:t>
      </w:r>
    </w:p>
    <w:p w:rsidR="00C8629F" w:rsidRPr="004F759C" w:rsidRDefault="00E20859" w:rsidP="00C8629F">
      <w:pPr>
        <w:spacing w:after="0"/>
        <w:ind w:left="720"/>
        <w:rPr>
          <w:sz w:val="24"/>
          <w:szCs w:val="24"/>
          <w:lang w:val="en"/>
        </w:rPr>
      </w:pPr>
      <w:hyperlink r:id="rId58" w:tooltip="History Education and Conflict Transformation" w:history="1">
        <w:r w:rsidR="00C8629F" w:rsidRPr="004F759C">
          <w:rPr>
            <w:rStyle w:val="Hyperlink"/>
            <w:sz w:val="24"/>
            <w:szCs w:val="24"/>
            <w:lang w:val="en"/>
          </w:rPr>
          <w:t>Download (PDF, 4 MB)</w:t>
        </w:r>
      </w:hyperlink>
    </w:p>
    <w:p w:rsidR="00C8629F" w:rsidRPr="004F759C" w:rsidRDefault="00C8629F" w:rsidP="00C8629F">
      <w:pPr>
        <w:spacing w:before="120" w:after="120"/>
        <w:rPr>
          <w:sz w:val="24"/>
          <w:szCs w:val="24"/>
          <w:lang w:val="en"/>
        </w:rPr>
      </w:pPr>
      <w:r w:rsidRPr="004F759C">
        <w:rPr>
          <w:sz w:val="24"/>
          <w:szCs w:val="24"/>
          <w:lang w:val="en"/>
        </w:rPr>
        <w:t xml:space="preserve">This volume comes directly from the work of </w:t>
      </w:r>
      <w:hyperlink r:id="rId59" w:tooltip="Click for explanation" w:history="1">
        <w:r w:rsidRPr="004F759C">
          <w:rPr>
            <w:rStyle w:val="Hyperlink"/>
            <w:sz w:val="24"/>
            <w:szCs w:val="24"/>
            <w:lang w:val="en"/>
          </w:rPr>
          <w:t>COST Action</w:t>
        </w:r>
      </w:hyperlink>
      <w:r w:rsidRPr="004F759C">
        <w:rPr>
          <w:sz w:val="24"/>
          <w:szCs w:val="24"/>
          <w:lang w:val="en"/>
        </w:rPr>
        <w:t xml:space="preserve"> IS1205 Social psychological dynamics of historical representations in the enlarged European Union.   </w:t>
      </w:r>
    </w:p>
    <w:p w:rsidR="00747085" w:rsidRDefault="00C8629F" w:rsidP="00FE66A8">
      <w:pPr>
        <w:spacing w:before="120" w:after="120"/>
        <w:rPr>
          <w:sz w:val="24"/>
          <w:szCs w:val="24"/>
          <w:lang w:val="en"/>
        </w:rPr>
      </w:pPr>
      <w:r w:rsidRPr="004F759C">
        <w:rPr>
          <w:sz w:val="24"/>
          <w:szCs w:val="24"/>
          <w:lang w:val="en"/>
        </w:rPr>
        <w:t xml:space="preserve">The book discusses the effects, models and implications of history teaching in relation to conflict transformation and reconciliation from a social-psychological perspective. Bringing together a mix of established and young researchers and academics, from the fields of </w:t>
      </w:r>
      <w:r w:rsidRPr="004F759C">
        <w:rPr>
          <w:sz w:val="24"/>
          <w:szCs w:val="24"/>
          <w:lang w:val="en"/>
        </w:rPr>
        <w:lastRenderedPageBreak/>
        <w:t>psychology, education, and history, the book provides an in-depth exploration of the role of historical narratives, history teaching, history textbooks and the work of civil society organizations in post-conflict societies undergoing reconciliation processes, and reflects on the state of the art at both the international and regional level. As well as dealing with the question of the ‘perpetrator-victim’ dynamic, the book also focuses on the particular context of transition in and out of cold war in Eastern Europe and the post-conflict settings of Northern Ireland, Israel and Palestine and Cyprus. It is also exploring the pedagogical classroom practices of history teaching and a critical comparison of various possible approaches taken in educational praxis. The book will make compelling reading for students and researchers of education, history, sociology, peace and conflict studies and psychology</w:t>
      </w:r>
      <w:r>
        <w:rPr>
          <w:sz w:val="24"/>
          <w:szCs w:val="24"/>
          <w:lang w:val="en"/>
        </w:rPr>
        <w:t>.</w:t>
      </w:r>
    </w:p>
    <w:p w:rsidR="0073307E" w:rsidRPr="0073307E" w:rsidRDefault="0073307E" w:rsidP="0073307E">
      <w:pPr>
        <w:pStyle w:val="Heading2"/>
        <w:ind w:left="426"/>
        <w:rPr>
          <w:lang w:val="en-US"/>
        </w:rPr>
      </w:pPr>
      <w:bookmarkStart w:id="27" w:name="_Toc498005914"/>
      <w:r w:rsidRPr="0073307E">
        <w:rPr>
          <w:lang w:val="en-US"/>
        </w:rPr>
        <w:t>Assessing the potential for crowdfunding and other forms of alternative finance to support research and innovation</w:t>
      </w:r>
      <w:bookmarkEnd w:id="27"/>
    </w:p>
    <w:p w:rsidR="0073307E" w:rsidRDefault="00E20859" w:rsidP="001F443A">
      <w:pPr>
        <w:rPr>
          <w:lang w:val="en-US"/>
        </w:rPr>
      </w:pPr>
      <w:hyperlink r:id="rId60" w:tgtFrame="_blank" w:history="1">
        <w:r w:rsidR="001F443A" w:rsidRPr="001F443A">
          <w:rPr>
            <w:rStyle w:val="Hyperlink"/>
            <w:noProof/>
            <w:lang w:eastAsia="bg-BG"/>
          </w:rPr>
          <w:drawing>
            <wp:inline distT="0" distB="0" distL="0" distR="0" wp14:anchorId="0FE1687A" wp14:editId="5571BBDA">
              <wp:extent cx="1198800" cy="1695600"/>
              <wp:effectExtent l="0" t="0" r="1905" b="0"/>
              <wp:docPr id="17" name="Picture 17" descr="Publication cover">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ublication cover">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198800" cy="1695600"/>
                      </a:xfrm>
                      <a:prstGeom prst="rect">
                        <a:avLst/>
                      </a:prstGeom>
                      <a:noFill/>
                      <a:ln>
                        <a:noFill/>
                      </a:ln>
                    </pic:spPr>
                  </pic:pic>
                </a:graphicData>
              </a:graphic>
            </wp:inline>
          </w:drawing>
        </w:r>
      </w:hyperlink>
    </w:p>
    <w:p w:rsidR="001F443A" w:rsidRPr="0073307E" w:rsidRDefault="001F443A" w:rsidP="000562F2">
      <w:pPr>
        <w:rPr>
          <w:sz w:val="24"/>
          <w:szCs w:val="24"/>
        </w:rPr>
      </w:pPr>
      <w:r w:rsidRPr="0073307E">
        <w:rPr>
          <w:sz w:val="24"/>
          <w:szCs w:val="24"/>
        </w:rPr>
        <w:t>This report provides an assessment of whether alternative finance has the potential to help Europe address the problem of access to finance for innovative companies and bridge the gap in terms of access to risk capital, and if EU action is needed to support development of the sector.</w:t>
      </w:r>
      <w:r w:rsidR="000562F2">
        <w:rPr>
          <w:sz w:val="24"/>
          <w:szCs w:val="24"/>
          <w:lang w:val="en-US"/>
        </w:rPr>
        <w:t xml:space="preserve"> </w:t>
      </w:r>
      <w:r w:rsidRPr="0073307E">
        <w:rPr>
          <w:sz w:val="24"/>
          <w:szCs w:val="24"/>
        </w:rPr>
        <w:t xml:space="preserve">»» </w:t>
      </w:r>
      <w:hyperlink r:id="rId62" w:tgtFrame="_blank" w:history="1">
        <w:r w:rsidRPr="0073307E">
          <w:rPr>
            <w:rStyle w:val="Hyperlink"/>
            <w:sz w:val="24"/>
            <w:szCs w:val="24"/>
          </w:rPr>
          <w:t>Annexes to the Report</w:t>
        </w:r>
      </w:hyperlink>
    </w:p>
    <w:sectPr w:rsidR="001F443A" w:rsidRPr="0073307E" w:rsidSect="002852EF">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859" w:rsidRDefault="00E20859" w:rsidP="003B2D94">
      <w:pPr>
        <w:spacing w:after="0" w:line="240" w:lineRule="auto"/>
      </w:pPr>
      <w:r>
        <w:separator/>
      </w:r>
    </w:p>
  </w:endnote>
  <w:endnote w:type="continuationSeparator" w:id="0">
    <w:p w:rsidR="00E20859" w:rsidRDefault="00E20859"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97DF5">
      <w:tc>
        <w:tcPr>
          <w:tcW w:w="4500" w:type="pct"/>
          <w:tcBorders>
            <w:top w:val="single" w:sz="4" w:space="0" w:color="000000" w:themeColor="text1"/>
          </w:tcBorders>
        </w:tcPr>
        <w:p w:rsidR="00497DF5" w:rsidRPr="00D22505" w:rsidRDefault="00497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97DF5" w:rsidRDefault="00497DF5">
          <w:pPr>
            <w:pStyle w:val="Header"/>
            <w:rPr>
              <w:color w:val="FFFFFF" w:themeColor="background1"/>
            </w:rPr>
          </w:pPr>
          <w:r>
            <w:fldChar w:fldCharType="begin"/>
          </w:r>
          <w:r>
            <w:instrText xml:space="preserve"> PAGE   \* MERGEFORMAT </w:instrText>
          </w:r>
          <w:r>
            <w:fldChar w:fldCharType="separate"/>
          </w:r>
          <w:r w:rsidR="00870200" w:rsidRPr="00870200">
            <w:rPr>
              <w:noProof/>
              <w:color w:val="FFFFFF" w:themeColor="background1"/>
            </w:rPr>
            <w:t>2</w:t>
          </w:r>
          <w:r>
            <w:rPr>
              <w:noProof/>
              <w:color w:val="FFFFFF" w:themeColor="background1"/>
            </w:rPr>
            <w:fldChar w:fldCharType="end"/>
          </w:r>
        </w:p>
      </w:tc>
    </w:tr>
  </w:tbl>
  <w:p w:rsidR="00497DF5" w:rsidRDefault="0049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497DF5">
      <w:tc>
        <w:tcPr>
          <w:tcW w:w="4500" w:type="pct"/>
          <w:tcBorders>
            <w:top w:val="single" w:sz="4" w:space="0" w:color="000000" w:themeColor="text1"/>
          </w:tcBorders>
        </w:tcPr>
        <w:p w:rsidR="00497DF5" w:rsidRPr="00D22505" w:rsidRDefault="00497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97DF5" w:rsidRDefault="00497DF5">
          <w:pPr>
            <w:pStyle w:val="Header"/>
            <w:rPr>
              <w:color w:val="FFFFFF" w:themeColor="background1"/>
            </w:rPr>
          </w:pPr>
          <w:r>
            <w:fldChar w:fldCharType="begin"/>
          </w:r>
          <w:r>
            <w:instrText xml:space="preserve"> PAGE   \* MERGEFORMAT </w:instrText>
          </w:r>
          <w:r>
            <w:fldChar w:fldCharType="separate"/>
          </w:r>
          <w:r w:rsidR="00870200" w:rsidRPr="00870200">
            <w:rPr>
              <w:noProof/>
              <w:color w:val="FFFFFF" w:themeColor="background1"/>
            </w:rPr>
            <w:t>6</w:t>
          </w:r>
          <w:r>
            <w:rPr>
              <w:noProof/>
              <w:color w:val="FFFFFF" w:themeColor="background1"/>
            </w:rPr>
            <w:fldChar w:fldCharType="end"/>
          </w:r>
        </w:p>
      </w:tc>
    </w:tr>
  </w:tbl>
  <w:p w:rsidR="00497DF5" w:rsidRDefault="00497D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497DF5" w:rsidTr="00D22505">
      <w:tc>
        <w:tcPr>
          <w:tcW w:w="4500" w:type="pct"/>
          <w:tcBorders>
            <w:top w:val="single" w:sz="4" w:space="0" w:color="000000" w:themeColor="text1"/>
          </w:tcBorders>
        </w:tcPr>
        <w:p w:rsidR="00497DF5" w:rsidRPr="00D22505" w:rsidRDefault="00497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497DF5" w:rsidRDefault="00497DF5">
          <w:pPr>
            <w:pStyle w:val="Header"/>
            <w:rPr>
              <w:color w:val="FFFFFF" w:themeColor="background1"/>
            </w:rPr>
          </w:pPr>
          <w:r>
            <w:fldChar w:fldCharType="begin"/>
          </w:r>
          <w:r>
            <w:instrText xml:space="preserve"> PAGE   \* MERGEFORMAT </w:instrText>
          </w:r>
          <w:r>
            <w:fldChar w:fldCharType="separate"/>
          </w:r>
          <w:r w:rsidR="00870200" w:rsidRPr="00870200">
            <w:rPr>
              <w:noProof/>
              <w:color w:val="FFFFFF" w:themeColor="background1"/>
            </w:rPr>
            <w:t>11</w:t>
          </w:r>
          <w:r>
            <w:rPr>
              <w:noProof/>
              <w:color w:val="FFFFFF" w:themeColor="background1"/>
            </w:rPr>
            <w:fldChar w:fldCharType="end"/>
          </w:r>
        </w:p>
      </w:tc>
    </w:tr>
  </w:tbl>
  <w:p w:rsidR="00497DF5" w:rsidRDefault="00497D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97DF5" w:rsidTr="00D22505">
      <w:tc>
        <w:tcPr>
          <w:tcW w:w="4500" w:type="pct"/>
          <w:tcBorders>
            <w:top w:val="single" w:sz="4" w:space="0" w:color="000000" w:themeColor="text1"/>
          </w:tcBorders>
        </w:tcPr>
        <w:p w:rsidR="00497DF5" w:rsidRPr="00D22505" w:rsidRDefault="00497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497DF5" w:rsidRDefault="00497DF5">
          <w:pPr>
            <w:pStyle w:val="Header"/>
            <w:rPr>
              <w:color w:val="FFFFFF" w:themeColor="background1"/>
            </w:rPr>
          </w:pPr>
          <w:r>
            <w:fldChar w:fldCharType="begin"/>
          </w:r>
          <w:r>
            <w:instrText xml:space="preserve"> PAGE   \* MERGEFORMAT </w:instrText>
          </w:r>
          <w:r>
            <w:fldChar w:fldCharType="separate"/>
          </w:r>
          <w:r w:rsidR="00870200" w:rsidRPr="00870200">
            <w:rPr>
              <w:noProof/>
              <w:color w:val="FFFFFF" w:themeColor="background1"/>
            </w:rPr>
            <w:t>14</w:t>
          </w:r>
          <w:r>
            <w:rPr>
              <w:noProof/>
              <w:color w:val="FFFFFF" w:themeColor="background1"/>
            </w:rPr>
            <w:fldChar w:fldCharType="end"/>
          </w:r>
        </w:p>
      </w:tc>
    </w:tr>
  </w:tbl>
  <w:p w:rsidR="00497DF5" w:rsidRDefault="00497D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97DF5" w:rsidTr="00413D6F">
      <w:tc>
        <w:tcPr>
          <w:tcW w:w="4500" w:type="pct"/>
          <w:tcBorders>
            <w:top w:val="single" w:sz="4" w:space="0" w:color="000000" w:themeColor="text1"/>
          </w:tcBorders>
        </w:tcPr>
        <w:p w:rsidR="00497DF5" w:rsidRPr="00D22505" w:rsidRDefault="00497DF5">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497DF5" w:rsidRDefault="00497DF5">
          <w:pPr>
            <w:pStyle w:val="Header"/>
            <w:rPr>
              <w:color w:val="FFFFFF" w:themeColor="background1"/>
            </w:rPr>
          </w:pPr>
          <w:r>
            <w:fldChar w:fldCharType="begin"/>
          </w:r>
          <w:r>
            <w:instrText xml:space="preserve"> PAGE   \* MERGEFORMAT </w:instrText>
          </w:r>
          <w:r>
            <w:fldChar w:fldCharType="separate"/>
          </w:r>
          <w:r w:rsidR="00870200" w:rsidRPr="00870200">
            <w:rPr>
              <w:noProof/>
              <w:color w:val="FFFFFF" w:themeColor="background1"/>
            </w:rPr>
            <w:t>18</w:t>
          </w:r>
          <w:r>
            <w:rPr>
              <w:noProof/>
              <w:color w:val="FFFFFF" w:themeColor="background1"/>
            </w:rPr>
            <w:fldChar w:fldCharType="end"/>
          </w:r>
        </w:p>
      </w:tc>
    </w:tr>
  </w:tbl>
  <w:p w:rsidR="00497DF5" w:rsidRDefault="00497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859" w:rsidRDefault="00E20859" w:rsidP="003B2D94">
      <w:pPr>
        <w:spacing w:after="0" w:line="240" w:lineRule="auto"/>
      </w:pPr>
      <w:r>
        <w:separator/>
      </w:r>
    </w:p>
  </w:footnote>
  <w:footnote w:type="continuationSeparator" w:id="0">
    <w:p w:rsidR="00E20859" w:rsidRDefault="00E20859"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74C51"/>
    <w:multiLevelType w:val="multilevel"/>
    <w:tmpl w:val="2EFC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77314"/>
    <w:multiLevelType w:val="hybridMultilevel"/>
    <w:tmpl w:val="D5909150"/>
    <w:lvl w:ilvl="0" w:tplc="7FC8A26C">
      <w:start w:val="1"/>
      <w:numFmt w:val="bullet"/>
      <w:pStyle w:val="Heading2"/>
      <w:lvlText w:val=""/>
      <w:lvlJc w:val="left"/>
      <w:pPr>
        <w:ind w:left="6598" w:hanging="360"/>
      </w:pPr>
      <w:rPr>
        <w:rFonts w:ascii="Wingdings" w:hAnsi="Wingdings" w:hint="default"/>
        <w:color w:val="auto"/>
      </w:rPr>
    </w:lvl>
    <w:lvl w:ilvl="1" w:tplc="433EFA36">
      <w:numFmt w:val="bullet"/>
      <w:lvlText w:val="-"/>
      <w:lvlJc w:val="left"/>
      <w:pPr>
        <w:ind w:left="1440" w:hanging="360"/>
      </w:pPr>
      <w:rPr>
        <w:rFonts w:ascii="Times New Roman" w:eastAsiaTheme="minorHAns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9447BA4"/>
    <w:multiLevelType w:val="multilevel"/>
    <w:tmpl w:val="3EF4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7687F"/>
    <w:multiLevelType w:val="multilevel"/>
    <w:tmpl w:val="47B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957BEF"/>
    <w:multiLevelType w:val="multilevel"/>
    <w:tmpl w:val="879A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91380"/>
    <w:multiLevelType w:val="multilevel"/>
    <w:tmpl w:val="79C8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70842"/>
    <w:multiLevelType w:val="hybridMultilevel"/>
    <w:tmpl w:val="F22E69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6924013"/>
    <w:multiLevelType w:val="multilevel"/>
    <w:tmpl w:val="B9C6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53D133AE"/>
    <w:multiLevelType w:val="multilevel"/>
    <w:tmpl w:val="904C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A316D"/>
    <w:multiLevelType w:val="multilevel"/>
    <w:tmpl w:val="E1C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4"/>
  </w:num>
  <w:num w:numId="4">
    <w:abstractNumId w:val="14"/>
  </w:num>
  <w:num w:numId="5">
    <w:abstractNumId w:val="0"/>
  </w:num>
  <w:num w:numId="6">
    <w:abstractNumId w:val="12"/>
  </w:num>
  <w:num w:numId="7">
    <w:abstractNumId w:val="7"/>
  </w:num>
  <w:num w:numId="8">
    <w:abstractNumId w:val="3"/>
  </w:num>
  <w:num w:numId="9">
    <w:abstractNumId w:val="13"/>
  </w:num>
  <w:num w:numId="10">
    <w:abstractNumId w:val="11"/>
  </w:num>
  <w:num w:numId="11">
    <w:abstractNumId w:val="6"/>
  </w:num>
  <w:num w:numId="12">
    <w:abstractNumId w:val="5"/>
  </w:num>
  <w:num w:numId="13">
    <w:abstractNumId w:val="9"/>
  </w:num>
  <w:num w:numId="14">
    <w:abstractNumId w:val="1"/>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59D6"/>
    <w:rsid w:val="00006C12"/>
    <w:rsid w:val="00006D5A"/>
    <w:rsid w:val="00006D5E"/>
    <w:rsid w:val="000077B1"/>
    <w:rsid w:val="00007D37"/>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5E90"/>
    <w:rsid w:val="00016676"/>
    <w:rsid w:val="0001691E"/>
    <w:rsid w:val="0001699F"/>
    <w:rsid w:val="00016B77"/>
    <w:rsid w:val="00016DAB"/>
    <w:rsid w:val="000179BE"/>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904"/>
    <w:rsid w:val="00027A74"/>
    <w:rsid w:val="00027ADB"/>
    <w:rsid w:val="00030200"/>
    <w:rsid w:val="0003056E"/>
    <w:rsid w:val="000315DC"/>
    <w:rsid w:val="000316BF"/>
    <w:rsid w:val="00031BF3"/>
    <w:rsid w:val="00031E1E"/>
    <w:rsid w:val="000321DE"/>
    <w:rsid w:val="000324E6"/>
    <w:rsid w:val="000325BB"/>
    <w:rsid w:val="00032CE7"/>
    <w:rsid w:val="0003317A"/>
    <w:rsid w:val="00033A5F"/>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3878"/>
    <w:rsid w:val="00043AEC"/>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3D9C"/>
    <w:rsid w:val="000555E8"/>
    <w:rsid w:val="000557DB"/>
    <w:rsid w:val="0005602C"/>
    <w:rsid w:val="00056152"/>
    <w:rsid w:val="000562F2"/>
    <w:rsid w:val="0005640E"/>
    <w:rsid w:val="000568CA"/>
    <w:rsid w:val="00060348"/>
    <w:rsid w:val="00061042"/>
    <w:rsid w:val="00061AD5"/>
    <w:rsid w:val="00061B49"/>
    <w:rsid w:val="00061E61"/>
    <w:rsid w:val="000628B2"/>
    <w:rsid w:val="00062B66"/>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511"/>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11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2F12"/>
    <w:rsid w:val="000A3B05"/>
    <w:rsid w:val="000A3E0B"/>
    <w:rsid w:val="000A3F40"/>
    <w:rsid w:val="000A449E"/>
    <w:rsid w:val="000A47D7"/>
    <w:rsid w:val="000A4BB1"/>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499"/>
    <w:rsid w:val="000C65A4"/>
    <w:rsid w:val="000C7003"/>
    <w:rsid w:val="000C776F"/>
    <w:rsid w:val="000C7C6B"/>
    <w:rsid w:val="000C7CFE"/>
    <w:rsid w:val="000D054C"/>
    <w:rsid w:val="000D0951"/>
    <w:rsid w:val="000D0E73"/>
    <w:rsid w:val="000D0F5B"/>
    <w:rsid w:val="000D157A"/>
    <w:rsid w:val="000D1AE0"/>
    <w:rsid w:val="000D1BAA"/>
    <w:rsid w:val="000D28A3"/>
    <w:rsid w:val="000D2EEC"/>
    <w:rsid w:val="000D3481"/>
    <w:rsid w:val="000D3B97"/>
    <w:rsid w:val="000D3CFD"/>
    <w:rsid w:val="000D4193"/>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BD4"/>
    <w:rsid w:val="000F50A6"/>
    <w:rsid w:val="000F6B38"/>
    <w:rsid w:val="000F6FBF"/>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346B"/>
    <w:rsid w:val="00104287"/>
    <w:rsid w:val="0010483E"/>
    <w:rsid w:val="00105696"/>
    <w:rsid w:val="001056AC"/>
    <w:rsid w:val="00105795"/>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8CE"/>
    <w:rsid w:val="00112910"/>
    <w:rsid w:val="00113668"/>
    <w:rsid w:val="00113705"/>
    <w:rsid w:val="00113AF8"/>
    <w:rsid w:val="0011441F"/>
    <w:rsid w:val="00114538"/>
    <w:rsid w:val="0011453E"/>
    <w:rsid w:val="00114751"/>
    <w:rsid w:val="001148EC"/>
    <w:rsid w:val="00115158"/>
    <w:rsid w:val="0011623F"/>
    <w:rsid w:val="001163CE"/>
    <w:rsid w:val="001169E1"/>
    <w:rsid w:val="00116E6F"/>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385"/>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6AFC"/>
    <w:rsid w:val="00137535"/>
    <w:rsid w:val="00137868"/>
    <w:rsid w:val="00137CE4"/>
    <w:rsid w:val="00137D83"/>
    <w:rsid w:val="001419D6"/>
    <w:rsid w:val="00141A24"/>
    <w:rsid w:val="00141A48"/>
    <w:rsid w:val="001422D1"/>
    <w:rsid w:val="00142310"/>
    <w:rsid w:val="00143FDD"/>
    <w:rsid w:val="00144D87"/>
    <w:rsid w:val="00145260"/>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E26"/>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36C3"/>
    <w:rsid w:val="001B467B"/>
    <w:rsid w:val="001B476A"/>
    <w:rsid w:val="001B493B"/>
    <w:rsid w:val="001B59CF"/>
    <w:rsid w:val="001B5F13"/>
    <w:rsid w:val="001B7715"/>
    <w:rsid w:val="001B791F"/>
    <w:rsid w:val="001B7A99"/>
    <w:rsid w:val="001C0179"/>
    <w:rsid w:val="001C033D"/>
    <w:rsid w:val="001C0848"/>
    <w:rsid w:val="001C0D65"/>
    <w:rsid w:val="001C1193"/>
    <w:rsid w:val="001C220B"/>
    <w:rsid w:val="001C26A0"/>
    <w:rsid w:val="001C2E5A"/>
    <w:rsid w:val="001C3510"/>
    <w:rsid w:val="001C3DC4"/>
    <w:rsid w:val="001C474D"/>
    <w:rsid w:val="001C47F2"/>
    <w:rsid w:val="001C47F8"/>
    <w:rsid w:val="001C4878"/>
    <w:rsid w:val="001C50B9"/>
    <w:rsid w:val="001C5349"/>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6FD"/>
    <w:rsid w:val="001E373E"/>
    <w:rsid w:val="001E3F9E"/>
    <w:rsid w:val="001E4430"/>
    <w:rsid w:val="001E4545"/>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443A"/>
    <w:rsid w:val="001F5335"/>
    <w:rsid w:val="001F581A"/>
    <w:rsid w:val="001F61CC"/>
    <w:rsid w:val="001F61F6"/>
    <w:rsid w:val="001F658E"/>
    <w:rsid w:val="001F65E0"/>
    <w:rsid w:val="001F6D7C"/>
    <w:rsid w:val="001F6F8D"/>
    <w:rsid w:val="001F7517"/>
    <w:rsid w:val="001F7ACD"/>
    <w:rsid w:val="001F7D6E"/>
    <w:rsid w:val="002005D6"/>
    <w:rsid w:val="00200A5A"/>
    <w:rsid w:val="002015C3"/>
    <w:rsid w:val="00201924"/>
    <w:rsid w:val="00201BD2"/>
    <w:rsid w:val="00202659"/>
    <w:rsid w:val="00203ABE"/>
    <w:rsid w:val="00203FE8"/>
    <w:rsid w:val="00204613"/>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09D7"/>
    <w:rsid w:val="00241217"/>
    <w:rsid w:val="00241CB4"/>
    <w:rsid w:val="00242941"/>
    <w:rsid w:val="00242AED"/>
    <w:rsid w:val="002435EA"/>
    <w:rsid w:val="00244299"/>
    <w:rsid w:val="002449D9"/>
    <w:rsid w:val="002449ED"/>
    <w:rsid w:val="00244DCE"/>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269"/>
    <w:rsid w:val="00260AA5"/>
    <w:rsid w:val="0026113E"/>
    <w:rsid w:val="00261ED6"/>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43C"/>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39FA"/>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9C5"/>
    <w:rsid w:val="002F0D05"/>
    <w:rsid w:val="002F0D1E"/>
    <w:rsid w:val="002F139A"/>
    <w:rsid w:val="002F1AC7"/>
    <w:rsid w:val="002F23CA"/>
    <w:rsid w:val="002F29A9"/>
    <w:rsid w:val="002F2A93"/>
    <w:rsid w:val="002F2B93"/>
    <w:rsid w:val="002F353F"/>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757"/>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46B"/>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6B1"/>
    <w:rsid w:val="00330ABA"/>
    <w:rsid w:val="003333FC"/>
    <w:rsid w:val="003334FB"/>
    <w:rsid w:val="00333842"/>
    <w:rsid w:val="00333CF0"/>
    <w:rsid w:val="00333D68"/>
    <w:rsid w:val="00334086"/>
    <w:rsid w:val="00334346"/>
    <w:rsid w:val="003349AA"/>
    <w:rsid w:val="00334A14"/>
    <w:rsid w:val="00334FB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3D98"/>
    <w:rsid w:val="00354273"/>
    <w:rsid w:val="00354912"/>
    <w:rsid w:val="00354E5F"/>
    <w:rsid w:val="0035522B"/>
    <w:rsid w:val="0035522E"/>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73F0"/>
    <w:rsid w:val="0036796C"/>
    <w:rsid w:val="00370993"/>
    <w:rsid w:val="00370D64"/>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432"/>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A7A3D"/>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3E76"/>
    <w:rsid w:val="003D46ED"/>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E80"/>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67"/>
    <w:rsid w:val="004040E3"/>
    <w:rsid w:val="00404A07"/>
    <w:rsid w:val="00404D98"/>
    <w:rsid w:val="0040510A"/>
    <w:rsid w:val="00407101"/>
    <w:rsid w:val="004074B2"/>
    <w:rsid w:val="00407855"/>
    <w:rsid w:val="00410426"/>
    <w:rsid w:val="00410892"/>
    <w:rsid w:val="00410A71"/>
    <w:rsid w:val="004118BC"/>
    <w:rsid w:val="00411F5B"/>
    <w:rsid w:val="004122CC"/>
    <w:rsid w:val="004122D8"/>
    <w:rsid w:val="004127DF"/>
    <w:rsid w:val="0041337C"/>
    <w:rsid w:val="00413583"/>
    <w:rsid w:val="00413D6F"/>
    <w:rsid w:val="00413F6E"/>
    <w:rsid w:val="0041444D"/>
    <w:rsid w:val="00414571"/>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E17"/>
    <w:rsid w:val="00420F9C"/>
    <w:rsid w:val="0042147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27ADE"/>
    <w:rsid w:val="0043077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BEE"/>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DE"/>
    <w:rsid w:val="00473B2A"/>
    <w:rsid w:val="00473BCD"/>
    <w:rsid w:val="004741B2"/>
    <w:rsid w:val="00474BE5"/>
    <w:rsid w:val="00475432"/>
    <w:rsid w:val="004755A0"/>
    <w:rsid w:val="00475D8A"/>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B6F"/>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9D3"/>
    <w:rsid w:val="004A5DFB"/>
    <w:rsid w:val="004A7B2D"/>
    <w:rsid w:val="004B036F"/>
    <w:rsid w:val="004B0443"/>
    <w:rsid w:val="004B081E"/>
    <w:rsid w:val="004B098D"/>
    <w:rsid w:val="004B157F"/>
    <w:rsid w:val="004B16B7"/>
    <w:rsid w:val="004B1758"/>
    <w:rsid w:val="004B1B1A"/>
    <w:rsid w:val="004B3DB8"/>
    <w:rsid w:val="004B4177"/>
    <w:rsid w:val="004B4AEB"/>
    <w:rsid w:val="004B4ED1"/>
    <w:rsid w:val="004B5D76"/>
    <w:rsid w:val="004B60EA"/>
    <w:rsid w:val="004B6306"/>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188"/>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4DA0"/>
    <w:rsid w:val="004F5051"/>
    <w:rsid w:val="004F592A"/>
    <w:rsid w:val="004F6026"/>
    <w:rsid w:val="004F63BE"/>
    <w:rsid w:val="004F6BD7"/>
    <w:rsid w:val="004F759C"/>
    <w:rsid w:val="004F7F9C"/>
    <w:rsid w:val="0050039B"/>
    <w:rsid w:val="00500894"/>
    <w:rsid w:val="00500A44"/>
    <w:rsid w:val="00501543"/>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24E7"/>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493"/>
    <w:rsid w:val="00530DF6"/>
    <w:rsid w:val="00531128"/>
    <w:rsid w:val="0053131D"/>
    <w:rsid w:val="00531E15"/>
    <w:rsid w:val="005331BA"/>
    <w:rsid w:val="00533BDE"/>
    <w:rsid w:val="0053420D"/>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0B2"/>
    <w:rsid w:val="00562A11"/>
    <w:rsid w:val="00562F39"/>
    <w:rsid w:val="005636D6"/>
    <w:rsid w:val="005639C2"/>
    <w:rsid w:val="00564FF4"/>
    <w:rsid w:val="00565405"/>
    <w:rsid w:val="00565704"/>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5CAF"/>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5E13"/>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87"/>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872"/>
    <w:rsid w:val="005A690C"/>
    <w:rsid w:val="005A6AC7"/>
    <w:rsid w:val="005A761B"/>
    <w:rsid w:val="005A764D"/>
    <w:rsid w:val="005A7784"/>
    <w:rsid w:val="005A7E5E"/>
    <w:rsid w:val="005B0188"/>
    <w:rsid w:val="005B03B1"/>
    <w:rsid w:val="005B0A3F"/>
    <w:rsid w:val="005B10FA"/>
    <w:rsid w:val="005B22A5"/>
    <w:rsid w:val="005B2361"/>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3B8F"/>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04A"/>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CE1"/>
    <w:rsid w:val="0063281F"/>
    <w:rsid w:val="006335D4"/>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7AE"/>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2802"/>
    <w:rsid w:val="006A2C83"/>
    <w:rsid w:val="006A2FE1"/>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C2"/>
    <w:rsid w:val="006D1E56"/>
    <w:rsid w:val="006D36B8"/>
    <w:rsid w:val="006D3CC1"/>
    <w:rsid w:val="006D470E"/>
    <w:rsid w:val="006D5261"/>
    <w:rsid w:val="006D54D5"/>
    <w:rsid w:val="006D5C58"/>
    <w:rsid w:val="006D5E46"/>
    <w:rsid w:val="006D614F"/>
    <w:rsid w:val="006D7DC6"/>
    <w:rsid w:val="006D7FAC"/>
    <w:rsid w:val="006E0DDF"/>
    <w:rsid w:val="006E198F"/>
    <w:rsid w:val="006E1C2D"/>
    <w:rsid w:val="006E20A5"/>
    <w:rsid w:val="006E2781"/>
    <w:rsid w:val="006E2911"/>
    <w:rsid w:val="006E2AC4"/>
    <w:rsid w:val="006E2B43"/>
    <w:rsid w:val="006E2B5A"/>
    <w:rsid w:val="006E324B"/>
    <w:rsid w:val="006E3988"/>
    <w:rsid w:val="006E3B86"/>
    <w:rsid w:val="006E3BD3"/>
    <w:rsid w:val="006E4442"/>
    <w:rsid w:val="006E4FBB"/>
    <w:rsid w:val="006E513D"/>
    <w:rsid w:val="006E5449"/>
    <w:rsid w:val="006E58FB"/>
    <w:rsid w:val="006E5BEA"/>
    <w:rsid w:val="006E6B09"/>
    <w:rsid w:val="006E7292"/>
    <w:rsid w:val="006F0FC9"/>
    <w:rsid w:val="006F10BF"/>
    <w:rsid w:val="006F1937"/>
    <w:rsid w:val="006F1FB0"/>
    <w:rsid w:val="006F2579"/>
    <w:rsid w:val="006F2E09"/>
    <w:rsid w:val="006F2E90"/>
    <w:rsid w:val="006F2FB4"/>
    <w:rsid w:val="006F399D"/>
    <w:rsid w:val="006F3A34"/>
    <w:rsid w:val="006F40DF"/>
    <w:rsid w:val="006F4280"/>
    <w:rsid w:val="006F471F"/>
    <w:rsid w:val="006F496D"/>
    <w:rsid w:val="006F4F42"/>
    <w:rsid w:val="006F4F64"/>
    <w:rsid w:val="006F5B07"/>
    <w:rsid w:val="006F6212"/>
    <w:rsid w:val="006F625F"/>
    <w:rsid w:val="006F62EB"/>
    <w:rsid w:val="006F6A1E"/>
    <w:rsid w:val="006F6A78"/>
    <w:rsid w:val="006F75D9"/>
    <w:rsid w:val="007008FD"/>
    <w:rsid w:val="00700C19"/>
    <w:rsid w:val="00700EFE"/>
    <w:rsid w:val="00701393"/>
    <w:rsid w:val="00701AE6"/>
    <w:rsid w:val="00701D7A"/>
    <w:rsid w:val="007020D4"/>
    <w:rsid w:val="00702393"/>
    <w:rsid w:val="00702E3C"/>
    <w:rsid w:val="00703403"/>
    <w:rsid w:val="00703950"/>
    <w:rsid w:val="0070460D"/>
    <w:rsid w:val="00704FA1"/>
    <w:rsid w:val="0070524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1B7D"/>
    <w:rsid w:val="00732106"/>
    <w:rsid w:val="0073306F"/>
    <w:rsid w:val="0073307E"/>
    <w:rsid w:val="0073330A"/>
    <w:rsid w:val="007334A2"/>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085"/>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4F61"/>
    <w:rsid w:val="007655CC"/>
    <w:rsid w:val="00765727"/>
    <w:rsid w:val="0076591A"/>
    <w:rsid w:val="00765BEC"/>
    <w:rsid w:val="00766135"/>
    <w:rsid w:val="00766620"/>
    <w:rsid w:val="0076745B"/>
    <w:rsid w:val="00767912"/>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1FA2"/>
    <w:rsid w:val="00782091"/>
    <w:rsid w:val="007827F2"/>
    <w:rsid w:val="00783030"/>
    <w:rsid w:val="007831C5"/>
    <w:rsid w:val="0078339D"/>
    <w:rsid w:val="007834DB"/>
    <w:rsid w:val="0078359C"/>
    <w:rsid w:val="00783975"/>
    <w:rsid w:val="00784C54"/>
    <w:rsid w:val="007858A1"/>
    <w:rsid w:val="00785BBA"/>
    <w:rsid w:val="0078621A"/>
    <w:rsid w:val="00786B45"/>
    <w:rsid w:val="00786E58"/>
    <w:rsid w:val="00786F4F"/>
    <w:rsid w:val="007875D8"/>
    <w:rsid w:val="00787679"/>
    <w:rsid w:val="007877C3"/>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2FD1"/>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850"/>
    <w:rsid w:val="007F2EA5"/>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800"/>
    <w:rsid w:val="00823EA9"/>
    <w:rsid w:val="0082413A"/>
    <w:rsid w:val="00824808"/>
    <w:rsid w:val="00824C26"/>
    <w:rsid w:val="00825B81"/>
    <w:rsid w:val="00825CC2"/>
    <w:rsid w:val="008267A6"/>
    <w:rsid w:val="008268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60"/>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00"/>
    <w:rsid w:val="0087028D"/>
    <w:rsid w:val="0087047A"/>
    <w:rsid w:val="00870A3E"/>
    <w:rsid w:val="00870D18"/>
    <w:rsid w:val="00870DD7"/>
    <w:rsid w:val="008710BC"/>
    <w:rsid w:val="008718B0"/>
    <w:rsid w:val="00872C8E"/>
    <w:rsid w:val="00872F32"/>
    <w:rsid w:val="00874C22"/>
    <w:rsid w:val="00874CA0"/>
    <w:rsid w:val="008754FC"/>
    <w:rsid w:val="00875642"/>
    <w:rsid w:val="00875D70"/>
    <w:rsid w:val="00876A96"/>
    <w:rsid w:val="0087727A"/>
    <w:rsid w:val="00877895"/>
    <w:rsid w:val="00877D08"/>
    <w:rsid w:val="00877F65"/>
    <w:rsid w:val="008800F8"/>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6EBF"/>
    <w:rsid w:val="008B74C8"/>
    <w:rsid w:val="008B791E"/>
    <w:rsid w:val="008B7FD4"/>
    <w:rsid w:val="008C0069"/>
    <w:rsid w:val="008C1988"/>
    <w:rsid w:val="008C1996"/>
    <w:rsid w:val="008C1B0A"/>
    <w:rsid w:val="008C225C"/>
    <w:rsid w:val="008C26D9"/>
    <w:rsid w:val="008C270A"/>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56DC"/>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8F6EFC"/>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9B1"/>
    <w:rsid w:val="00912A3F"/>
    <w:rsid w:val="00912D66"/>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091A"/>
    <w:rsid w:val="009215F5"/>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3F"/>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A3E"/>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42E"/>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606"/>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26F"/>
    <w:rsid w:val="009A131B"/>
    <w:rsid w:val="009A1D3C"/>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77A"/>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1B5"/>
    <w:rsid w:val="009E5F89"/>
    <w:rsid w:val="009E5FDE"/>
    <w:rsid w:val="009E6372"/>
    <w:rsid w:val="009E6857"/>
    <w:rsid w:val="009E7151"/>
    <w:rsid w:val="009E7DF7"/>
    <w:rsid w:val="009E7F51"/>
    <w:rsid w:val="009F0089"/>
    <w:rsid w:val="009F0221"/>
    <w:rsid w:val="009F06AE"/>
    <w:rsid w:val="009F2113"/>
    <w:rsid w:val="009F2D05"/>
    <w:rsid w:val="009F3AE0"/>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5A2B"/>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5D22"/>
    <w:rsid w:val="00A362A6"/>
    <w:rsid w:val="00A365D7"/>
    <w:rsid w:val="00A366D4"/>
    <w:rsid w:val="00A36C64"/>
    <w:rsid w:val="00A3754D"/>
    <w:rsid w:val="00A3784F"/>
    <w:rsid w:val="00A37DF7"/>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8E0"/>
    <w:rsid w:val="00A46E90"/>
    <w:rsid w:val="00A47041"/>
    <w:rsid w:val="00A47345"/>
    <w:rsid w:val="00A47853"/>
    <w:rsid w:val="00A47880"/>
    <w:rsid w:val="00A50667"/>
    <w:rsid w:val="00A5080B"/>
    <w:rsid w:val="00A50E4C"/>
    <w:rsid w:val="00A51135"/>
    <w:rsid w:val="00A528C2"/>
    <w:rsid w:val="00A529DD"/>
    <w:rsid w:val="00A52A27"/>
    <w:rsid w:val="00A52DA4"/>
    <w:rsid w:val="00A52E9D"/>
    <w:rsid w:val="00A52EAA"/>
    <w:rsid w:val="00A53446"/>
    <w:rsid w:val="00A5406E"/>
    <w:rsid w:val="00A5551F"/>
    <w:rsid w:val="00A55BE7"/>
    <w:rsid w:val="00A55DC9"/>
    <w:rsid w:val="00A56243"/>
    <w:rsid w:val="00A56419"/>
    <w:rsid w:val="00A5663D"/>
    <w:rsid w:val="00A60372"/>
    <w:rsid w:val="00A604D7"/>
    <w:rsid w:val="00A6065C"/>
    <w:rsid w:val="00A610E0"/>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24C"/>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31C"/>
    <w:rsid w:val="00A9684A"/>
    <w:rsid w:val="00A9685A"/>
    <w:rsid w:val="00A96B79"/>
    <w:rsid w:val="00A974F3"/>
    <w:rsid w:val="00A9799E"/>
    <w:rsid w:val="00AA001D"/>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773"/>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B7DC3"/>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9AD"/>
    <w:rsid w:val="00AC7B9D"/>
    <w:rsid w:val="00AC7E60"/>
    <w:rsid w:val="00AC7EFF"/>
    <w:rsid w:val="00AD011C"/>
    <w:rsid w:val="00AD0223"/>
    <w:rsid w:val="00AD0311"/>
    <w:rsid w:val="00AD0FBE"/>
    <w:rsid w:val="00AD1202"/>
    <w:rsid w:val="00AD13B9"/>
    <w:rsid w:val="00AD1ACF"/>
    <w:rsid w:val="00AD1DE0"/>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532"/>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0152"/>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27B3D"/>
    <w:rsid w:val="00B306B0"/>
    <w:rsid w:val="00B30F8D"/>
    <w:rsid w:val="00B316A6"/>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A97"/>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05"/>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AF5"/>
    <w:rsid w:val="00BA5CCA"/>
    <w:rsid w:val="00BA61DE"/>
    <w:rsid w:val="00BA6733"/>
    <w:rsid w:val="00BA730F"/>
    <w:rsid w:val="00BA766D"/>
    <w:rsid w:val="00BB0226"/>
    <w:rsid w:val="00BB0543"/>
    <w:rsid w:val="00BB10AE"/>
    <w:rsid w:val="00BB1782"/>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D7CD8"/>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10C"/>
    <w:rsid w:val="00C075E1"/>
    <w:rsid w:val="00C07804"/>
    <w:rsid w:val="00C07826"/>
    <w:rsid w:val="00C113CF"/>
    <w:rsid w:val="00C11A0E"/>
    <w:rsid w:val="00C125AA"/>
    <w:rsid w:val="00C128E9"/>
    <w:rsid w:val="00C12FB9"/>
    <w:rsid w:val="00C1328A"/>
    <w:rsid w:val="00C13C6C"/>
    <w:rsid w:val="00C13CF0"/>
    <w:rsid w:val="00C14F5E"/>
    <w:rsid w:val="00C151F1"/>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571D"/>
    <w:rsid w:val="00C36139"/>
    <w:rsid w:val="00C36A11"/>
    <w:rsid w:val="00C36CD1"/>
    <w:rsid w:val="00C37370"/>
    <w:rsid w:val="00C4021A"/>
    <w:rsid w:val="00C40971"/>
    <w:rsid w:val="00C410A2"/>
    <w:rsid w:val="00C411ED"/>
    <w:rsid w:val="00C421CF"/>
    <w:rsid w:val="00C426D8"/>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32E4"/>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2DD0"/>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29F"/>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0B8"/>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8B5"/>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9DA"/>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B1B"/>
    <w:rsid w:val="00CF6C2B"/>
    <w:rsid w:val="00D00854"/>
    <w:rsid w:val="00D00941"/>
    <w:rsid w:val="00D00A91"/>
    <w:rsid w:val="00D00D58"/>
    <w:rsid w:val="00D01348"/>
    <w:rsid w:val="00D0148E"/>
    <w:rsid w:val="00D01978"/>
    <w:rsid w:val="00D0259D"/>
    <w:rsid w:val="00D02875"/>
    <w:rsid w:val="00D02C25"/>
    <w:rsid w:val="00D0354B"/>
    <w:rsid w:val="00D03C1A"/>
    <w:rsid w:val="00D03DC5"/>
    <w:rsid w:val="00D03E4B"/>
    <w:rsid w:val="00D043E1"/>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AE6"/>
    <w:rsid w:val="00D32E9E"/>
    <w:rsid w:val="00D332EF"/>
    <w:rsid w:val="00D339DD"/>
    <w:rsid w:val="00D33EF3"/>
    <w:rsid w:val="00D34185"/>
    <w:rsid w:val="00D34592"/>
    <w:rsid w:val="00D3475D"/>
    <w:rsid w:val="00D350AD"/>
    <w:rsid w:val="00D353A2"/>
    <w:rsid w:val="00D3570B"/>
    <w:rsid w:val="00D35C89"/>
    <w:rsid w:val="00D35DD2"/>
    <w:rsid w:val="00D35F88"/>
    <w:rsid w:val="00D36148"/>
    <w:rsid w:val="00D3628E"/>
    <w:rsid w:val="00D368D3"/>
    <w:rsid w:val="00D371DB"/>
    <w:rsid w:val="00D376A3"/>
    <w:rsid w:val="00D37CB3"/>
    <w:rsid w:val="00D40708"/>
    <w:rsid w:val="00D40EA1"/>
    <w:rsid w:val="00D41BC1"/>
    <w:rsid w:val="00D41F90"/>
    <w:rsid w:val="00D42493"/>
    <w:rsid w:val="00D42BC1"/>
    <w:rsid w:val="00D42D60"/>
    <w:rsid w:val="00D42FC7"/>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57E2"/>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64A"/>
    <w:rsid w:val="00D81B6E"/>
    <w:rsid w:val="00D81E35"/>
    <w:rsid w:val="00D822EC"/>
    <w:rsid w:val="00D822F5"/>
    <w:rsid w:val="00D8252C"/>
    <w:rsid w:val="00D8287E"/>
    <w:rsid w:val="00D84C5A"/>
    <w:rsid w:val="00D84C76"/>
    <w:rsid w:val="00D85489"/>
    <w:rsid w:val="00D85B15"/>
    <w:rsid w:val="00D9089D"/>
    <w:rsid w:val="00D913A2"/>
    <w:rsid w:val="00D916D4"/>
    <w:rsid w:val="00D92836"/>
    <w:rsid w:val="00D93BAC"/>
    <w:rsid w:val="00D95240"/>
    <w:rsid w:val="00D957E4"/>
    <w:rsid w:val="00D96A83"/>
    <w:rsid w:val="00D96F9B"/>
    <w:rsid w:val="00D9763A"/>
    <w:rsid w:val="00D9789F"/>
    <w:rsid w:val="00D979E2"/>
    <w:rsid w:val="00D97C15"/>
    <w:rsid w:val="00D97EBB"/>
    <w:rsid w:val="00DA05B4"/>
    <w:rsid w:val="00DA0AC9"/>
    <w:rsid w:val="00DA0D97"/>
    <w:rsid w:val="00DA1855"/>
    <w:rsid w:val="00DA187D"/>
    <w:rsid w:val="00DA26C5"/>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DE9"/>
    <w:rsid w:val="00DB7E69"/>
    <w:rsid w:val="00DC06F6"/>
    <w:rsid w:val="00DC0828"/>
    <w:rsid w:val="00DC0B16"/>
    <w:rsid w:val="00DC0B86"/>
    <w:rsid w:val="00DC0D45"/>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443"/>
    <w:rsid w:val="00DE0570"/>
    <w:rsid w:val="00DE067D"/>
    <w:rsid w:val="00DE0A84"/>
    <w:rsid w:val="00DE11F3"/>
    <w:rsid w:val="00DE149C"/>
    <w:rsid w:val="00DE1DBB"/>
    <w:rsid w:val="00DE25F7"/>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4AB"/>
    <w:rsid w:val="00E005FD"/>
    <w:rsid w:val="00E00DDA"/>
    <w:rsid w:val="00E01192"/>
    <w:rsid w:val="00E0122B"/>
    <w:rsid w:val="00E0171A"/>
    <w:rsid w:val="00E01C89"/>
    <w:rsid w:val="00E01E88"/>
    <w:rsid w:val="00E0229A"/>
    <w:rsid w:val="00E03677"/>
    <w:rsid w:val="00E03873"/>
    <w:rsid w:val="00E03E5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859"/>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1E66"/>
    <w:rsid w:val="00E6231D"/>
    <w:rsid w:val="00E62325"/>
    <w:rsid w:val="00E631D0"/>
    <w:rsid w:val="00E63A73"/>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2D24"/>
    <w:rsid w:val="00E7338F"/>
    <w:rsid w:val="00E733B6"/>
    <w:rsid w:val="00E73F11"/>
    <w:rsid w:val="00E74F4C"/>
    <w:rsid w:val="00E7539E"/>
    <w:rsid w:val="00E75489"/>
    <w:rsid w:val="00E759C5"/>
    <w:rsid w:val="00E75CD0"/>
    <w:rsid w:val="00E767E6"/>
    <w:rsid w:val="00E76EFE"/>
    <w:rsid w:val="00E7750D"/>
    <w:rsid w:val="00E7761C"/>
    <w:rsid w:val="00E77A3E"/>
    <w:rsid w:val="00E77CFB"/>
    <w:rsid w:val="00E8039F"/>
    <w:rsid w:val="00E804A5"/>
    <w:rsid w:val="00E80A00"/>
    <w:rsid w:val="00E8180A"/>
    <w:rsid w:val="00E82C10"/>
    <w:rsid w:val="00E82E62"/>
    <w:rsid w:val="00E8333B"/>
    <w:rsid w:val="00E83AF6"/>
    <w:rsid w:val="00E84040"/>
    <w:rsid w:val="00E846BC"/>
    <w:rsid w:val="00E84738"/>
    <w:rsid w:val="00E85229"/>
    <w:rsid w:val="00E853CC"/>
    <w:rsid w:val="00E85DDA"/>
    <w:rsid w:val="00E86380"/>
    <w:rsid w:val="00E86615"/>
    <w:rsid w:val="00E86E18"/>
    <w:rsid w:val="00E87A02"/>
    <w:rsid w:val="00E901F1"/>
    <w:rsid w:val="00E9083A"/>
    <w:rsid w:val="00E90B31"/>
    <w:rsid w:val="00E90C01"/>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2180"/>
    <w:rsid w:val="00EE2A31"/>
    <w:rsid w:val="00EE334F"/>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C35"/>
    <w:rsid w:val="00F27F57"/>
    <w:rsid w:val="00F30131"/>
    <w:rsid w:val="00F30194"/>
    <w:rsid w:val="00F30B1F"/>
    <w:rsid w:val="00F311BE"/>
    <w:rsid w:val="00F31200"/>
    <w:rsid w:val="00F314B9"/>
    <w:rsid w:val="00F31B72"/>
    <w:rsid w:val="00F334A3"/>
    <w:rsid w:val="00F34002"/>
    <w:rsid w:val="00F34EBD"/>
    <w:rsid w:val="00F35604"/>
    <w:rsid w:val="00F35BA4"/>
    <w:rsid w:val="00F3607C"/>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1BAB"/>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1C3D"/>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5"/>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B4C"/>
    <w:rsid w:val="00FE7E54"/>
    <w:rsid w:val="00FF0041"/>
    <w:rsid w:val="00FF0B30"/>
    <w:rsid w:val="00FF0E23"/>
    <w:rsid w:val="00FF12E8"/>
    <w:rsid w:val="00FF1CCC"/>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45675-64FD-488A-B89E-19EC311D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fa.bg/uploads/files/Karieri/konkursi/konspekt-stajant-atasheta.pdf" TargetMode="External"/><Relationship Id="rId18" Type="http://schemas.openxmlformats.org/officeDocument/2006/relationships/hyperlink" Target="http://www.fao.org/employment/opportunities-for-young-talents/internship-programme/en/" TargetMode="External"/><Relationship Id="rId26" Type="http://schemas.openxmlformats.org/officeDocument/2006/relationships/hyperlink" Target="http://tysp.cstec.org.cn/" TargetMode="External"/><Relationship Id="rId39" Type="http://schemas.openxmlformats.org/officeDocument/2006/relationships/hyperlink" Target="http://www.biostec.org/" TargetMode="External"/><Relationship Id="rId21" Type="http://schemas.openxmlformats.org/officeDocument/2006/relationships/hyperlink" Target="mailto:team@vizia.sofia.bg" TargetMode="External"/><Relationship Id="rId34" Type="http://schemas.openxmlformats.org/officeDocument/2006/relationships/footer" Target="footer3.xml"/><Relationship Id="rId42" Type="http://schemas.openxmlformats.org/officeDocument/2006/relationships/hyperlink" Target="http://www.visigrapp.org/" TargetMode="External"/><Relationship Id="rId47" Type="http://schemas.openxmlformats.org/officeDocument/2006/relationships/image" Target="media/image3.jpeg"/><Relationship Id="rId50" Type="http://schemas.openxmlformats.org/officeDocument/2006/relationships/hyperlink" Target="http://www.cabi.org/cabebooks/ebook/20173265430" TargetMode="External"/><Relationship Id="rId55" Type="http://schemas.openxmlformats.org/officeDocument/2006/relationships/hyperlink" Target="http://www.cost.eu/COST_Actions/mpns/MP1106" TargetMode="External"/><Relationship Id="rId63"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nicreditbulbank.bg/bg/index.htm" TargetMode="External"/><Relationship Id="rId20" Type="http://schemas.openxmlformats.org/officeDocument/2006/relationships/hyperlink" Target="http://praktiki.mon.bg/sp/" TargetMode="External"/><Relationship Id="rId29" Type="http://schemas.openxmlformats.org/officeDocument/2006/relationships/hyperlink" Target="mailto:fni-konkursi@mon.bg" TargetMode="External"/><Relationship Id="rId41" Type="http://schemas.openxmlformats.org/officeDocument/2006/relationships/hyperlink" Target="http://www.icores.org/" TargetMode="External"/><Relationship Id="rId54" Type="http://schemas.openxmlformats.org/officeDocument/2006/relationships/hyperlink" Target="https://ebooks.benthamscience.com/book/9781681084985/" TargetMode="External"/><Relationship Id="rId62" Type="http://schemas.openxmlformats.org/officeDocument/2006/relationships/hyperlink" Target="https://bookshop.europa.eu/en/assessing-the-potential-for-crowdfunding-and-other-forms-of-alternative-finance-to-support-research-and-innovation-pbKI0116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yhost-stipendiensystem.uni-regensburg.de/jahresstipendium" TargetMode="External"/><Relationship Id="rId24" Type="http://schemas.openxmlformats.org/officeDocument/2006/relationships/hyperlink" Target="http://www.studentnagodinata.eu/" TargetMode="External"/><Relationship Id="rId32" Type="http://schemas.openxmlformats.org/officeDocument/2006/relationships/hyperlink" Target="mailto:fni-konkursi@mon.bg" TargetMode="External"/><Relationship Id="rId37" Type="http://schemas.openxmlformats.org/officeDocument/2006/relationships/hyperlink" Target="http://www.icaart.org/" TargetMode="External"/><Relationship Id="rId40" Type="http://schemas.openxmlformats.org/officeDocument/2006/relationships/hyperlink" Target="http://www.modelsward.org/" TargetMode="External"/><Relationship Id="rId45" Type="http://schemas.openxmlformats.org/officeDocument/2006/relationships/image" Target="media/image2.jpeg"/><Relationship Id="rId53" Type="http://schemas.openxmlformats.org/officeDocument/2006/relationships/image" Target="media/image6.jpeg"/><Relationship Id="rId58" Type="http://schemas.openxmlformats.org/officeDocument/2006/relationships/hyperlink" Target="http://www.cost.eu/module/download/61548" TargetMode="External"/><Relationship Id="rId5" Type="http://schemas.openxmlformats.org/officeDocument/2006/relationships/settings" Target="settings.xml"/><Relationship Id="rId15" Type="http://schemas.openxmlformats.org/officeDocument/2006/relationships/hyperlink" Target="https://erecruitment.wto.org/public/hrd-cl-vac-view.asp?jobinfo_uid_c=3475&amp;vaclng=en" TargetMode="External"/><Relationship Id="rId23" Type="http://schemas.openxmlformats.org/officeDocument/2006/relationships/hyperlink" Target="mailto:irinatsvetkova@dfbulgaria.org" TargetMode="External"/><Relationship Id="rId28" Type="http://schemas.openxmlformats.org/officeDocument/2006/relationships/hyperlink" Target="https://www.fni.bg/sites/default/files/obqvi/9_2016/Prozedura_2016_conferences2016-9.pdf" TargetMode="External"/><Relationship Id="rId36" Type="http://schemas.openxmlformats.org/officeDocument/2006/relationships/hyperlink" Target="http://lipids.conferenceseries.com/" TargetMode="External"/><Relationship Id="rId49" Type="http://schemas.openxmlformats.org/officeDocument/2006/relationships/image" Target="media/image4.jpeg"/><Relationship Id="rId57" Type="http://schemas.openxmlformats.org/officeDocument/2006/relationships/image" Target="media/image7.jpeg"/><Relationship Id="rId61"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hyperlink" Target="http://www.nurembergacademy.org/about-us/job-offers/detail/3-months-internship-14/" TargetMode="External"/><Relationship Id="rId31" Type="http://schemas.openxmlformats.org/officeDocument/2006/relationships/hyperlink" Target="https://www.fni.bg/sites/default/files/competition/10_2016/Procedura_COST_nac_finansirane%E2%80%9329012016.pdf" TargetMode="External"/><Relationship Id="rId44" Type="http://schemas.openxmlformats.org/officeDocument/2006/relationships/footer" Target="footer4.xml"/><Relationship Id="rId52" Type="http://schemas.openxmlformats.org/officeDocument/2006/relationships/hyperlink" Target="http://cerncourier.com/cws/Pages/digital-edition.do" TargetMode="External"/><Relationship Id="rId60" Type="http://schemas.openxmlformats.org/officeDocument/2006/relationships/hyperlink" Target="https://bookshop.europa.eu/en/assessing-the-potential-for-crowdfunding-and-other-forms-of-alternative-finance-to-support-research-and-innovation-pbKI0116636/"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www.dnevnik.bg/sviat/2017/08/31/3033832_vunshnoto_ministerstvo_tursi_stajant-atasheta_za_da_gi/" TargetMode="External"/><Relationship Id="rId22" Type="http://schemas.openxmlformats.org/officeDocument/2006/relationships/hyperlink" Target="https://www.rinkercenter.org/bg/bacb-predizvikatelstvo.html" TargetMode="External"/><Relationship Id="rId27" Type="http://schemas.openxmlformats.org/officeDocument/2006/relationships/hyperlink" Target="mailto:tysp@cstec.org.cn" TargetMode="External"/><Relationship Id="rId30" Type="http://schemas.openxmlformats.org/officeDocument/2006/relationships/hyperlink" Target="https://www.fni.bg/sites/default/files/obqvi/9_2016/Forumi_Otgovori-18092016.pdf" TargetMode="External"/><Relationship Id="rId35" Type="http://schemas.openxmlformats.org/officeDocument/2006/relationships/hyperlink" Target="http://sdiwc.net/conferences/3rd-international-computing-technology-information-management/" TargetMode="External"/><Relationship Id="rId43" Type="http://schemas.openxmlformats.org/officeDocument/2006/relationships/hyperlink" Target="https://www.eutrainingsite.com/training-courses/138/horizon-2020-project-management-and-financial-reporting" TargetMode="External"/><Relationship Id="rId48" Type="http://schemas.openxmlformats.org/officeDocument/2006/relationships/hyperlink" Target="http://www.cost.eu/module/download/62629" TargetMode="External"/><Relationship Id="rId56" Type="http://schemas.openxmlformats.org/officeDocument/2006/relationships/hyperlink" Target="http://www.cost.eu/COST_Actions/mpns/MP1106"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5.jpeg"/><Relationship Id="rId3" Type="http://schemas.openxmlformats.org/officeDocument/2006/relationships/numbering" Target="numbering.xml"/><Relationship Id="rId12" Type="http://schemas.openxmlformats.org/officeDocument/2006/relationships/hyperlink" Target="http://www.uni-regensburg.de/bayhost/stipendien/incoming/index.html" TargetMode="External"/><Relationship Id="rId17" Type="http://schemas.openxmlformats.org/officeDocument/2006/relationships/hyperlink" Target="mailto:internship@unicreditgroup.bg" TargetMode="External"/><Relationship Id="rId25" Type="http://schemas.openxmlformats.org/officeDocument/2006/relationships/footer" Target="footer2.xml"/><Relationship Id="rId33" Type="http://schemas.openxmlformats.org/officeDocument/2006/relationships/hyperlink" Target="http://ec.europa.eu/research/participants/portal/desktop/en/opportunities/h2020/" TargetMode="External"/><Relationship Id="rId38" Type="http://schemas.openxmlformats.org/officeDocument/2006/relationships/hyperlink" Target="http://www.icpram.org/" TargetMode="External"/><Relationship Id="rId46" Type="http://schemas.openxmlformats.org/officeDocument/2006/relationships/hyperlink" Target="https://publications.europa.eu/portal2012-portlet/html/downloadHandler.jsp?identifier=9977a735-a976-11e7-837e-01aa75ed71a1&amp;format=PDF&amp;language=en&amp;productionSystem=cellar" TargetMode="External"/><Relationship Id="rId59" Type="http://schemas.openxmlformats.org/officeDocument/2006/relationships/hyperlink" Target="http://www.cost.eu/service/glossary/COST-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НОЕМВРИ,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F6311-5E83-4441-BAC1-6EF2ACEEB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5543</Words>
  <Characters>31599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2017-11-09T21:07:00Z</dcterms:created>
  <dcterms:modified xsi:type="dcterms:W3CDTF">2017-11-09T21:07:00Z</dcterms:modified>
</cp:coreProperties>
</file>