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5C086E" w:rsidP="00423D89">
          <w:pPr>
            <w:jc w:val="left"/>
            <w:rPr>
              <w:b/>
              <w:color w:val="FF0000"/>
              <w:lang w:val="en-US"/>
            </w:rPr>
          </w:pPr>
          <w:r>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872C2" w:rsidRPr="00015B3F" w:rsidRDefault="006872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6872C2" w:rsidRPr="00015B3F" w:rsidRDefault="006872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872C2" w:rsidRPr="00015B3F" w:rsidRDefault="006872C2">
                                  <w:pPr>
                                    <w:pStyle w:val="NoSpacing"/>
                                    <w:spacing w:line="360" w:lineRule="auto"/>
                                    <w:rPr>
                                      <w:color w:val="FFFFFF" w:themeColor="background1"/>
                                      <w:sz w:val="28"/>
                                      <w:szCs w:val="28"/>
                                    </w:rPr>
                                  </w:pPr>
                                </w:p>
                                <w:p w:rsidR="006872C2" w:rsidRPr="00015B3F" w:rsidRDefault="006872C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6872C2" w:rsidRPr="00D00941" w:rsidRDefault="006872C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872C2" w:rsidRPr="00015B3F" w:rsidRDefault="006872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6872C2" w:rsidRPr="00015B3F" w:rsidRDefault="006872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872C2" w:rsidRPr="00015B3F" w:rsidRDefault="006872C2">
                            <w:pPr>
                              <w:pStyle w:val="NoSpacing"/>
                              <w:spacing w:line="360" w:lineRule="auto"/>
                              <w:rPr>
                                <w:color w:val="FFFFFF" w:themeColor="background1"/>
                                <w:sz w:val="28"/>
                                <w:szCs w:val="28"/>
                              </w:rPr>
                            </w:pPr>
                          </w:p>
                          <w:p w:rsidR="006872C2" w:rsidRPr="00015B3F" w:rsidRDefault="006872C2">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6872C2" w:rsidRPr="00D00941" w:rsidRDefault="006872C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A554DC"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563EB1"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29797559" w:history="1">
            <w:r w:rsidR="00563EB1" w:rsidRPr="00F77D52">
              <w:rPr>
                <w:rStyle w:val="Hyperlink"/>
                <w:rFonts w:cs="Times New Roman"/>
                <w:noProof/>
              </w:rPr>
              <w:t>КОНКУРСИ, СТИПЕНДИИ, СТАЖОВЕ</w:t>
            </w:r>
            <w:r w:rsidR="00563EB1">
              <w:rPr>
                <w:noProof/>
                <w:webHidden/>
              </w:rPr>
              <w:tab/>
            </w:r>
            <w:r w:rsidR="00563EB1">
              <w:rPr>
                <w:noProof/>
                <w:webHidden/>
              </w:rPr>
              <w:fldChar w:fldCharType="begin"/>
            </w:r>
            <w:r w:rsidR="00563EB1">
              <w:rPr>
                <w:noProof/>
                <w:webHidden/>
              </w:rPr>
              <w:instrText xml:space="preserve"> PAGEREF _Toc529797559 \h </w:instrText>
            </w:r>
            <w:r w:rsidR="00563EB1">
              <w:rPr>
                <w:noProof/>
                <w:webHidden/>
              </w:rPr>
            </w:r>
            <w:r w:rsidR="00563EB1">
              <w:rPr>
                <w:noProof/>
                <w:webHidden/>
              </w:rPr>
              <w:fldChar w:fldCharType="separate"/>
            </w:r>
            <w:r w:rsidR="00563EB1">
              <w:rPr>
                <w:noProof/>
                <w:webHidden/>
              </w:rPr>
              <w:t>3</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0"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Ritchie-Jennings Memorial Scholarship Program</w:t>
            </w:r>
            <w:r w:rsidR="00563EB1">
              <w:rPr>
                <w:noProof/>
                <w:webHidden/>
              </w:rPr>
              <w:tab/>
            </w:r>
            <w:r w:rsidR="00563EB1">
              <w:rPr>
                <w:noProof/>
                <w:webHidden/>
              </w:rPr>
              <w:fldChar w:fldCharType="begin"/>
            </w:r>
            <w:r w:rsidR="00563EB1">
              <w:rPr>
                <w:noProof/>
                <w:webHidden/>
              </w:rPr>
              <w:instrText xml:space="preserve"> PAGEREF _Toc529797560 \h </w:instrText>
            </w:r>
            <w:r w:rsidR="00563EB1">
              <w:rPr>
                <w:noProof/>
                <w:webHidden/>
              </w:rPr>
            </w:r>
            <w:r w:rsidR="00563EB1">
              <w:rPr>
                <w:noProof/>
                <w:webHidden/>
              </w:rPr>
              <w:fldChar w:fldCharType="separate"/>
            </w:r>
            <w:r w:rsidR="00563EB1">
              <w:rPr>
                <w:noProof/>
                <w:webHidden/>
              </w:rPr>
              <w:t>3</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1"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Стипендии на Немската федерална фондация за околна среда</w:t>
            </w:r>
            <w:r w:rsidR="00563EB1">
              <w:rPr>
                <w:noProof/>
                <w:webHidden/>
              </w:rPr>
              <w:tab/>
            </w:r>
            <w:r w:rsidR="00563EB1">
              <w:rPr>
                <w:noProof/>
                <w:webHidden/>
              </w:rPr>
              <w:fldChar w:fldCharType="begin"/>
            </w:r>
            <w:r w:rsidR="00563EB1">
              <w:rPr>
                <w:noProof/>
                <w:webHidden/>
              </w:rPr>
              <w:instrText xml:space="preserve"> PAGEREF _Toc529797561 \h </w:instrText>
            </w:r>
            <w:r w:rsidR="00563EB1">
              <w:rPr>
                <w:noProof/>
                <w:webHidden/>
              </w:rPr>
            </w:r>
            <w:r w:rsidR="00563EB1">
              <w:rPr>
                <w:noProof/>
                <w:webHidden/>
              </w:rPr>
              <w:fldChar w:fldCharType="separate"/>
            </w:r>
            <w:r w:rsidR="00563EB1">
              <w:rPr>
                <w:noProof/>
                <w:webHidden/>
              </w:rPr>
              <w:t>4</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2"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Корейски Стипендии за магистърска и докторска степен през 2019 г.</w:t>
            </w:r>
            <w:r w:rsidR="00563EB1">
              <w:rPr>
                <w:noProof/>
                <w:webHidden/>
              </w:rPr>
              <w:tab/>
            </w:r>
            <w:r w:rsidR="00563EB1">
              <w:rPr>
                <w:noProof/>
                <w:webHidden/>
              </w:rPr>
              <w:fldChar w:fldCharType="begin"/>
            </w:r>
            <w:r w:rsidR="00563EB1">
              <w:rPr>
                <w:noProof/>
                <w:webHidden/>
              </w:rPr>
              <w:instrText xml:space="preserve"> PAGEREF _Toc529797562 \h </w:instrText>
            </w:r>
            <w:r w:rsidR="00563EB1">
              <w:rPr>
                <w:noProof/>
                <w:webHidden/>
              </w:rPr>
            </w:r>
            <w:r w:rsidR="00563EB1">
              <w:rPr>
                <w:noProof/>
                <w:webHidden/>
              </w:rPr>
              <w:fldChar w:fldCharType="separate"/>
            </w:r>
            <w:r w:rsidR="00563EB1">
              <w:rPr>
                <w:noProof/>
                <w:webHidden/>
              </w:rPr>
              <w:t>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3" w:history="1">
            <w:r w:rsidR="00563EB1" w:rsidRPr="00F77D52">
              <w:rPr>
                <w:rStyle w:val="Hyperlink"/>
                <w:rFonts w:ascii="Wingdings" w:hAnsi="Wingdings"/>
                <w:noProof/>
                <w:lang w:val="ru-RU"/>
              </w:rPr>
              <w:t></w:t>
            </w:r>
            <w:r w:rsidR="00563EB1">
              <w:rPr>
                <w:rFonts w:asciiTheme="minorHAnsi" w:eastAsiaTheme="minorEastAsia" w:hAnsiTheme="minorHAnsi"/>
                <w:noProof/>
                <w:lang w:eastAsia="bg-BG"/>
              </w:rPr>
              <w:tab/>
            </w:r>
            <w:r w:rsidR="00563EB1" w:rsidRPr="00F77D52">
              <w:rPr>
                <w:rStyle w:val="Hyperlink"/>
                <w:noProof/>
              </w:rPr>
              <w:t>Платен стаж в Световната търговска организация</w:t>
            </w:r>
            <w:r w:rsidR="00563EB1">
              <w:rPr>
                <w:noProof/>
                <w:webHidden/>
              </w:rPr>
              <w:tab/>
            </w:r>
            <w:r w:rsidR="00563EB1">
              <w:rPr>
                <w:noProof/>
                <w:webHidden/>
              </w:rPr>
              <w:fldChar w:fldCharType="begin"/>
            </w:r>
            <w:r w:rsidR="00563EB1">
              <w:rPr>
                <w:noProof/>
                <w:webHidden/>
              </w:rPr>
              <w:instrText xml:space="preserve"> PAGEREF _Toc529797563 \h </w:instrText>
            </w:r>
            <w:r w:rsidR="00563EB1">
              <w:rPr>
                <w:noProof/>
                <w:webHidden/>
              </w:rPr>
            </w:r>
            <w:r w:rsidR="00563EB1">
              <w:rPr>
                <w:noProof/>
                <w:webHidden/>
              </w:rPr>
              <w:fldChar w:fldCharType="separate"/>
            </w:r>
            <w:r w:rsidR="00563EB1">
              <w:rPr>
                <w:noProof/>
                <w:webHidden/>
              </w:rPr>
              <w:t>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4"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Стажантска програма на УниКредит Булбанк</w:t>
            </w:r>
            <w:r w:rsidR="00563EB1">
              <w:rPr>
                <w:noProof/>
                <w:webHidden/>
              </w:rPr>
              <w:tab/>
            </w:r>
            <w:r w:rsidR="00563EB1">
              <w:rPr>
                <w:noProof/>
                <w:webHidden/>
              </w:rPr>
              <w:fldChar w:fldCharType="begin"/>
            </w:r>
            <w:r w:rsidR="00563EB1">
              <w:rPr>
                <w:noProof/>
                <w:webHidden/>
              </w:rPr>
              <w:instrText xml:space="preserve"> PAGEREF _Toc529797564 \h </w:instrText>
            </w:r>
            <w:r w:rsidR="00563EB1">
              <w:rPr>
                <w:noProof/>
                <w:webHidden/>
              </w:rPr>
            </w:r>
            <w:r w:rsidR="00563EB1">
              <w:rPr>
                <w:noProof/>
                <w:webHidden/>
              </w:rPr>
              <w:fldChar w:fldCharType="separate"/>
            </w:r>
            <w:r w:rsidR="00563EB1">
              <w:rPr>
                <w:noProof/>
                <w:webHidden/>
              </w:rPr>
              <w:t>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5"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Стаж в Организацията по прехрана и земеделие (FAO) към ООН</w:t>
            </w:r>
            <w:r w:rsidR="00563EB1">
              <w:rPr>
                <w:noProof/>
                <w:webHidden/>
              </w:rPr>
              <w:tab/>
            </w:r>
            <w:r w:rsidR="00563EB1">
              <w:rPr>
                <w:noProof/>
                <w:webHidden/>
              </w:rPr>
              <w:fldChar w:fldCharType="begin"/>
            </w:r>
            <w:r w:rsidR="00563EB1">
              <w:rPr>
                <w:noProof/>
                <w:webHidden/>
              </w:rPr>
              <w:instrText xml:space="preserve"> PAGEREF _Toc529797565 \h </w:instrText>
            </w:r>
            <w:r w:rsidR="00563EB1">
              <w:rPr>
                <w:noProof/>
                <w:webHidden/>
              </w:rPr>
            </w:r>
            <w:r w:rsidR="00563EB1">
              <w:rPr>
                <w:noProof/>
                <w:webHidden/>
              </w:rPr>
              <w:fldChar w:fldCharType="separate"/>
            </w:r>
            <w:r w:rsidR="00563EB1">
              <w:rPr>
                <w:noProof/>
                <w:webHidden/>
              </w:rPr>
              <w:t>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6"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Стажове в Международната академия на нюрнбергските принципи</w:t>
            </w:r>
            <w:r w:rsidR="00563EB1">
              <w:rPr>
                <w:noProof/>
                <w:webHidden/>
              </w:rPr>
              <w:tab/>
            </w:r>
            <w:r w:rsidR="00563EB1">
              <w:rPr>
                <w:noProof/>
                <w:webHidden/>
              </w:rPr>
              <w:fldChar w:fldCharType="begin"/>
            </w:r>
            <w:r w:rsidR="00563EB1">
              <w:rPr>
                <w:noProof/>
                <w:webHidden/>
              </w:rPr>
              <w:instrText xml:space="preserve"> PAGEREF _Toc529797566 \h </w:instrText>
            </w:r>
            <w:r w:rsidR="00563EB1">
              <w:rPr>
                <w:noProof/>
                <w:webHidden/>
              </w:rPr>
            </w:r>
            <w:r w:rsidR="00563EB1">
              <w:rPr>
                <w:noProof/>
                <w:webHidden/>
              </w:rPr>
              <w:fldChar w:fldCharType="separate"/>
            </w:r>
            <w:r w:rsidR="00563EB1">
              <w:rPr>
                <w:noProof/>
                <w:webHidden/>
              </w:rPr>
              <w:t>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7"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Стаж за юристи</w:t>
            </w:r>
            <w:r w:rsidR="00563EB1">
              <w:rPr>
                <w:noProof/>
                <w:webHidden/>
              </w:rPr>
              <w:tab/>
            </w:r>
            <w:r w:rsidR="00563EB1">
              <w:rPr>
                <w:noProof/>
                <w:webHidden/>
              </w:rPr>
              <w:fldChar w:fldCharType="begin"/>
            </w:r>
            <w:r w:rsidR="00563EB1">
              <w:rPr>
                <w:noProof/>
                <w:webHidden/>
              </w:rPr>
              <w:instrText xml:space="preserve"> PAGEREF _Toc529797567 \h </w:instrText>
            </w:r>
            <w:r w:rsidR="00563EB1">
              <w:rPr>
                <w:noProof/>
                <w:webHidden/>
              </w:rPr>
            </w:r>
            <w:r w:rsidR="00563EB1">
              <w:rPr>
                <w:noProof/>
                <w:webHidden/>
              </w:rPr>
              <w:fldChar w:fldCharType="separate"/>
            </w:r>
            <w:r w:rsidR="00563EB1">
              <w:rPr>
                <w:noProof/>
                <w:webHidden/>
              </w:rPr>
              <w:t>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8"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Стаж в "Хюлет Пакард" - България</w:t>
            </w:r>
            <w:r w:rsidR="00563EB1">
              <w:rPr>
                <w:noProof/>
                <w:webHidden/>
              </w:rPr>
              <w:tab/>
            </w:r>
            <w:r w:rsidR="00563EB1">
              <w:rPr>
                <w:noProof/>
                <w:webHidden/>
              </w:rPr>
              <w:fldChar w:fldCharType="begin"/>
            </w:r>
            <w:r w:rsidR="00563EB1">
              <w:rPr>
                <w:noProof/>
                <w:webHidden/>
              </w:rPr>
              <w:instrText xml:space="preserve"> PAGEREF _Toc529797568 \h </w:instrText>
            </w:r>
            <w:r w:rsidR="00563EB1">
              <w:rPr>
                <w:noProof/>
                <w:webHidden/>
              </w:rPr>
            </w:r>
            <w:r w:rsidR="00563EB1">
              <w:rPr>
                <w:noProof/>
                <w:webHidden/>
              </w:rPr>
              <w:fldChar w:fldCharType="separate"/>
            </w:r>
            <w:r w:rsidR="00563EB1">
              <w:rPr>
                <w:noProof/>
                <w:webHidden/>
              </w:rPr>
              <w:t>7</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69"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Национална награда "Студент на годината"</w:t>
            </w:r>
            <w:r w:rsidR="00563EB1">
              <w:rPr>
                <w:noProof/>
                <w:webHidden/>
              </w:rPr>
              <w:tab/>
            </w:r>
            <w:r w:rsidR="00563EB1">
              <w:rPr>
                <w:noProof/>
                <w:webHidden/>
              </w:rPr>
              <w:fldChar w:fldCharType="begin"/>
            </w:r>
            <w:r w:rsidR="00563EB1">
              <w:rPr>
                <w:noProof/>
                <w:webHidden/>
              </w:rPr>
              <w:instrText xml:space="preserve"> PAGEREF _Toc529797569 \h </w:instrText>
            </w:r>
            <w:r w:rsidR="00563EB1">
              <w:rPr>
                <w:noProof/>
                <w:webHidden/>
              </w:rPr>
            </w:r>
            <w:r w:rsidR="00563EB1">
              <w:rPr>
                <w:noProof/>
                <w:webHidden/>
              </w:rPr>
              <w:fldChar w:fldCharType="separate"/>
            </w:r>
            <w:r w:rsidR="00563EB1">
              <w:rPr>
                <w:noProof/>
                <w:webHidden/>
              </w:rPr>
              <w:t>7</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0"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Конкурс за прием в програми на „Телерик академия”</w:t>
            </w:r>
            <w:r w:rsidR="00563EB1">
              <w:rPr>
                <w:noProof/>
                <w:webHidden/>
              </w:rPr>
              <w:tab/>
            </w:r>
            <w:r w:rsidR="00563EB1">
              <w:rPr>
                <w:noProof/>
                <w:webHidden/>
              </w:rPr>
              <w:fldChar w:fldCharType="begin"/>
            </w:r>
            <w:r w:rsidR="00563EB1">
              <w:rPr>
                <w:noProof/>
                <w:webHidden/>
              </w:rPr>
              <w:instrText xml:space="preserve"> PAGEREF _Toc529797570 \h </w:instrText>
            </w:r>
            <w:r w:rsidR="00563EB1">
              <w:rPr>
                <w:noProof/>
                <w:webHidden/>
              </w:rPr>
            </w:r>
            <w:r w:rsidR="00563EB1">
              <w:rPr>
                <w:noProof/>
                <w:webHidden/>
              </w:rPr>
              <w:fldChar w:fldCharType="separate"/>
            </w:r>
            <w:r w:rsidR="00563EB1">
              <w:rPr>
                <w:noProof/>
                <w:webHidden/>
              </w:rPr>
              <w:t>8</w:t>
            </w:r>
            <w:r w:rsidR="00563EB1">
              <w:rPr>
                <w:noProof/>
                <w:webHidden/>
              </w:rPr>
              <w:fldChar w:fldCharType="end"/>
            </w:r>
          </w:hyperlink>
        </w:p>
        <w:p w:rsidR="00563EB1" w:rsidRDefault="00A554DC">
          <w:pPr>
            <w:pStyle w:val="TOC1"/>
            <w:tabs>
              <w:tab w:val="right" w:leader="dot" w:pos="9062"/>
            </w:tabs>
            <w:rPr>
              <w:rFonts w:asciiTheme="minorHAnsi" w:eastAsiaTheme="minorEastAsia" w:hAnsiTheme="minorHAnsi"/>
              <w:noProof/>
              <w:lang w:eastAsia="bg-BG"/>
            </w:rPr>
          </w:pPr>
          <w:hyperlink w:anchor="_Toc529797571" w:history="1">
            <w:r w:rsidR="00563EB1" w:rsidRPr="00F77D52">
              <w:rPr>
                <w:rStyle w:val="Hyperlink"/>
                <w:noProof/>
              </w:rPr>
              <w:t>ПРОГРАМИ</w:t>
            </w:r>
            <w:r w:rsidR="00563EB1">
              <w:rPr>
                <w:noProof/>
                <w:webHidden/>
              </w:rPr>
              <w:tab/>
            </w:r>
            <w:r w:rsidR="00563EB1">
              <w:rPr>
                <w:noProof/>
                <w:webHidden/>
              </w:rPr>
              <w:fldChar w:fldCharType="begin"/>
            </w:r>
            <w:r w:rsidR="00563EB1">
              <w:rPr>
                <w:noProof/>
                <w:webHidden/>
              </w:rPr>
              <w:instrText xml:space="preserve"> PAGEREF _Toc529797571 \h </w:instrText>
            </w:r>
            <w:r w:rsidR="00563EB1">
              <w:rPr>
                <w:noProof/>
                <w:webHidden/>
              </w:rPr>
            </w:r>
            <w:r w:rsidR="00563EB1">
              <w:rPr>
                <w:noProof/>
                <w:webHidden/>
              </w:rPr>
              <w:fldChar w:fldCharType="separate"/>
            </w:r>
            <w:r w:rsidR="00563EB1">
              <w:rPr>
                <w:noProof/>
                <w:webHidden/>
              </w:rPr>
              <w:t>9</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2"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lang w:val="ru-RU"/>
              </w:rPr>
              <w:t>К</w:t>
            </w:r>
            <w:r w:rsidR="00563EB1" w:rsidRPr="00F77D52">
              <w:rPr>
                <w:rStyle w:val="Hyperlink"/>
                <w:noProof/>
              </w:rPr>
              <w:t>онкурс за проекти по програми за двустранно сътрудничество 2018 г. – България – Индия</w:t>
            </w:r>
            <w:r w:rsidR="00563EB1">
              <w:rPr>
                <w:noProof/>
                <w:webHidden/>
              </w:rPr>
              <w:tab/>
            </w:r>
            <w:r w:rsidR="00563EB1">
              <w:rPr>
                <w:noProof/>
                <w:webHidden/>
              </w:rPr>
              <w:fldChar w:fldCharType="begin"/>
            </w:r>
            <w:r w:rsidR="00563EB1">
              <w:rPr>
                <w:noProof/>
                <w:webHidden/>
              </w:rPr>
              <w:instrText xml:space="preserve"> PAGEREF _Toc529797572 \h </w:instrText>
            </w:r>
            <w:r w:rsidR="00563EB1">
              <w:rPr>
                <w:noProof/>
                <w:webHidden/>
              </w:rPr>
            </w:r>
            <w:r w:rsidR="00563EB1">
              <w:rPr>
                <w:noProof/>
                <w:webHidden/>
              </w:rPr>
              <w:fldChar w:fldCharType="separate"/>
            </w:r>
            <w:r w:rsidR="00563EB1">
              <w:rPr>
                <w:noProof/>
                <w:webHidden/>
              </w:rPr>
              <w:t>9</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3"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Покана за участие в конкурс по Програма CHIST-ERA</w:t>
            </w:r>
            <w:r w:rsidR="00563EB1">
              <w:rPr>
                <w:noProof/>
                <w:webHidden/>
              </w:rPr>
              <w:tab/>
            </w:r>
            <w:r w:rsidR="00563EB1">
              <w:rPr>
                <w:noProof/>
                <w:webHidden/>
              </w:rPr>
              <w:fldChar w:fldCharType="begin"/>
            </w:r>
            <w:r w:rsidR="00563EB1">
              <w:rPr>
                <w:noProof/>
                <w:webHidden/>
              </w:rPr>
              <w:instrText xml:space="preserve"> PAGEREF _Toc529797573 \h </w:instrText>
            </w:r>
            <w:r w:rsidR="00563EB1">
              <w:rPr>
                <w:noProof/>
                <w:webHidden/>
              </w:rPr>
            </w:r>
            <w:r w:rsidR="00563EB1">
              <w:rPr>
                <w:noProof/>
                <w:webHidden/>
              </w:rPr>
              <w:fldChar w:fldCharType="separate"/>
            </w:r>
            <w:r w:rsidR="00563EB1">
              <w:rPr>
                <w:noProof/>
                <w:webHidden/>
              </w:rPr>
              <w:t>14</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4"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Четвърта тръжна процедура на Европейската космическа агенция</w:t>
            </w:r>
            <w:r w:rsidR="00563EB1">
              <w:rPr>
                <w:noProof/>
                <w:webHidden/>
              </w:rPr>
              <w:tab/>
            </w:r>
            <w:r w:rsidR="00563EB1">
              <w:rPr>
                <w:noProof/>
                <w:webHidden/>
              </w:rPr>
              <w:fldChar w:fldCharType="begin"/>
            </w:r>
            <w:r w:rsidR="00563EB1">
              <w:rPr>
                <w:noProof/>
                <w:webHidden/>
              </w:rPr>
              <w:instrText xml:space="preserve"> PAGEREF _Toc529797574 \h </w:instrText>
            </w:r>
            <w:r w:rsidR="00563EB1">
              <w:rPr>
                <w:noProof/>
                <w:webHidden/>
              </w:rPr>
            </w:r>
            <w:r w:rsidR="00563EB1">
              <w:rPr>
                <w:noProof/>
                <w:webHidden/>
              </w:rPr>
              <w:fldChar w:fldCharType="separate"/>
            </w:r>
            <w:r w:rsidR="00563EB1">
              <w:rPr>
                <w:noProof/>
                <w:webHidden/>
              </w:rPr>
              <w:t>15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5" w:history="1">
            <w:r w:rsidR="00563EB1" w:rsidRPr="00F77D52">
              <w:rPr>
                <w:rStyle w:val="Hyperlink"/>
                <w:rFonts w:ascii="Wingdings" w:eastAsia="Times New Roman" w:hAnsi="Wingdings"/>
                <w:noProof/>
                <w:lang w:eastAsia="bg-BG"/>
              </w:rPr>
              <w:t></w:t>
            </w:r>
            <w:r w:rsidR="00563EB1">
              <w:rPr>
                <w:rFonts w:asciiTheme="minorHAnsi" w:eastAsiaTheme="minorEastAsia" w:hAnsiTheme="minorHAnsi"/>
                <w:noProof/>
                <w:lang w:eastAsia="bg-BG"/>
              </w:rPr>
              <w:tab/>
            </w:r>
            <w:r w:rsidR="00563EB1" w:rsidRPr="00F77D52">
              <w:rPr>
                <w:rStyle w:val="Hyperlink"/>
                <w:rFonts w:eastAsia="Times New Roman"/>
                <w:noProof/>
                <w:lang w:eastAsia="bg-BG"/>
              </w:rPr>
              <w:t>Подкрепа на международни научни форуми, провеждани в Република България</w:t>
            </w:r>
            <w:r w:rsidR="00563EB1">
              <w:rPr>
                <w:noProof/>
                <w:webHidden/>
              </w:rPr>
              <w:tab/>
            </w:r>
            <w:r w:rsidR="00563EB1">
              <w:rPr>
                <w:noProof/>
                <w:webHidden/>
              </w:rPr>
              <w:fldChar w:fldCharType="begin"/>
            </w:r>
            <w:r w:rsidR="00563EB1">
              <w:rPr>
                <w:noProof/>
                <w:webHidden/>
              </w:rPr>
              <w:instrText xml:space="preserve"> PAGEREF _Toc529797575 \h </w:instrText>
            </w:r>
            <w:r w:rsidR="00563EB1">
              <w:rPr>
                <w:noProof/>
                <w:webHidden/>
              </w:rPr>
            </w:r>
            <w:r w:rsidR="00563EB1">
              <w:rPr>
                <w:noProof/>
                <w:webHidden/>
              </w:rPr>
              <w:fldChar w:fldCharType="separate"/>
            </w:r>
            <w:r w:rsidR="00563EB1">
              <w:rPr>
                <w:noProof/>
                <w:webHidden/>
              </w:rPr>
              <w:t>16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6" w:history="1">
            <w:r w:rsidR="00563EB1" w:rsidRPr="00F77D52">
              <w:rPr>
                <w:rStyle w:val="Hyperlink"/>
                <w:rFonts w:ascii="Wingdings" w:eastAsia="Times New Roman" w:hAnsi="Wingdings"/>
                <w:noProof/>
                <w:lang w:eastAsia="bg-BG"/>
              </w:rPr>
              <w:t></w:t>
            </w:r>
            <w:r w:rsidR="00563EB1">
              <w:rPr>
                <w:rFonts w:asciiTheme="minorHAnsi" w:eastAsiaTheme="minorEastAsia" w:hAnsiTheme="minorHAnsi"/>
                <w:noProof/>
                <w:lang w:eastAsia="bg-BG"/>
              </w:rPr>
              <w:tab/>
            </w:r>
            <w:r w:rsidR="00563EB1" w:rsidRPr="00F77D52">
              <w:rPr>
                <w:rStyle w:val="Hyperlink"/>
                <w:rFonts w:eastAsia="Times New Roman"/>
                <w:noProof/>
                <w:lang w:eastAsia="bg-BG"/>
              </w:rPr>
              <w:t>Национално съфинансиране за участие на български колективи в утвърдени проекти по COST</w:t>
            </w:r>
            <w:r w:rsidR="00563EB1">
              <w:rPr>
                <w:noProof/>
                <w:webHidden/>
              </w:rPr>
              <w:tab/>
            </w:r>
            <w:r w:rsidR="00563EB1">
              <w:rPr>
                <w:noProof/>
                <w:webHidden/>
              </w:rPr>
              <w:fldChar w:fldCharType="begin"/>
            </w:r>
            <w:r w:rsidR="00563EB1">
              <w:rPr>
                <w:noProof/>
                <w:webHidden/>
              </w:rPr>
              <w:instrText xml:space="preserve"> PAGEREF _Toc529797576 \h </w:instrText>
            </w:r>
            <w:r w:rsidR="00563EB1">
              <w:rPr>
                <w:noProof/>
                <w:webHidden/>
              </w:rPr>
            </w:r>
            <w:r w:rsidR="00563EB1">
              <w:rPr>
                <w:noProof/>
                <w:webHidden/>
              </w:rPr>
              <w:fldChar w:fldCharType="separate"/>
            </w:r>
            <w:r w:rsidR="00563EB1">
              <w:rPr>
                <w:noProof/>
                <w:webHidden/>
              </w:rPr>
              <w:t>17</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7"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Конкурс за научни изследвания на Кралската академия на Белгия</w:t>
            </w:r>
            <w:r w:rsidR="00563EB1">
              <w:rPr>
                <w:noProof/>
                <w:webHidden/>
              </w:rPr>
              <w:tab/>
            </w:r>
            <w:r w:rsidR="00563EB1">
              <w:rPr>
                <w:noProof/>
                <w:webHidden/>
              </w:rPr>
              <w:fldChar w:fldCharType="begin"/>
            </w:r>
            <w:r w:rsidR="00563EB1">
              <w:rPr>
                <w:noProof/>
                <w:webHidden/>
              </w:rPr>
              <w:instrText xml:space="preserve"> PAGEREF _Toc529797577 \h </w:instrText>
            </w:r>
            <w:r w:rsidR="00563EB1">
              <w:rPr>
                <w:noProof/>
                <w:webHidden/>
              </w:rPr>
            </w:r>
            <w:r w:rsidR="00563EB1">
              <w:rPr>
                <w:noProof/>
                <w:webHidden/>
              </w:rPr>
              <w:fldChar w:fldCharType="separate"/>
            </w:r>
            <w:r w:rsidR="00563EB1">
              <w:rPr>
                <w:noProof/>
                <w:webHidden/>
              </w:rPr>
              <w:t>18</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78"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Програма: „Америка за България”</w:t>
            </w:r>
            <w:r w:rsidR="00563EB1">
              <w:rPr>
                <w:noProof/>
                <w:webHidden/>
              </w:rPr>
              <w:tab/>
            </w:r>
            <w:r w:rsidR="00563EB1">
              <w:rPr>
                <w:noProof/>
                <w:webHidden/>
              </w:rPr>
              <w:fldChar w:fldCharType="begin"/>
            </w:r>
            <w:r w:rsidR="00563EB1">
              <w:rPr>
                <w:noProof/>
                <w:webHidden/>
              </w:rPr>
              <w:instrText xml:space="preserve"> PAGEREF _Toc529797578 \h </w:instrText>
            </w:r>
            <w:r w:rsidR="00563EB1">
              <w:rPr>
                <w:noProof/>
                <w:webHidden/>
              </w:rPr>
            </w:r>
            <w:r w:rsidR="00563EB1">
              <w:rPr>
                <w:noProof/>
                <w:webHidden/>
              </w:rPr>
              <w:fldChar w:fldCharType="separate"/>
            </w:r>
            <w:r w:rsidR="00563EB1">
              <w:rPr>
                <w:noProof/>
                <w:webHidden/>
              </w:rPr>
              <w:t>19</w:t>
            </w:r>
            <w:r w:rsidR="00563EB1">
              <w:rPr>
                <w:noProof/>
                <w:webHidden/>
              </w:rPr>
              <w:fldChar w:fldCharType="end"/>
            </w:r>
          </w:hyperlink>
        </w:p>
        <w:p w:rsidR="00563EB1" w:rsidRDefault="00A554DC">
          <w:pPr>
            <w:pStyle w:val="TOC1"/>
            <w:tabs>
              <w:tab w:val="right" w:leader="dot" w:pos="9062"/>
            </w:tabs>
            <w:rPr>
              <w:rFonts w:asciiTheme="minorHAnsi" w:eastAsiaTheme="minorEastAsia" w:hAnsiTheme="minorHAnsi"/>
              <w:noProof/>
              <w:lang w:eastAsia="bg-BG"/>
            </w:rPr>
          </w:pPr>
          <w:hyperlink w:anchor="_Toc529797579" w:history="1">
            <w:r w:rsidR="00563EB1" w:rsidRPr="00F77D52">
              <w:rPr>
                <w:rStyle w:val="Hyperlink"/>
                <w:noProof/>
              </w:rPr>
              <w:t>СЪБИТИЯ</w:t>
            </w:r>
            <w:r w:rsidR="00563EB1">
              <w:rPr>
                <w:noProof/>
                <w:webHidden/>
              </w:rPr>
              <w:tab/>
            </w:r>
            <w:r w:rsidR="00563EB1">
              <w:rPr>
                <w:noProof/>
                <w:webHidden/>
              </w:rPr>
              <w:fldChar w:fldCharType="begin"/>
            </w:r>
            <w:r w:rsidR="00563EB1">
              <w:rPr>
                <w:noProof/>
                <w:webHidden/>
              </w:rPr>
              <w:instrText xml:space="preserve"> PAGEREF _Toc529797579 \h </w:instrText>
            </w:r>
            <w:r w:rsidR="00563EB1">
              <w:rPr>
                <w:noProof/>
                <w:webHidden/>
              </w:rPr>
            </w:r>
            <w:r w:rsidR="00563EB1">
              <w:rPr>
                <w:noProof/>
                <w:webHidden/>
              </w:rPr>
              <w:fldChar w:fldCharType="separate"/>
            </w:r>
            <w:r w:rsidR="00563EB1">
              <w:rPr>
                <w:noProof/>
                <w:webHidden/>
              </w:rPr>
              <w:t>21</w:t>
            </w:r>
            <w:r w:rsidR="00563EB1">
              <w:rPr>
                <w:noProof/>
                <w:webHidden/>
              </w:rPr>
              <w:fldChar w:fldCharType="end"/>
            </w:r>
          </w:hyperlink>
        </w:p>
        <w:p w:rsidR="00563EB1" w:rsidRDefault="00A554DC">
          <w:pPr>
            <w:pStyle w:val="TOC1"/>
            <w:tabs>
              <w:tab w:val="right" w:leader="dot" w:pos="9062"/>
            </w:tabs>
            <w:rPr>
              <w:rFonts w:asciiTheme="minorHAnsi" w:eastAsiaTheme="minorEastAsia" w:hAnsiTheme="minorHAnsi"/>
              <w:noProof/>
              <w:lang w:eastAsia="bg-BG"/>
            </w:rPr>
          </w:pPr>
          <w:hyperlink w:anchor="_Toc529797580" w:history="1">
            <w:r w:rsidR="00563EB1" w:rsidRPr="00F77D52">
              <w:rPr>
                <w:rStyle w:val="Hyperlink"/>
                <w:noProof/>
              </w:rPr>
              <w:t>ПУБЛИКАЦИИ</w:t>
            </w:r>
            <w:r w:rsidR="00563EB1">
              <w:rPr>
                <w:noProof/>
                <w:webHidden/>
              </w:rPr>
              <w:tab/>
            </w:r>
            <w:r w:rsidR="00563EB1">
              <w:rPr>
                <w:noProof/>
                <w:webHidden/>
              </w:rPr>
              <w:fldChar w:fldCharType="begin"/>
            </w:r>
            <w:r w:rsidR="00563EB1">
              <w:rPr>
                <w:noProof/>
                <w:webHidden/>
              </w:rPr>
              <w:instrText xml:space="preserve"> PAGEREF _Toc529797580 \h </w:instrText>
            </w:r>
            <w:r w:rsidR="00563EB1">
              <w:rPr>
                <w:noProof/>
                <w:webHidden/>
              </w:rPr>
            </w:r>
            <w:r w:rsidR="00563EB1">
              <w:rPr>
                <w:noProof/>
                <w:webHidden/>
              </w:rPr>
              <w:fldChar w:fldCharType="separate"/>
            </w:r>
            <w:r w:rsidR="00563EB1">
              <w:rPr>
                <w:noProof/>
                <w:webHidden/>
              </w:rPr>
              <w:t>25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1"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lang w:val="en-US"/>
              </w:rPr>
              <w:t>RESEARCH EU</w:t>
            </w:r>
            <w:r w:rsidR="00563EB1">
              <w:rPr>
                <w:noProof/>
                <w:webHidden/>
              </w:rPr>
              <w:tab/>
            </w:r>
            <w:r w:rsidR="00563EB1">
              <w:rPr>
                <w:noProof/>
                <w:webHidden/>
              </w:rPr>
              <w:fldChar w:fldCharType="begin"/>
            </w:r>
            <w:r w:rsidR="00563EB1">
              <w:rPr>
                <w:noProof/>
                <w:webHidden/>
              </w:rPr>
              <w:instrText xml:space="preserve"> PAGEREF _Toc529797581 \h </w:instrText>
            </w:r>
            <w:r w:rsidR="00563EB1">
              <w:rPr>
                <w:noProof/>
                <w:webHidden/>
              </w:rPr>
            </w:r>
            <w:r w:rsidR="00563EB1">
              <w:rPr>
                <w:noProof/>
                <w:webHidden/>
              </w:rPr>
              <w:fldChar w:fldCharType="separate"/>
            </w:r>
            <w:r w:rsidR="00563EB1">
              <w:rPr>
                <w:noProof/>
                <w:webHidden/>
              </w:rPr>
              <w:t>25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2"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Nephrology Dialysis Transplantation, Volume 33 - Magnetic Resonance Imaging Biomarkers in Renal Disease</w:t>
            </w:r>
            <w:r w:rsidR="00563EB1">
              <w:rPr>
                <w:noProof/>
                <w:webHidden/>
              </w:rPr>
              <w:tab/>
            </w:r>
            <w:r w:rsidR="00563EB1">
              <w:rPr>
                <w:noProof/>
                <w:webHidden/>
              </w:rPr>
              <w:fldChar w:fldCharType="begin"/>
            </w:r>
            <w:r w:rsidR="00563EB1">
              <w:rPr>
                <w:noProof/>
                <w:webHidden/>
              </w:rPr>
              <w:instrText xml:space="preserve"> PAGEREF _Toc529797582 \h </w:instrText>
            </w:r>
            <w:r w:rsidR="00563EB1">
              <w:rPr>
                <w:noProof/>
                <w:webHidden/>
              </w:rPr>
            </w:r>
            <w:r w:rsidR="00563EB1">
              <w:rPr>
                <w:noProof/>
                <w:webHidden/>
              </w:rPr>
              <w:fldChar w:fldCharType="separate"/>
            </w:r>
            <w:r w:rsidR="00563EB1">
              <w:rPr>
                <w:noProof/>
                <w:webHidden/>
              </w:rPr>
              <w:t>25</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3"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Guidelines for supporting children with disabilities' play: Methodologies, tools, and contexts</w:t>
            </w:r>
            <w:r w:rsidR="00563EB1">
              <w:rPr>
                <w:noProof/>
                <w:webHidden/>
              </w:rPr>
              <w:tab/>
            </w:r>
            <w:r w:rsidR="00563EB1">
              <w:rPr>
                <w:noProof/>
                <w:webHidden/>
              </w:rPr>
              <w:fldChar w:fldCharType="begin"/>
            </w:r>
            <w:r w:rsidR="00563EB1">
              <w:rPr>
                <w:noProof/>
                <w:webHidden/>
              </w:rPr>
              <w:instrText xml:space="preserve"> PAGEREF _Toc529797583 \h </w:instrText>
            </w:r>
            <w:r w:rsidR="00563EB1">
              <w:rPr>
                <w:noProof/>
                <w:webHidden/>
              </w:rPr>
            </w:r>
            <w:r w:rsidR="00563EB1">
              <w:rPr>
                <w:noProof/>
                <w:webHidden/>
              </w:rPr>
              <w:fldChar w:fldCharType="separate"/>
            </w:r>
            <w:r w:rsidR="00563EB1">
              <w:rPr>
                <w:noProof/>
                <w:webHidden/>
              </w:rPr>
              <w:t>26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4" w:history="1">
            <w:r w:rsidR="00563EB1" w:rsidRPr="00F77D52">
              <w:rPr>
                <w:rStyle w:val="Hyperlink"/>
                <w:rFonts w:ascii="Wingdings" w:hAnsi="Wingdings"/>
                <w:noProof/>
                <w:lang w:val="en-GB"/>
              </w:rPr>
              <w:t></w:t>
            </w:r>
            <w:r w:rsidR="00563EB1">
              <w:rPr>
                <w:rFonts w:asciiTheme="minorHAnsi" w:eastAsiaTheme="minorEastAsia" w:hAnsiTheme="minorHAnsi"/>
                <w:noProof/>
                <w:lang w:eastAsia="bg-BG"/>
              </w:rPr>
              <w:tab/>
            </w:r>
            <w:r w:rsidR="00563EB1" w:rsidRPr="00F77D52">
              <w:rPr>
                <w:rStyle w:val="Hyperlink"/>
                <w:noProof/>
                <w:lang w:val="en-GB"/>
              </w:rPr>
              <w:t xml:space="preserve">European University Association: </w:t>
            </w:r>
            <w:r w:rsidR="00563EB1" w:rsidRPr="00F77D52">
              <w:rPr>
                <w:rStyle w:val="Hyperlink"/>
                <w:iCs/>
                <w:noProof/>
                <w:lang w:val="en-GB"/>
              </w:rPr>
              <w:t>Trends 2018: Learning and teaching in the European Higher Education Area</w:t>
            </w:r>
            <w:r w:rsidR="00563EB1">
              <w:rPr>
                <w:noProof/>
                <w:webHidden/>
              </w:rPr>
              <w:tab/>
            </w:r>
            <w:r w:rsidR="00563EB1">
              <w:rPr>
                <w:noProof/>
                <w:webHidden/>
              </w:rPr>
              <w:fldChar w:fldCharType="begin"/>
            </w:r>
            <w:r w:rsidR="00563EB1">
              <w:rPr>
                <w:noProof/>
                <w:webHidden/>
              </w:rPr>
              <w:instrText xml:space="preserve"> PAGEREF _Toc529797584 \h </w:instrText>
            </w:r>
            <w:r w:rsidR="00563EB1">
              <w:rPr>
                <w:noProof/>
                <w:webHidden/>
              </w:rPr>
            </w:r>
            <w:r w:rsidR="00563EB1">
              <w:rPr>
                <w:noProof/>
                <w:webHidden/>
              </w:rPr>
              <w:fldChar w:fldCharType="separate"/>
            </w:r>
            <w:r w:rsidR="00563EB1">
              <w:rPr>
                <w:noProof/>
                <w:webHidden/>
              </w:rPr>
              <w:t>26</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5" w:history="1">
            <w:r w:rsidR="00563EB1" w:rsidRPr="00F77D52">
              <w:rPr>
                <w:rStyle w:val="Hyperlink"/>
                <w:rFonts w:ascii="Wingdings" w:hAnsi="Wingdings"/>
                <w:noProof/>
              </w:rPr>
              <w:t></w:t>
            </w:r>
            <w:r w:rsidR="00563EB1">
              <w:rPr>
                <w:rFonts w:asciiTheme="minorHAnsi" w:eastAsiaTheme="minorEastAsia" w:hAnsiTheme="minorHAnsi"/>
                <w:noProof/>
                <w:lang w:eastAsia="bg-BG"/>
              </w:rPr>
              <w:tab/>
            </w:r>
            <w:r w:rsidR="00563EB1" w:rsidRPr="00F77D52">
              <w:rPr>
                <w:rStyle w:val="Hyperlink"/>
                <w:noProof/>
              </w:rPr>
              <w:t>Autonomous Control for a Reliable Internet of Services: Methods, Models, Approaches, Techniques, Algorithms, and Tools</w:t>
            </w:r>
            <w:r w:rsidR="00563EB1">
              <w:rPr>
                <w:noProof/>
                <w:webHidden/>
              </w:rPr>
              <w:tab/>
            </w:r>
            <w:r w:rsidR="00563EB1">
              <w:rPr>
                <w:noProof/>
                <w:webHidden/>
              </w:rPr>
              <w:fldChar w:fldCharType="begin"/>
            </w:r>
            <w:r w:rsidR="00563EB1">
              <w:rPr>
                <w:noProof/>
                <w:webHidden/>
              </w:rPr>
              <w:instrText xml:space="preserve"> PAGEREF _Toc529797585 \h </w:instrText>
            </w:r>
            <w:r w:rsidR="00563EB1">
              <w:rPr>
                <w:noProof/>
                <w:webHidden/>
              </w:rPr>
            </w:r>
            <w:r w:rsidR="00563EB1">
              <w:rPr>
                <w:noProof/>
                <w:webHidden/>
              </w:rPr>
              <w:fldChar w:fldCharType="separate"/>
            </w:r>
            <w:r w:rsidR="00563EB1">
              <w:rPr>
                <w:noProof/>
                <w:webHidden/>
              </w:rPr>
              <w:t>27</w:t>
            </w:r>
            <w:r w:rsidR="00563EB1">
              <w:rPr>
                <w:noProof/>
                <w:webHidden/>
              </w:rPr>
              <w:fldChar w:fldCharType="end"/>
            </w:r>
          </w:hyperlink>
        </w:p>
        <w:p w:rsidR="00563EB1" w:rsidRDefault="00A554DC">
          <w:pPr>
            <w:pStyle w:val="TOC2"/>
            <w:tabs>
              <w:tab w:val="left" w:pos="660"/>
              <w:tab w:val="right" w:leader="dot" w:pos="9062"/>
            </w:tabs>
            <w:rPr>
              <w:rFonts w:asciiTheme="minorHAnsi" w:eastAsiaTheme="minorEastAsia" w:hAnsiTheme="minorHAnsi"/>
              <w:noProof/>
              <w:lang w:eastAsia="bg-BG"/>
            </w:rPr>
          </w:pPr>
          <w:hyperlink w:anchor="_Toc529797586" w:history="1">
            <w:r w:rsidR="00563EB1" w:rsidRPr="00F77D52">
              <w:rPr>
                <w:rStyle w:val="Hyperlink"/>
                <w:rFonts w:ascii="Wingdings" w:hAnsi="Wingdings"/>
                <w:noProof/>
                <w:lang w:val="en-GB"/>
              </w:rPr>
              <w:t></w:t>
            </w:r>
            <w:r w:rsidR="00563EB1">
              <w:rPr>
                <w:rFonts w:asciiTheme="minorHAnsi" w:eastAsiaTheme="minorEastAsia" w:hAnsiTheme="minorHAnsi"/>
                <w:noProof/>
                <w:lang w:eastAsia="bg-BG"/>
              </w:rPr>
              <w:tab/>
            </w:r>
            <w:r w:rsidR="00563EB1" w:rsidRPr="00F77D52">
              <w:rPr>
                <w:rStyle w:val="Hyperlink"/>
                <w:noProof/>
                <w:lang w:val="en-GB"/>
              </w:rPr>
              <w:t>CERN Courier</w:t>
            </w:r>
            <w:r w:rsidR="00563EB1">
              <w:rPr>
                <w:noProof/>
                <w:webHidden/>
              </w:rPr>
              <w:tab/>
            </w:r>
            <w:r w:rsidR="00563EB1">
              <w:rPr>
                <w:noProof/>
                <w:webHidden/>
              </w:rPr>
              <w:fldChar w:fldCharType="begin"/>
            </w:r>
            <w:r w:rsidR="00563EB1">
              <w:rPr>
                <w:noProof/>
                <w:webHidden/>
              </w:rPr>
              <w:instrText xml:space="preserve"> PAGEREF _Toc529797586 \h </w:instrText>
            </w:r>
            <w:r w:rsidR="00563EB1">
              <w:rPr>
                <w:noProof/>
                <w:webHidden/>
              </w:rPr>
            </w:r>
            <w:r w:rsidR="00563EB1">
              <w:rPr>
                <w:noProof/>
                <w:webHidden/>
              </w:rPr>
              <w:fldChar w:fldCharType="separate"/>
            </w:r>
            <w:r w:rsidR="00563EB1">
              <w:rPr>
                <w:noProof/>
                <w:webHidden/>
              </w:rPr>
              <w:t>27</w:t>
            </w:r>
            <w:r w:rsidR="00563EB1">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2979755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F505B8" w:rsidRPr="00F505B8" w:rsidRDefault="00F505B8" w:rsidP="001D3E1A">
      <w:pPr>
        <w:pStyle w:val="Heading2"/>
        <w:ind w:left="426"/>
      </w:pPr>
      <w:bookmarkStart w:id="2" w:name="_Toc529797560"/>
      <w:r w:rsidRPr="00F505B8">
        <w:t>Ritchie-Jennings Memorial Scholarship Program</w:t>
      </w:r>
      <w:bookmarkEnd w:id="2"/>
    </w:p>
    <w:p w:rsidR="00F505B8" w:rsidRPr="00FA556E" w:rsidRDefault="00F505B8" w:rsidP="00F505B8">
      <w:pPr>
        <w:spacing w:before="120" w:after="120"/>
        <w:rPr>
          <w:sz w:val="24"/>
          <w:szCs w:val="24"/>
        </w:rPr>
      </w:pPr>
      <w:r w:rsidRPr="00FA556E">
        <w:rPr>
          <w:sz w:val="24"/>
          <w:szCs w:val="24"/>
        </w:rPr>
        <w:t>Through the Ritchie-Jennings Memorial Scholarship, the ACFE Foundation supports the education of students who have an interest in pursuing a career in fraud examination. The scholarship provides an opportunity for students to advance their education and anti-fraud career paths. Many of these outstanding and deserving students go on to become Certified Fraud Examiners.</w:t>
      </w:r>
    </w:p>
    <w:p w:rsidR="00F505B8" w:rsidRPr="00FA556E" w:rsidRDefault="00F505B8" w:rsidP="00F505B8">
      <w:pPr>
        <w:spacing w:before="120" w:after="120"/>
        <w:rPr>
          <w:sz w:val="24"/>
          <w:szCs w:val="24"/>
        </w:rPr>
      </w:pPr>
      <w:r w:rsidRPr="00FA556E">
        <w:rPr>
          <w:sz w:val="24"/>
          <w:szCs w:val="24"/>
        </w:rPr>
        <w:t xml:space="preserve">The Ritchie-Jennings Memorial scholarship award amounts are $10,000, $5,000, $2,500, and $1,000. Scholarships are awarded in U.S. dollars and include a one-year ACFE Student Associate membership . Awards will be paid directly </w:t>
      </w:r>
      <w:proofErr w:type="spellStart"/>
      <w:r w:rsidRPr="00FA556E">
        <w:rPr>
          <w:sz w:val="24"/>
          <w:szCs w:val="24"/>
        </w:rPr>
        <w:t>to</w:t>
      </w:r>
      <w:proofErr w:type="spellEnd"/>
      <w:r w:rsidRPr="00FA556E">
        <w:rPr>
          <w:sz w:val="24"/>
          <w:szCs w:val="24"/>
        </w:rPr>
        <w:t xml:space="preserve"> </w:t>
      </w:r>
      <w:proofErr w:type="spellStart"/>
      <w:r w:rsidRPr="00FA556E">
        <w:rPr>
          <w:sz w:val="24"/>
          <w:szCs w:val="24"/>
        </w:rPr>
        <w:t>the</w:t>
      </w:r>
      <w:proofErr w:type="spellEnd"/>
      <w:r w:rsidRPr="00FA556E">
        <w:rPr>
          <w:sz w:val="24"/>
          <w:szCs w:val="24"/>
        </w:rPr>
        <w:t xml:space="preserve"> </w:t>
      </w:r>
      <w:proofErr w:type="spellStart"/>
      <w:r w:rsidRPr="00FA556E">
        <w:rPr>
          <w:sz w:val="24"/>
          <w:szCs w:val="24"/>
        </w:rPr>
        <w:t>award</w:t>
      </w:r>
      <w:proofErr w:type="spellEnd"/>
      <w:r w:rsidRPr="00FA556E">
        <w:rPr>
          <w:sz w:val="24"/>
          <w:szCs w:val="24"/>
        </w:rPr>
        <w:t xml:space="preserve"> </w:t>
      </w:r>
      <w:proofErr w:type="spellStart"/>
      <w:r w:rsidRPr="00FA556E">
        <w:rPr>
          <w:sz w:val="24"/>
          <w:szCs w:val="24"/>
        </w:rPr>
        <w:t>recipient’s</w:t>
      </w:r>
      <w:proofErr w:type="spellEnd"/>
      <w:r w:rsidRPr="00FA556E">
        <w:rPr>
          <w:sz w:val="24"/>
          <w:szCs w:val="24"/>
        </w:rPr>
        <w:t xml:space="preserve"> </w:t>
      </w:r>
      <w:proofErr w:type="spellStart"/>
      <w:r w:rsidRPr="00FA556E">
        <w:rPr>
          <w:sz w:val="24"/>
          <w:szCs w:val="24"/>
        </w:rPr>
        <w:t>university</w:t>
      </w:r>
      <w:proofErr w:type="spellEnd"/>
      <w:r w:rsidRPr="00FA556E">
        <w:rPr>
          <w:sz w:val="24"/>
          <w:szCs w:val="24"/>
        </w:rPr>
        <w:t>.</w:t>
      </w:r>
    </w:p>
    <w:p w:rsidR="00F505B8" w:rsidRPr="00FA556E" w:rsidRDefault="00F505B8" w:rsidP="00F505B8">
      <w:pPr>
        <w:spacing w:before="120" w:after="120"/>
        <w:rPr>
          <w:sz w:val="24"/>
          <w:szCs w:val="24"/>
        </w:rPr>
      </w:pPr>
      <w:r w:rsidRPr="00FA556E">
        <w:rPr>
          <w:sz w:val="24"/>
          <w:szCs w:val="24"/>
        </w:rPr>
        <w:t>2019-2020 Scholarship Schedule:</w:t>
      </w:r>
    </w:p>
    <w:p w:rsidR="00F505B8" w:rsidRPr="001D3E1A" w:rsidRDefault="00F505B8" w:rsidP="00B67654">
      <w:pPr>
        <w:pStyle w:val="ListParagraph"/>
        <w:numPr>
          <w:ilvl w:val="0"/>
          <w:numId w:val="5"/>
        </w:numPr>
        <w:spacing w:before="120" w:after="120"/>
        <w:rPr>
          <w:sz w:val="24"/>
          <w:szCs w:val="24"/>
        </w:rPr>
      </w:pPr>
      <w:r w:rsidRPr="001D3E1A">
        <w:rPr>
          <w:sz w:val="24"/>
          <w:szCs w:val="24"/>
        </w:rPr>
        <w:t>2019-2020 Application - NOW OPEN</w:t>
      </w:r>
    </w:p>
    <w:p w:rsidR="00F505B8" w:rsidRPr="001D3E1A" w:rsidRDefault="00F505B8" w:rsidP="00B67654">
      <w:pPr>
        <w:pStyle w:val="ListParagraph"/>
        <w:numPr>
          <w:ilvl w:val="0"/>
          <w:numId w:val="5"/>
        </w:numPr>
        <w:spacing w:before="120" w:after="120"/>
        <w:rPr>
          <w:sz w:val="24"/>
          <w:szCs w:val="24"/>
        </w:rPr>
      </w:pPr>
      <w:r w:rsidRPr="001D3E1A">
        <w:rPr>
          <w:sz w:val="24"/>
          <w:szCs w:val="24"/>
        </w:rPr>
        <w:t>Application Deadline – Completed online by January 30,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 Recipients Announced – April 20,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Awards Distributed – April 30, 2019</w:t>
      </w:r>
    </w:p>
    <w:p w:rsidR="00F505B8" w:rsidRPr="00FA556E" w:rsidRDefault="00F505B8" w:rsidP="00F505B8">
      <w:pPr>
        <w:spacing w:before="120" w:after="120"/>
        <w:rPr>
          <w:sz w:val="24"/>
          <w:szCs w:val="24"/>
        </w:rPr>
      </w:pPr>
      <w:r w:rsidRPr="00FA556E">
        <w:rPr>
          <w:sz w:val="24"/>
          <w:szCs w:val="24"/>
        </w:rPr>
        <w:t xml:space="preserve">Eligibility Criteria  </w:t>
      </w:r>
    </w:p>
    <w:p w:rsidR="00F505B8" w:rsidRPr="00FA556E" w:rsidRDefault="00F505B8" w:rsidP="00F505B8">
      <w:pPr>
        <w:spacing w:before="120" w:after="120"/>
        <w:rPr>
          <w:sz w:val="24"/>
          <w:szCs w:val="24"/>
        </w:rPr>
      </w:pPr>
      <w:r w:rsidRPr="00FA556E">
        <w:rPr>
          <w:sz w:val="24"/>
          <w:szCs w:val="24"/>
        </w:rPr>
        <w:t>Scholarship applicants must currently be enrolled full-time and similarly enrolled during the 2019-2020 academic year at an accredited, four-year college or university. Applicants must have a declared major or minor in accounting, business administration, finance or criminal justice and demonstrate a desire to pursue a career in fraud examination or similar anti-fraud profession.</w:t>
      </w:r>
    </w:p>
    <w:p w:rsidR="00F505B8" w:rsidRPr="00FA556E" w:rsidRDefault="00F505B8" w:rsidP="00F505B8">
      <w:pPr>
        <w:spacing w:before="120" w:after="120"/>
        <w:rPr>
          <w:sz w:val="24"/>
          <w:szCs w:val="24"/>
        </w:rPr>
      </w:pPr>
      <w:r w:rsidRPr="00FA556E">
        <w:rPr>
          <w:sz w:val="24"/>
          <w:szCs w:val="24"/>
        </w:rPr>
        <w:t xml:space="preserve">Applicants must meet the following requirements in order to be eligible: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Undergraduates must be enrolled 9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Graduates must be enrolled 6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Be currently enrolled at an accredited, four-year college or university with enrollment through the 2019-2020 academic year</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Submit a Completed Ritchie-Jennings Memorial Scholarship application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Provide Official Transcript(s) showing all completed college or university courses </w:t>
      </w:r>
    </w:p>
    <w:p w:rsidR="00F505B8" w:rsidRPr="001D3E1A" w:rsidRDefault="00F505B8" w:rsidP="00B67654">
      <w:pPr>
        <w:pStyle w:val="ListParagraph"/>
        <w:numPr>
          <w:ilvl w:val="0"/>
          <w:numId w:val="6"/>
        </w:numPr>
        <w:spacing w:before="120" w:after="120"/>
        <w:rPr>
          <w:sz w:val="24"/>
          <w:szCs w:val="24"/>
        </w:rPr>
      </w:pPr>
      <w:r w:rsidRPr="001D3E1A">
        <w:rPr>
          <w:sz w:val="24"/>
          <w:szCs w:val="24"/>
        </w:rPr>
        <w:t>Two recommendation forms must be submitted on behalf of the applicant*</w:t>
      </w:r>
    </w:p>
    <w:p w:rsidR="00F505B8" w:rsidRPr="00FA556E" w:rsidRDefault="00F505B8" w:rsidP="00F505B8">
      <w:pPr>
        <w:spacing w:before="120" w:after="120"/>
        <w:rPr>
          <w:sz w:val="24"/>
          <w:szCs w:val="24"/>
        </w:rPr>
      </w:pPr>
      <w:r w:rsidRPr="00FA556E">
        <w:rPr>
          <w:sz w:val="24"/>
          <w:szCs w:val="24"/>
        </w:rPr>
        <w:t xml:space="preserve">*At least one form is preferred to be from a Certified Fraud Examiner (CFE) or a professor. Students are encouraged to meet with a Local ACFE Chapter to become acquainted with a CFE. Additional recommendation forms should be requested from an individual who may be familiar with your fraud-related education, interests, goals, and anti-fraud career path such as an employer or professor. </w:t>
      </w:r>
    </w:p>
    <w:p w:rsidR="00F505B8" w:rsidRPr="00FA556E" w:rsidRDefault="00F505B8" w:rsidP="00F505B8">
      <w:pPr>
        <w:spacing w:before="120" w:after="120"/>
        <w:rPr>
          <w:sz w:val="24"/>
          <w:szCs w:val="24"/>
        </w:rPr>
      </w:pPr>
      <w:r w:rsidRPr="00FA556E">
        <w:rPr>
          <w:sz w:val="24"/>
          <w:szCs w:val="24"/>
        </w:rPr>
        <w:t>During the application process, you will provide information on two recommenders. These individuals will receive a link to upload their individual recommendation forms on your behalf.</w:t>
      </w:r>
    </w:p>
    <w:p w:rsidR="00F505B8" w:rsidRDefault="00A554DC" w:rsidP="00F505B8">
      <w:pPr>
        <w:spacing w:before="120" w:after="120"/>
        <w:rPr>
          <w:rStyle w:val="Hyperlink"/>
          <w:sz w:val="24"/>
          <w:szCs w:val="24"/>
          <w:lang w:val="en-US"/>
        </w:rPr>
      </w:pPr>
      <w:hyperlink r:id="rId11" w:history="1">
        <w:r w:rsidR="00FA556E" w:rsidRPr="00FA556E">
          <w:rPr>
            <w:rStyle w:val="Hyperlink"/>
            <w:sz w:val="24"/>
            <w:szCs w:val="24"/>
            <w:lang w:val="en-US"/>
          </w:rPr>
          <w:t>More information</w:t>
        </w:r>
      </w:hyperlink>
    </w:p>
    <w:p w:rsidR="001D3E1A" w:rsidRDefault="001D3E1A" w:rsidP="00F505B8">
      <w:pPr>
        <w:spacing w:before="120" w:after="120"/>
        <w:rPr>
          <w:b/>
          <w:sz w:val="24"/>
          <w:szCs w:val="24"/>
        </w:rPr>
      </w:pPr>
      <w:r w:rsidRPr="001D3E1A">
        <w:rPr>
          <w:rStyle w:val="Hyperlink"/>
          <w:b/>
          <w:color w:val="auto"/>
          <w:sz w:val="24"/>
          <w:szCs w:val="24"/>
          <w:u w:val="none"/>
          <w:lang w:val="en-US"/>
        </w:rPr>
        <w:t xml:space="preserve">Deadline: </w:t>
      </w:r>
      <w:r>
        <w:rPr>
          <w:rStyle w:val="Hyperlink"/>
          <w:b/>
          <w:color w:val="auto"/>
          <w:sz w:val="24"/>
          <w:szCs w:val="24"/>
          <w:u w:val="none"/>
          <w:lang w:val="en-US"/>
        </w:rPr>
        <w:t xml:space="preserve">30 </w:t>
      </w:r>
      <w:r w:rsidRPr="001D3E1A">
        <w:rPr>
          <w:b/>
          <w:sz w:val="24"/>
          <w:szCs w:val="24"/>
        </w:rPr>
        <w:t>January 2019</w:t>
      </w:r>
    </w:p>
    <w:p w:rsidR="006872C2" w:rsidRDefault="006872C2" w:rsidP="00F505B8">
      <w:pPr>
        <w:spacing w:before="120" w:after="120"/>
        <w:rPr>
          <w:b/>
          <w:sz w:val="24"/>
          <w:szCs w:val="24"/>
        </w:rPr>
      </w:pPr>
    </w:p>
    <w:p w:rsidR="006872C2" w:rsidRPr="0058118D" w:rsidRDefault="0058118D" w:rsidP="0058118D">
      <w:pPr>
        <w:pStyle w:val="Heading2"/>
        <w:ind w:left="426"/>
      </w:pPr>
      <w:bookmarkStart w:id="3" w:name="_Toc529797561"/>
      <w:r w:rsidRPr="0058118D">
        <w:lastRenderedPageBreak/>
        <w:t xml:space="preserve">Стипендии на </w:t>
      </w:r>
      <w:r w:rsidR="006872C2" w:rsidRPr="0058118D">
        <w:t>Немската федерална фондация за околна среда</w:t>
      </w:r>
      <w:bookmarkEnd w:id="3"/>
      <w:r w:rsidR="006872C2" w:rsidRPr="0058118D">
        <w:t xml:space="preserve"> </w:t>
      </w:r>
    </w:p>
    <w:p w:rsidR="0058118D" w:rsidRPr="0058118D" w:rsidRDefault="0058118D" w:rsidP="00920774">
      <w:pPr>
        <w:spacing w:before="120" w:after="120"/>
        <w:rPr>
          <w:sz w:val="24"/>
          <w:szCs w:val="24"/>
        </w:rPr>
      </w:pPr>
      <w:r w:rsidRPr="0058118D">
        <w:rPr>
          <w:bCs/>
          <w:sz w:val="24"/>
          <w:szCs w:val="24"/>
        </w:rPr>
        <w:t>Немската федерална фондация за околна среда (Deutsche Bundesstiftung Umwelt – DBU) дава стипендии за изследователски и практически стажове в Германия</w:t>
      </w:r>
      <w:r>
        <w:rPr>
          <w:bCs/>
          <w:sz w:val="24"/>
          <w:szCs w:val="24"/>
        </w:rPr>
        <w:t>.</w:t>
      </w:r>
    </w:p>
    <w:p w:rsidR="00920774" w:rsidRPr="0058118D" w:rsidRDefault="0058118D" w:rsidP="00920774">
      <w:pPr>
        <w:spacing w:before="120" w:after="120"/>
        <w:rPr>
          <w:b/>
          <w:sz w:val="24"/>
          <w:szCs w:val="24"/>
          <w:lang w:val="de-DE"/>
        </w:rPr>
      </w:pPr>
      <w:r w:rsidRPr="0058118D">
        <w:rPr>
          <w:b/>
          <w:sz w:val="24"/>
          <w:szCs w:val="24"/>
          <w:lang w:val="en-US"/>
        </w:rPr>
        <w:t>A</w:t>
      </w:r>
      <w:r w:rsidR="00920774" w:rsidRPr="0058118D">
        <w:rPr>
          <w:b/>
          <w:sz w:val="24"/>
          <w:szCs w:val="24"/>
          <w:lang w:val="de-DE"/>
        </w:rPr>
        <w:t>ims</w:t>
      </w:r>
    </w:p>
    <w:p w:rsidR="00920774" w:rsidRPr="00920774" w:rsidRDefault="00920774" w:rsidP="00B67654">
      <w:pPr>
        <w:numPr>
          <w:ilvl w:val="0"/>
          <w:numId w:val="10"/>
        </w:numPr>
        <w:spacing w:before="120" w:after="120"/>
        <w:rPr>
          <w:sz w:val="24"/>
          <w:szCs w:val="24"/>
          <w:lang w:val="de-DE"/>
        </w:rPr>
      </w:pPr>
      <w:r w:rsidRPr="00920774">
        <w:rPr>
          <w:sz w:val="24"/>
          <w:szCs w:val="24"/>
          <w:lang w:val="de-DE"/>
        </w:rPr>
        <w:t>advanced qualification of graduates of all disciplines for environmental relevant topics</w:t>
      </w:r>
    </w:p>
    <w:p w:rsidR="00920774" w:rsidRPr="00920774" w:rsidRDefault="00920774" w:rsidP="00B67654">
      <w:pPr>
        <w:numPr>
          <w:ilvl w:val="0"/>
          <w:numId w:val="10"/>
        </w:numPr>
        <w:spacing w:before="120" w:after="120"/>
        <w:rPr>
          <w:sz w:val="24"/>
          <w:szCs w:val="24"/>
          <w:lang w:val="de-DE"/>
        </w:rPr>
      </w:pPr>
      <w:r w:rsidRPr="00920774">
        <w:rPr>
          <w:sz w:val="24"/>
          <w:szCs w:val="24"/>
          <w:lang w:val="de-DE"/>
        </w:rPr>
        <w:t>knowledge transfer to science, administration and practice</w:t>
      </w:r>
    </w:p>
    <w:p w:rsidR="00920774" w:rsidRPr="00920774" w:rsidRDefault="00920774" w:rsidP="00B67654">
      <w:pPr>
        <w:numPr>
          <w:ilvl w:val="0"/>
          <w:numId w:val="10"/>
        </w:numPr>
        <w:spacing w:before="120" w:after="120"/>
        <w:rPr>
          <w:sz w:val="24"/>
          <w:szCs w:val="24"/>
          <w:lang w:val="de-DE"/>
        </w:rPr>
      </w:pPr>
      <w:r w:rsidRPr="00920774">
        <w:rPr>
          <w:sz w:val="24"/>
          <w:szCs w:val="24"/>
          <w:lang w:val="de-DE"/>
        </w:rPr>
        <w:t>international networking between environmental experts of all disciplines</w:t>
      </w:r>
    </w:p>
    <w:p w:rsidR="00920774" w:rsidRPr="0058118D" w:rsidRDefault="0058118D" w:rsidP="00920774">
      <w:pPr>
        <w:spacing w:before="120" w:after="120"/>
        <w:rPr>
          <w:b/>
          <w:sz w:val="24"/>
          <w:szCs w:val="24"/>
          <w:lang w:val="de-DE"/>
        </w:rPr>
      </w:pPr>
      <w:r w:rsidRPr="0058118D">
        <w:rPr>
          <w:b/>
          <w:sz w:val="24"/>
          <w:szCs w:val="24"/>
          <w:lang w:val="de-DE"/>
        </w:rPr>
        <w:t>E</w:t>
      </w:r>
      <w:r w:rsidR="00920774" w:rsidRPr="0058118D">
        <w:rPr>
          <w:b/>
          <w:sz w:val="24"/>
          <w:szCs w:val="24"/>
          <w:lang w:val="de-DE"/>
        </w:rPr>
        <w:t>xpect</w:t>
      </w:r>
      <w:r>
        <w:rPr>
          <w:b/>
          <w:sz w:val="24"/>
          <w:szCs w:val="24"/>
          <w:lang w:val="de-DE"/>
        </w:rPr>
        <w:t>ations</w:t>
      </w:r>
    </w:p>
    <w:p w:rsidR="00920774" w:rsidRPr="00920774" w:rsidRDefault="00920774" w:rsidP="00B67654">
      <w:pPr>
        <w:numPr>
          <w:ilvl w:val="0"/>
          <w:numId w:val="11"/>
        </w:numPr>
        <w:spacing w:before="120" w:after="120"/>
        <w:rPr>
          <w:sz w:val="24"/>
          <w:szCs w:val="24"/>
          <w:lang w:val="de-DE"/>
        </w:rPr>
      </w:pPr>
      <w:r w:rsidRPr="00920774">
        <w:rPr>
          <w:sz w:val="24"/>
          <w:szCs w:val="24"/>
          <w:lang w:val="de-DE"/>
        </w:rPr>
        <w:t>above-average university degree obtained within the last three years</w:t>
      </w:r>
    </w:p>
    <w:p w:rsidR="00920774" w:rsidRPr="00920774" w:rsidRDefault="00920774" w:rsidP="00B67654">
      <w:pPr>
        <w:numPr>
          <w:ilvl w:val="0"/>
          <w:numId w:val="11"/>
        </w:numPr>
        <w:spacing w:before="120" w:after="120"/>
        <w:rPr>
          <w:sz w:val="24"/>
          <w:szCs w:val="24"/>
          <w:lang w:val="de-DE"/>
        </w:rPr>
      </w:pPr>
      <w:r w:rsidRPr="00920774">
        <w:rPr>
          <w:sz w:val="24"/>
          <w:szCs w:val="24"/>
          <w:lang w:val="de-DE"/>
        </w:rPr>
        <w:t>all disciplines are eligible</w:t>
      </w:r>
    </w:p>
    <w:p w:rsidR="00920774" w:rsidRPr="00920774" w:rsidRDefault="00920774" w:rsidP="00B67654">
      <w:pPr>
        <w:numPr>
          <w:ilvl w:val="0"/>
          <w:numId w:val="11"/>
        </w:numPr>
        <w:spacing w:before="120" w:after="120"/>
        <w:rPr>
          <w:sz w:val="24"/>
          <w:szCs w:val="24"/>
          <w:lang w:val="de-DE"/>
        </w:rPr>
      </w:pPr>
      <w:r w:rsidRPr="00920774">
        <w:rPr>
          <w:sz w:val="24"/>
          <w:szCs w:val="24"/>
          <w:lang w:val="de-DE"/>
        </w:rPr>
        <w:t>citizenship and residence in one of the participating CEE-countries</w:t>
      </w:r>
    </w:p>
    <w:p w:rsidR="00920774" w:rsidRPr="00920774" w:rsidRDefault="00920774" w:rsidP="00B67654">
      <w:pPr>
        <w:numPr>
          <w:ilvl w:val="0"/>
          <w:numId w:val="11"/>
        </w:numPr>
        <w:spacing w:before="120" w:after="120"/>
        <w:rPr>
          <w:sz w:val="24"/>
          <w:szCs w:val="24"/>
          <w:lang w:val="de-DE"/>
        </w:rPr>
      </w:pPr>
      <w:r w:rsidRPr="00920774">
        <w:rPr>
          <w:sz w:val="24"/>
          <w:szCs w:val="24"/>
          <w:lang w:val="de-DE"/>
        </w:rPr>
        <w:t xml:space="preserve">proposal of an environmental relevant and applied topic; </w:t>
      </w:r>
      <w:proofErr w:type="spellStart"/>
      <w:r w:rsidRPr="00920774">
        <w:rPr>
          <w:sz w:val="24"/>
          <w:szCs w:val="24"/>
          <w:lang w:val="de-DE"/>
        </w:rPr>
        <w:t>please</w:t>
      </w:r>
      <w:proofErr w:type="spellEnd"/>
      <w:r w:rsidRPr="00920774">
        <w:rPr>
          <w:sz w:val="24"/>
          <w:szCs w:val="24"/>
          <w:lang w:val="de-DE"/>
        </w:rPr>
        <w:t xml:space="preserve"> check </w:t>
      </w:r>
      <w:proofErr w:type="spellStart"/>
      <w:r w:rsidRPr="00920774">
        <w:rPr>
          <w:sz w:val="24"/>
          <w:szCs w:val="24"/>
          <w:lang w:val="de-DE"/>
        </w:rPr>
        <w:t>our</w:t>
      </w:r>
      <w:proofErr w:type="spellEnd"/>
      <w:r w:rsidRPr="00920774">
        <w:rPr>
          <w:sz w:val="24"/>
          <w:szCs w:val="24"/>
          <w:lang w:val="de-DE"/>
        </w:rPr>
        <w:t xml:space="preserve"> </w:t>
      </w:r>
      <w:hyperlink r:id="rId12" w:history="1">
        <w:r w:rsidRPr="00920774">
          <w:rPr>
            <w:rStyle w:val="Hyperlink"/>
            <w:sz w:val="24"/>
            <w:szCs w:val="24"/>
            <w:lang w:val="de-DE"/>
          </w:rPr>
          <w:t>FAQs</w:t>
        </w:r>
      </w:hyperlink>
      <w:r w:rsidRPr="00920774">
        <w:rPr>
          <w:sz w:val="24"/>
          <w:szCs w:val="24"/>
          <w:lang w:val="de-DE"/>
        </w:rPr>
        <w:t xml:space="preserve"> </w:t>
      </w:r>
      <w:proofErr w:type="spellStart"/>
      <w:r w:rsidRPr="00920774">
        <w:rPr>
          <w:sz w:val="24"/>
          <w:szCs w:val="24"/>
          <w:lang w:val="de-DE"/>
        </w:rPr>
        <w:t>for</w:t>
      </w:r>
      <w:proofErr w:type="spellEnd"/>
      <w:r w:rsidRPr="00920774">
        <w:rPr>
          <w:sz w:val="24"/>
          <w:szCs w:val="24"/>
          <w:lang w:val="de-DE"/>
        </w:rPr>
        <w:t xml:space="preserve"> </w:t>
      </w:r>
      <w:proofErr w:type="spellStart"/>
      <w:r w:rsidRPr="00920774">
        <w:rPr>
          <w:sz w:val="24"/>
          <w:szCs w:val="24"/>
          <w:lang w:val="de-DE"/>
        </w:rPr>
        <w:t>the</w:t>
      </w:r>
      <w:proofErr w:type="spellEnd"/>
      <w:r w:rsidRPr="00920774">
        <w:rPr>
          <w:sz w:val="24"/>
          <w:szCs w:val="24"/>
          <w:lang w:val="de-DE"/>
        </w:rPr>
        <w:t xml:space="preserve"> </w:t>
      </w:r>
      <w:proofErr w:type="spellStart"/>
      <w:r w:rsidRPr="00920774">
        <w:rPr>
          <w:sz w:val="24"/>
          <w:szCs w:val="24"/>
          <w:lang w:val="de-DE"/>
        </w:rPr>
        <w:t>outline</w:t>
      </w:r>
      <w:proofErr w:type="spellEnd"/>
    </w:p>
    <w:p w:rsidR="00920774" w:rsidRPr="00920774" w:rsidRDefault="00920774" w:rsidP="00B67654">
      <w:pPr>
        <w:numPr>
          <w:ilvl w:val="0"/>
          <w:numId w:val="11"/>
        </w:numPr>
        <w:spacing w:before="120" w:after="120"/>
        <w:rPr>
          <w:sz w:val="24"/>
          <w:szCs w:val="24"/>
          <w:lang w:val="de-DE"/>
        </w:rPr>
      </w:pPr>
      <w:r w:rsidRPr="00920774">
        <w:rPr>
          <w:sz w:val="24"/>
          <w:szCs w:val="24"/>
          <w:lang w:val="de-DE"/>
        </w:rPr>
        <w:t>sufficient knowledge of the German language; needs to be proven at the beginning of the stay at the host institution</w:t>
      </w:r>
    </w:p>
    <w:p w:rsidR="00920774" w:rsidRPr="00920774" w:rsidRDefault="00920774" w:rsidP="00B67654">
      <w:pPr>
        <w:numPr>
          <w:ilvl w:val="0"/>
          <w:numId w:val="11"/>
        </w:numPr>
        <w:spacing w:before="120" w:after="120"/>
        <w:rPr>
          <w:sz w:val="24"/>
          <w:szCs w:val="24"/>
          <w:lang w:val="de-DE"/>
        </w:rPr>
      </w:pPr>
      <w:r w:rsidRPr="00920774">
        <w:rPr>
          <w:sz w:val="24"/>
          <w:szCs w:val="24"/>
          <w:lang w:val="de-DE"/>
        </w:rPr>
        <w:t>doctoral candidates can apply if the doctoral project is not completed until after the end of the scholarship</w:t>
      </w:r>
    </w:p>
    <w:p w:rsidR="00920774" w:rsidRPr="00920774" w:rsidRDefault="00920774" w:rsidP="00920774">
      <w:pPr>
        <w:spacing w:before="120" w:after="120"/>
        <w:rPr>
          <w:sz w:val="24"/>
          <w:szCs w:val="24"/>
          <w:lang w:val="de-DE"/>
        </w:rPr>
      </w:pPr>
      <w:r w:rsidRPr="00920774">
        <w:rPr>
          <w:b/>
          <w:bCs/>
          <w:sz w:val="24"/>
          <w:szCs w:val="24"/>
          <w:lang w:val="de-DE"/>
        </w:rPr>
        <w:t>Funding</w:t>
      </w:r>
    </w:p>
    <w:p w:rsidR="00920774" w:rsidRPr="00920774" w:rsidRDefault="00920774" w:rsidP="00B67654">
      <w:pPr>
        <w:numPr>
          <w:ilvl w:val="0"/>
          <w:numId w:val="12"/>
        </w:numPr>
        <w:spacing w:before="120" w:after="120"/>
        <w:rPr>
          <w:sz w:val="24"/>
          <w:szCs w:val="24"/>
          <w:lang w:val="de-DE"/>
        </w:rPr>
      </w:pPr>
      <w:r w:rsidRPr="00920774">
        <w:rPr>
          <w:sz w:val="24"/>
          <w:szCs w:val="24"/>
          <w:lang w:val="de-DE"/>
        </w:rPr>
        <w:t xml:space="preserve">up to 60 CEE-fellows are funded per year; you </w:t>
      </w:r>
      <w:proofErr w:type="spellStart"/>
      <w:r w:rsidRPr="00920774">
        <w:rPr>
          <w:sz w:val="24"/>
          <w:szCs w:val="24"/>
          <w:lang w:val="de-DE"/>
        </w:rPr>
        <w:t>can</w:t>
      </w:r>
      <w:proofErr w:type="spellEnd"/>
      <w:r w:rsidRPr="00920774">
        <w:rPr>
          <w:sz w:val="24"/>
          <w:szCs w:val="24"/>
          <w:lang w:val="de-DE"/>
        </w:rPr>
        <w:t xml:space="preserve"> check </w:t>
      </w:r>
      <w:proofErr w:type="spellStart"/>
      <w:r w:rsidRPr="00920774">
        <w:rPr>
          <w:sz w:val="24"/>
          <w:szCs w:val="24"/>
          <w:lang w:val="de-DE"/>
        </w:rPr>
        <w:t>our</w:t>
      </w:r>
      <w:proofErr w:type="spellEnd"/>
      <w:r w:rsidRPr="00920774">
        <w:rPr>
          <w:sz w:val="24"/>
          <w:szCs w:val="24"/>
          <w:lang w:val="de-DE"/>
        </w:rPr>
        <w:t xml:space="preserve"> </w:t>
      </w:r>
      <w:hyperlink r:id="rId13" w:history="1">
        <w:proofErr w:type="spellStart"/>
        <w:r w:rsidRPr="00920774">
          <w:rPr>
            <w:rStyle w:val="Hyperlink"/>
            <w:sz w:val="24"/>
            <w:szCs w:val="24"/>
            <w:lang w:val="de-DE"/>
          </w:rPr>
          <w:t>database</w:t>
        </w:r>
        <w:proofErr w:type="spellEnd"/>
      </w:hyperlink>
      <w:r w:rsidRPr="00920774">
        <w:rPr>
          <w:sz w:val="24"/>
          <w:szCs w:val="24"/>
          <w:lang w:val="de-DE"/>
        </w:rPr>
        <w:t xml:space="preserve"> </w:t>
      </w:r>
      <w:proofErr w:type="spellStart"/>
      <w:r w:rsidRPr="00920774">
        <w:rPr>
          <w:sz w:val="24"/>
          <w:szCs w:val="24"/>
          <w:lang w:val="de-DE"/>
        </w:rPr>
        <w:t>for</w:t>
      </w:r>
      <w:proofErr w:type="spellEnd"/>
      <w:r w:rsidRPr="00920774">
        <w:rPr>
          <w:sz w:val="24"/>
          <w:szCs w:val="24"/>
          <w:lang w:val="de-DE"/>
        </w:rPr>
        <w:t xml:space="preserve"> </w:t>
      </w:r>
      <w:proofErr w:type="spellStart"/>
      <w:r w:rsidRPr="00920774">
        <w:rPr>
          <w:sz w:val="24"/>
          <w:szCs w:val="24"/>
          <w:lang w:val="de-DE"/>
        </w:rPr>
        <w:t>examples</w:t>
      </w:r>
      <w:proofErr w:type="spellEnd"/>
    </w:p>
    <w:p w:rsidR="00920774" w:rsidRPr="00920774" w:rsidRDefault="00920774" w:rsidP="00B67654">
      <w:pPr>
        <w:numPr>
          <w:ilvl w:val="0"/>
          <w:numId w:val="12"/>
        </w:numPr>
        <w:spacing w:before="120" w:after="120"/>
        <w:rPr>
          <w:sz w:val="24"/>
          <w:szCs w:val="24"/>
          <w:lang w:val="de-DE"/>
        </w:rPr>
      </w:pPr>
      <w:r w:rsidRPr="00920774">
        <w:rPr>
          <w:sz w:val="24"/>
          <w:szCs w:val="24"/>
          <w:lang w:val="de-DE"/>
        </w:rPr>
        <w:t>funding period: 6-12 months</w:t>
      </w:r>
    </w:p>
    <w:p w:rsidR="00920774" w:rsidRPr="00920774" w:rsidRDefault="00920774" w:rsidP="00B67654">
      <w:pPr>
        <w:numPr>
          <w:ilvl w:val="0"/>
          <w:numId w:val="12"/>
        </w:numPr>
        <w:spacing w:before="120" w:after="120"/>
        <w:rPr>
          <w:sz w:val="24"/>
          <w:szCs w:val="24"/>
          <w:lang w:val="de-DE"/>
        </w:rPr>
      </w:pPr>
      <w:r w:rsidRPr="00920774">
        <w:rPr>
          <w:sz w:val="24"/>
          <w:szCs w:val="24"/>
          <w:lang w:val="de-DE"/>
        </w:rPr>
        <w:t>monthly grant: 1.250 €</w:t>
      </w:r>
    </w:p>
    <w:p w:rsidR="00920774" w:rsidRPr="00920774" w:rsidRDefault="00920774" w:rsidP="00B67654">
      <w:pPr>
        <w:numPr>
          <w:ilvl w:val="0"/>
          <w:numId w:val="12"/>
        </w:numPr>
        <w:spacing w:before="120" w:after="120"/>
        <w:rPr>
          <w:sz w:val="24"/>
          <w:szCs w:val="24"/>
          <w:lang w:val="de-DE"/>
        </w:rPr>
      </w:pPr>
      <w:r w:rsidRPr="00920774">
        <w:rPr>
          <w:sz w:val="24"/>
          <w:szCs w:val="24"/>
          <w:lang w:val="de-DE"/>
        </w:rPr>
        <w:t>health, accident and liability insurance</w:t>
      </w:r>
    </w:p>
    <w:p w:rsidR="00920774" w:rsidRPr="00920774" w:rsidRDefault="00920774" w:rsidP="00B67654">
      <w:pPr>
        <w:numPr>
          <w:ilvl w:val="0"/>
          <w:numId w:val="12"/>
        </w:numPr>
        <w:spacing w:before="120" w:after="120"/>
        <w:rPr>
          <w:sz w:val="24"/>
          <w:szCs w:val="24"/>
          <w:lang w:val="de-DE"/>
        </w:rPr>
      </w:pPr>
      <w:r w:rsidRPr="00920774">
        <w:rPr>
          <w:sz w:val="24"/>
          <w:szCs w:val="24"/>
          <w:lang w:val="de-DE"/>
        </w:rPr>
        <w:t>several weeks of intensive German course in Osnabrück before the beginning of the stay at the host institution</w:t>
      </w:r>
    </w:p>
    <w:p w:rsidR="00920774" w:rsidRPr="00920774" w:rsidRDefault="00920774" w:rsidP="00920774">
      <w:pPr>
        <w:spacing w:before="120" w:after="120"/>
        <w:rPr>
          <w:sz w:val="24"/>
          <w:szCs w:val="24"/>
          <w:lang w:val="de-DE"/>
        </w:rPr>
      </w:pPr>
      <w:r w:rsidRPr="00920774">
        <w:rPr>
          <w:b/>
          <w:bCs/>
          <w:sz w:val="24"/>
          <w:szCs w:val="24"/>
          <w:lang w:val="de-DE"/>
        </w:rPr>
        <w:t>Mentoring</w:t>
      </w:r>
    </w:p>
    <w:p w:rsidR="00920774" w:rsidRPr="00920774" w:rsidRDefault="00920774" w:rsidP="00B67654">
      <w:pPr>
        <w:numPr>
          <w:ilvl w:val="0"/>
          <w:numId w:val="13"/>
        </w:numPr>
        <w:spacing w:before="120" w:after="120"/>
        <w:rPr>
          <w:sz w:val="24"/>
          <w:szCs w:val="24"/>
          <w:lang w:val="de-DE"/>
        </w:rPr>
      </w:pPr>
      <w:r w:rsidRPr="00920774">
        <w:rPr>
          <w:sz w:val="24"/>
          <w:szCs w:val="24"/>
          <w:lang w:val="de-DE"/>
        </w:rPr>
        <w:t>support with finding an appropriate host institution in Germany: hosts can be e.g. universities, research institutes, companies, authorities, NGOs</w:t>
      </w:r>
    </w:p>
    <w:p w:rsidR="00920774" w:rsidRPr="00920774" w:rsidRDefault="00920774" w:rsidP="00B67654">
      <w:pPr>
        <w:numPr>
          <w:ilvl w:val="0"/>
          <w:numId w:val="13"/>
        </w:numPr>
        <w:spacing w:before="120" w:after="120"/>
        <w:rPr>
          <w:sz w:val="24"/>
          <w:szCs w:val="24"/>
          <w:lang w:val="de-DE"/>
        </w:rPr>
      </w:pPr>
      <w:r w:rsidRPr="00920774">
        <w:rPr>
          <w:sz w:val="24"/>
          <w:szCs w:val="24"/>
          <w:lang w:val="de-DE"/>
        </w:rPr>
        <w:t>seminars for exchange between fellows</w:t>
      </w:r>
    </w:p>
    <w:p w:rsidR="00920774" w:rsidRPr="00920774" w:rsidRDefault="00920774" w:rsidP="00B67654">
      <w:pPr>
        <w:numPr>
          <w:ilvl w:val="0"/>
          <w:numId w:val="13"/>
        </w:numPr>
        <w:spacing w:before="120" w:after="120"/>
        <w:rPr>
          <w:sz w:val="24"/>
          <w:szCs w:val="24"/>
          <w:lang w:val="de-DE"/>
        </w:rPr>
      </w:pPr>
      <w:r w:rsidRPr="00920774">
        <w:rPr>
          <w:sz w:val="24"/>
          <w:szCs w:val="24"/>
          <w:lang w:val="de-DE"/>
        </w:rPr>
        <w:t xml:space="preserve">invitation to important events of the DBU, such as the </w:t>
      </w:r>
      <w:hyperlink r:id="rId14" w:tgtFrame="_blank" w:history="1">
        <w:r w:rsidRPr="00920774">
          <w:rPr>
            <w:rStyle w:val="Hyperlink"/>
            <w:sz w:val="24"/>
            <w:szCs w:val="24"/>
            <w:lang w:val="de-DE"/>
          </w:rPr>
          <w:t>German Environmental Award</w:t>
        </w:r>
      </w:hyperlink>
    </w:p>
    <w:p w:rsidR="00920774" w:rsidRPr="00920774" w:rsidRDefault="00920774" w:rsidP="00B67654">
      <w:pPr>
        <w:numPr>
          <w:ilvl w:val="0"/>
          <w:numId w:val="13"/>
        </w:numPr>
        <w:spacing w:before="120" w:after="120"/>
        <w:rPr>
          <w:sz w:val="24"/>
          <w:szCs w:val="24"/>
          <w:lang w:val="de-DE"/>
        </w:rPr>
      </w:pPr>
      <w:r w:rsidRPr="00920774">
        <w:rPr>
          <w:sz w:val="24"/>
          <w:szCs w:val="24"/>
          <w:lang w:val="de-DE"/>
        </w:rPr>
        <w:t>networking between fellows and alumni via the online platform Stipnet</w:t>
      </w:r>
    </w:p>
    <w:p w:rsidR="00920774" w:rsidRPr="00920774" w:rsidRDefault="00920774" w:rsidP="00B67654">
      <w:pPr>
        <w:numPr>
          <w:ilvl w:val="0"/>
          <w:numId w:val="13"/>
        </w:numPr>
        <w:spacing w:before="120" w:after="120"/>
        <w:rPr>
          <w:sz w:val="24"/>
          <w:szCs w:val="24"/>
          <w:lang w:val="de-DE"/>
        </w:rPr>
      </w:pPr>
      <w:r w:rsidRPr="00920774">
        <w:rPr>
          <w:sz w:val="24"/>
          <w:szCs w:val="24"/>
          <w:lang w:val="de-DE"/>
        </w:rPr>
        <w:t>yearly meetings of Alumni in their home countries</w:t>
      </w:r>
    </w:p>
    <w:p w:rsidR="00920774" w:rsidRPr="00920774" w:rsidRDefault="0058118D" w:rsidP="00920774">
      <w:pPr>
        <w:spacing w:before="120" w:after="120"/>
        <w:jc w:val="left"/>
        <w:rPr>
          <w:sz w:val="24"/>
          <w:szCs w:val="24"/>
          <w:lang w:val="de-DE"/>
        </w:rPr>
      </w:pPr>
      <w:r>
        <w:rPr>
          <w:sz w:val="24"/>
          <w:szCs w:val="24"/>
          <w:lang w:val="de-DE"/>
        </w:rPr>
        <w:t xml:space="preserve">More </w:t>
      </w:r>
      <w:proofErr w:type="spellStart"/>
      <w:r>
        <w:rPr>
          <w:sz w:val="24"/>
          <w:szCs w:val="24"/>
          <w:lang w:val="de-DE"/>
        </w:rPr>
        <w:t>inforrmation</w:t>
      </w:r>
      <w:proofErr w:type="spellEnd"/>
      <w:r>
        <w:rPr>
          <w:sz w:val="24"/>
          <w:szCs w:val="24"/>
          <w:lang w:val="de-DE"/>
        </w:rPr>
        <w:t xml:space="preserve"> and on</w:t>
      </w:r>
      <w:r w:rsidR="00920774">
        <w:rPr>
          <w:sz w:val="24"/>
          <w:szCs w:val="24"/>
          <w:lang w:val="de-DE"/>
        </w:rPr>
        <w:t xml:space="preserve">line </w:t>
      </w:r>
      <w:proofErr w:type="spellStart"/>
      <w:r w:rsidR="00920774">
        <w:rPr>
          <w:sz w:val="24"/>
          <w:szCs w:val="24"/>
          <w:lang w:val="de-DE"/>
        </w:rPr>
        <w:t>application</w:t>
      </w:r>
      <w:proofErr w:type="spellEnd"/>
      <w:r w:rsidR="00920774">
        <w:rPr>
          <w:sz w:val="24"/>
          <w:szCs w:val="24"/>
          <w:lang w:val="de-DE"/>
        </w:rPr>
        <w:t xml:space="preserve"> </w:t>
      </w:r>
      <w:hyperlink r:id="rId15" w:tgtFrame="_blank" w:history="1">
        <w:r w:rsidR="00920774">
          <w:rPr>
            <w:rStyle w:val="Hyperlink"/>
            <w:b/>
            <w:sz w:val="24"/>
            <w:szCs w:val="24"/>
            <w:lang w:val="en-US"/>
          </w:rPr>
          <w:t xml:space="preserve"> here</w:t>
        </w:r>
      </w:hyperlink>
    </w:p>
    <w:p w:rsidR="00920774" w:rsidRPr="00920774" w:rsidRDefault="00920774" w:rsidP="006872C2">
      <w:pPr>
        <w:spacing w:before="120" w:after="120"/>
        <w:rPr>
          <w:b/>
          <w:sz w:val="24"/>
          <w:szCs w:val="24"/>
          <w:lang w:val="de-DE"/>
        </w:rPr>
      </w:pPr>
      <w:r w:rsidRPr="00920774">
        <w:rPr>
          <w:b/>
          <w:sz w:val="24"/>
          <w:szCs w:val="24"/>
          <w:lang w:val="de-DE"/>
        </w:rPr>
        <w:t>Deadline: 12 December 2018</w:t>
      </w:r>
    </w:p>
    <w:p w:rsidR="002534B1" w:rsidRPr="0058118D" w:rsidRDefault="00C36D68" w:rsidP="00C36D68">
      <w:pPr>
        <w:pStyle w:val="Heading2"/>
        <w:ind w:left="426"/>
      </w:pPr>
      <w:bookmarkStart w:id="4" w:name="_Toc529797562"/>
      <w:r>
        <w:lastRenderedPageBreak/>
        <w:t>К</w:t>
      </w:r>
      <w:r w:rsidR="0058118D">
        <w:t xml:space="preserve">орейски </w:t>
      </w:r>
      <w:r w:rsidR="002534B1" w:rsidRPr="002534B1">
        <w:t>Стипендии за магистърска и докторска степен през 2019 г.</w:t>
      </w:r>
      <w:bookmarkEnd w:id="4"/>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2534B1">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Default="002534B1" w:rsidP="002534B1">
      <w:pPr>
        <w:spacing w:before="120" w:after="120"/>
        <w:rPr>
          <w:sz w:val="24"/>
          <w:szCs w:val="24"/>
          <w:lang w:val="en-US"/>
        </w:rPr>
      </w:pPr>
      <w:r>
        <w:rPr>
          <w:sz w:val="24"/>
          <w:szCs w:val="24"/>
        </w:rPr>
        <w:t xml:space="preserve">Допълнителна информация – в </w:t>
      </w:r>
      <w:hyperlink r:id="rId16" w:history="1">
        <w:r w:rsidRPr="002534B1">
          <w:rPr>
            <w:rStyle w:val="Hyperlink"/>
            <w:sz w:val="24"/>
            <w:szCs w:val="24"/>
          </w:rPr>
          <w:t>приложения документ</w:t>
        </w:r>
      </w:hyperlink>
      <w:r w:rsidRPr="002534B1">
        <w:rPr>
          <w:sz w:val="24"/>
          <w:szCs w:val="24"/>
        </w:rPr>
        <w:t xml:space="preserve"> и на </w:t>
      </w:r>
      <w:hyperlink r:id="rId17" w:tgtFrame="_blank" w:tooltip="Уебсайт на DGIST" w:history="1">
        <w:r w:rsidRPr="002534B1">
          <w:rPr>
            <w:rStyle w:val="Hyperlink"/>
            <w:sz w:val="24"/>
            <w:szCs w:val="24"/>
          </w:rPr>
          <w:t>уебсайт на DGIST</w:t>
        </w:r>
      </w:hyperlink>
      <w:r w:rsidRPr="002534B1">
        <w:rPr>
          <w:sz w:val="24"/>
          <w:szCs w:val="24"/>
        </w:rPr>
        <w:t>.</w:t>
      </w:r>
    </w:p>
    <w:p w:rsidR="0058118D" w:rsidRPr="0058118D" w:rsidRDefault="0058118D" w:rsidP="002614B9">
      <w:pPr>
        <w:spacing w:before="120" w:after="480"/>
        <w:rPr>
          <w:sz w:val="24"/>
          <w:szCs w:val="24"/>
          <w:lang w:val="en-US"/>
        </w:rPr>
      </w:pPr>
      <w:r>
        <w:rPr>
          <w:b/>
          <w:bCs/>
          <w:sz w:val="24"/>
          <w:szCs w:val="24"/>
        </w:rPr>
        <w:t xml:space="preserve">Краен срок: </w:t>
      </w:r>
      <w:r w:rsidRPr="002534B1">
        <w:rPr>
          <w:b/>
          <w:bCs/>
          <w:sz w:val="24"/>
          <w:szCs w:val="24"/>
        </w:rPr>
        <w:t>19 април 2019 г.</w:t>
      </w:r>
    </w:p>
    <w:p w:rsidR="00C177E1" w:rsidRPr="00FE7B4C" w:rsidRDefault="00C177E1" w:rsidP="00170D2F">
      <w:pPr>
        <w:pStyle w:val="Heading2"/>
        <w:ind w:left="425" w:hanging="357"/>
        <w:rPr>
          <w:lang w:val="ru-RU"/>
        </w:rPr>
      </w:pPr>
      <w:bookmarkStart w:id="5" w:name="_Toc529797563"/>
      <w:r>
        <w:t>Платен стаж в Световната търговска организация</w:t>
      </w:r>
      <w:bookmarkEnd w:id="5"/>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614B9">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6" w:name="_Toc529797564"/>
      <w:r>
        <w:t xml:space="preserve">Стажантска програма на </w:t>
      </w:r>
      <w:r w:rsidRPr="005851AE">
        <w:rPr>
          <w:rFonts w:ascii="Times New Roman" w:hAnsi="Times New Roman"/>
        </w:rPr>
        <w:t>УниКредит Булбанк</w:t>
      </w:r>
      <w:bookmarkEnd w:id="6"/>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w:t>
      </w:r>
      <w:proofErr w:type="spellStart"/>
      <w:r w:rsidRPr="00A83FCB">
        <w:rPr>
          <w:rFonts w:cs="Times New Roman"/>
          <w:sz w:val="24"/>
          <w:szCs w:val="24"/>
        </w:rPr>
        <w:t>УниКредитФакторинг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УниКиредитКънсюмърФайненсинг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9"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0"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lastRenderedPageBreak/>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7" w:name="_Toc529797565"/>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1"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529797566"/>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 xml:space="preserve">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w:t>
      </w:r>
      <w:proofErr w:type="spellStart"/>
      <w:r w:rsidRPr="00A724B3">
        <w:rPr>
          <w:rFonts w:cs="Times New Roman"/>
          <w:sz w:val="24"/>
          <w:szCs w:val="24"/>
        </w:rPr>
        <w:t>закандидатстването</w:t>
      </w:r>
      <w:proofErr w:type="spellEnd"/>
      <w:r w:rsidRPr="00A724B3">
        <w:rPr>
          <w:rFonts w:cs="Times New Roman"/>
          <w:sz w:val="24"/>
          <w:szCs w:val="24"/>
        </w:rPr>
        <w:t xml:space="preserve">, което продължава през цялата година, можете да намерите на </w:t>
      </w:r>
      <w:proofErr w:type="spellStart"/>
      <w:r w:rsidRPr="00A724B3">
        <w:rPr>
          <w:rFonts w:cs="Times New Roman"/>
          <w:sz w:val="24"/>
          <w:szCs w:val="24"/>
        </w:rPr>
        <w:t>официалния</w:t>
      </w:r>
      <w:hyperlink r:id="rId22" w:tgtFrame="_blank" w:history="1">
        <w:r w:rsidRPr="00A724B3">
          <w:rPr>
            <w:rFonts w:cs="Times New Roman"/>
            <w:color w:val="2C80D5"/>
            <w:sz w:val="24"/>
            <w:szCs w:val="24"/>
          </w:rPr>
          <w:t>сайт</w:t>
        </w:r>
        <w:proofErr w:type="spellEnd"/>
      </w:hyperlink>
      <w:r>
        <w:rPr>
          <w:rFonts w:cs="Times New Roman"/>
          <w:color w:val="2C80D5"/>
          <w:sz w:val="24"/>
          <w:szCs w:val="24"/>
        </w:rPr>
        <w:t xml:space="preserve"> на академията</w:t>
      </w:r>
      <w:r w:rsidRPr="00A724B3">
        <w:rPr>
          <w:rFonts w:cs="Times New Roman"/>
          <w:color w:val="515151"/>
          <w:sz w:val="24"/>
          <w:szCs w:val="24"/>
        </w:rPr>
        <w:t>.</w:t>
      </w:r>
    </w:p>
    <w:p w:rsidR="00FC7476" w:rsidRPr="006317F0" w:rsidRDefault="00C177E1" w:rsidP="00CC4770">
      <w:pPr>
        <w:spacing w:before="120" w:after="480"/>
        <w:rPr>
          <w:rFonts w:cs="Times New Roman"/>
          <w:b/>
          <w:sz w:val="24"/>
          <w:szCs w:val="24"/>
          <w:lang w:val="ru-RU"/>
        </w:rPr>
      </w:pPr>
      <w:r w:rsidRPr="00A724B3">
        <w:rPr>
          <w:rFonts w:cs="Times New Roman"/>
          <w:b/>
          <w:sz w:val="24"/>
          <w:szCs w:val="24"/>
        </w:rPr>
        <w:t>Краен срок: целогодишно</w:t>
      </w:r>
    </w:p>
    <w:p w:rsidR="002614B9" w:rsidRPr="002614B9" w:rsidRDefault="002614B9" w:rsidP="002614B9">
      <w:pPr>
        <w:pStyle w:val="Heading2"/>
        <w:ind w:left="426"/>
      </w:pPr>
      <w:bookmarkStart w:id="9" w:name="_Toc529797567"/>
      <w:r w:rsidRPr="002614B9">
        <w:t>Стаж за юристи</w:t>
      </w:r>
      <w:bookmarkEnd w:id="9"/>
    </w:p>
    <w:p w:rsidR="002614B9" w:rsidRDefault="007E3FD7" w:rsidP="001E2550">
      <w:pPr>
        <w:spacing w:before="120" w:after="120"/>
        <w:rPr>
          <w:sz w:val="24"/>
          <w:szCs w:val="24"/>
        </w:rPr>
      </w:pPr>
      <w:r w:rsidRPr="002614B9">
        <w:rPr>
          <w:bCs/>
          <w:sz w:val="24"/>
          <w:szCs w:val="24"/>
        </w:rPr>
        <w:t>Адвокатско дружество "Добрев и Люцканов" търси стажант-юрист за офиса си в София.</w:t>
      </w:r>
      <w:r w:rsidRPr="002614B9">
        <w:rPr>
          <w:sz w:val="24"/>
          <w:szCs w:val="24"/>
        </w:rPr>
        <w:t xml:space="preserve"> </w:t>
      </w:r>
      <w:r w:rsidRPr="007E3FD7">
        <w:rPr>
          <w:sz w:val="24"/>
          <w:szCs w:val="24"/>
        </w:rPr>
        <w:t xml:space="preserve">Изискванията към кандидатите са да са студенти по "Право" в IV/V курс на Юридическия факултет към СУ "Св. Климент Охридски", средният им успех да не е по-малък от 5.00 от положените до момента изпити, а доброто владеене на английски език се счита за предимство. </w:t>
      </w:r>
    </w:p>
    <w:p w:rsidR="002614B9" w:rsidRDefault="007E3FD7" w:rsidP="001E2550">
      <w:pPr>
        <w:spacing w:before="120" w:after="120"/>
        <w:rPr>
          <w:sz w:val="24"/>
          <w:szCs w:val="24"/>
        </w:rPr>
      </w:pPr>
      <w:r w:rsidRPr="007E3FD7">
        <w:rPr>
          <w:sz w:val="24"/>
          <w:szCs w:val="24"/>
        </w:rPr>
        <w:t xml:space="preserve">Стажант-юристът ще работи на непълен работен ден, с възможност за развитие в дружеството в дългосрочен план. </w:t>
      </w:r>
    </w:p>
    <w:p w:rsidR="002614B9" w:rsidRDefault="007E3FD7" w:rsidP="001E2550">
      <w:pPr>
        <w:spacing w:before="120" w:after="120"/>
        <w:rPr>
          <w:sz w:val="24"/>
          <w:szCs w:val="24"/>
        </w:rPr>
      </w:pPr>
      <w:r w:rsidRPr="007E3FD7">
        <w:rPr>
          <w:sz w:val="24"/>
          <w:szCs w:val="24"/>
        </w:rPr>
        <w:lastRenderedPageBreak/>
        <w:t xml:space="preserve">Стажът е неплатен. Кандидатства се със CV на </w:t>
      </w:r>
      <w:hyperlink r:id="rId23" w:tgtFrame="_blank" w:history="1">
        <w:r w:rsidRPr="007E3FD7">
          <w:rPr>
            <w:rStyle w:val="Hyperlink"/>
            <w:sz w:val="24"/>
            <w:szCs w:val="24"/>
          </w:rPr>
          <w:t>jobs@www.legaldl.com</w:t>
        </w:r>
      </w:hyperlink>
      <w:r w:rsidRPr="007E3FD7">
        <w:rPr>
          <w:sz w:val="24"/>
          <w:szCs w:val="24"/>
        </w:rPr>
        <w:t xml:space="preserve">.. </w:t>
      </w:r>
    </w:p>
    <w:p w:rsidR="006F305F" w:rsidRPr="006F305F" w:rsidRDefault="007E3FD7" w:rsidP="001E2550">
      <w:pPr>
        <w:spacing w:before="120" w:after="120"/>
        <w:rPr>
          <w:sz w:val="24"/>
          <w:szCs w:val="24"/>
          <w:lang w:val="ru-RU"/>
        </w:rPr>
      </w:pPr>
      <w:r w:rsidRPr="007E3FD7">
        <w:rPr>
          <w:sz w:val="24"/>
          <w:szCs w:val="24"/>
        </w:rPr>
        <w:t xml:space="preserve">Повече информация може да откриете </w:t>
      </w:r>
      <w:hyperlink r:id="rId24" w:tgtFrame="_blank" w:history="1">
        <w:r w:rsidRPr="007E3FD7">
          <w:rPr>
            <w:rStyle w:val="Hyperlink"/>
            <w:sz w:val="24"/>
            <w:szCs w:val="24"/>
          </w:rPr>
          <w:t>тук</w:t>
        </w:r>
      </w:hyperlink>
      <w:r w:rsidRPr="007E3FD7">
        <w:rPr>
          <w:sz w:val="24"/>
          <w:szCs w:val="24"/>
        </w:rPr>
        <w:t>.</w:t>
      </w:r>
    </w:p>
    <w:p w:rsidR="006F305F" w:rsidRPr="002614B9" w:rsidRDefault="006F305F" w:rsidP="002614B9">
      <w:pPr>
        <w:spacing w:before="120" w:after="480"/>
        <w:rPr>
          <w:b/>
          <w:sz w:val="24"/>
          <w:szCs w:val="24"/>
          <w:lang w:val="ru-RU"/>
        </w:rPr>
      </w:pPr>
      <w:r w:rsidRPr="006F305F">
        <w:rPr>
          <w:b/>
          <w:sz w:val="24"/>
          <w:szCs w:val="24"/>
        </w:rPr>
        <w:t>Кра</w:t>
      </w:r>
      <w:r w:rsidR="002614B9">
        <w:rPr>
          <w:b/>
          <w:sz w:val="24"/>
          <w:szCs w:val="24"/>
        </w:rPr>
        <w:t>ен</w:t>
      </w:r>
      <w:r w:rsidRPr="006F305F">
        <w:rPr>
          <w:b/>
          <w:sz w:val="24"/>
          <w:szCs w:val="24"/>
        </w:rPr>
        <w:t xml:space="preserve"> срок</w:t>
      </w:r>
      <w:r w:rsidR="002614B9">
        <w:rPr>
          <w:b/>
          <w:sz w:val="24"/>
          <w:szCs w:val="24"/>
        </w:rPr>
        <w:t>:</w:t>
      </w:r>
      <w:r w:rsidRPr="006F305F">
        <w:rPr>
          <w:b/>
          <w:sz w:val="24"/>
          <w:szCs w:val="24"/>
        </w:rPr>
        <w:t xml:space="preserve"> 28 ноември</w:t>
      </w:r>
      <w:r w:rsidR="002614B9">
        <w:rPr>
          <w:b/>
          <w:sz w:val="24"/>
          <w:szCs w:val="24"/>
        </w:rPr>
        <w:t xml:space="preserve"> 2018 г.</w:t>
      </w:r>
    </w:p>
    <w:p w:rsidR="002614B9" w:rsidRPr="002614B9" w:rsidRDefault="002614B9" w:rsidP="002614B9">
      <w:pPr>
        <w:pStyle w:val="Heading2"/>
        <w:ind w:left="426"/>
      </w:pPr>
      <w:bookmarkStart w:id="10" w:name="_Toc529797568"/>
      <w:r w:rsidRPr="002614B9">
        <w:t xml:space="preserve">Стаж в "Хюлет Пакард" </w:t>
      </w:r>
      <w:r>
        <w:t xml:space="preserve">- </w:t>
      </w:r>
      <w:r w:rsidRPr="002614B9">
        <w:t>България</w:t>
      </w:r>
      <w:bookmarkEnd w:id="10"/>
    </w:p>
    <w:p w:rsidR="002614B9" w:rsidRDefault="007E3FD7" w:rsidP="001E2550">
      <w:pPr>
        <w:spacing w:before="120" w:after="120"/>
        <w:rPr>
          <w:sz w:val="24"/>
          <w:szCs w:val="24"/>
        </w:rPr>
      </w:pPr>
      <w:r w:rsidRPr="002614B9">
        <w:rPr>
          <w:bCs/>
          <w:sz w:val="24"/>
          <w:szCs w:val="24"/>
        </w:rPr>
        <w:t>"</w:t>
      </w:r>
      <w:proofErr w:type="spellStart"/>
      <w:r w:rsidRPr="002614B9">
        <w:rPr>
          <w:bCs/>
          <w:sz w:val="24"/>
          <w:szCs w:val="24"/>
        </w:rPr>
        <w:t>Хюлет</w:t>
      </w:r>
      <w:proofErr w:type="spellEnd"/>
      <w:r w:rsidRPr="002614B9">
        <w:rPr>
          <w:bCs/>
          <w:sz w:val="24"/>
          <w:szCs w:val="24"/>
        </w:rPr>
        <w:t xml:space="preserve"> </w:t>
      </w:r>
      <w:proofErr w:type="spellStart"/>
      <w:r w:rsidRPr="002614B9">
        <w:rPr>
          <w:bCs/>
          <w:sz w:val="24"/>
          <w:szCs w:val="24"/>
        </w:rPr>
        <w:t>Пакард</w:t>
      </w:r>
      <w:proofErr w:type="spellEnd"/>
      <w:r w:rsidRPr="002614B9">
        <w:rPr>
          <w:bCs/>
          <w:sz w:val="24"/>
          <w:szCs w:val="24"/>
        </w:rPr>
        <w:t xml:space="preserve">" </w:t>
      </w:r>
      <w:r w:rsidR="002614B9" w:rsidRPr="002614B9">
        <w:rPr>
          <w:bCs/>
          <w:sz w:val="24"/>
          <w:szCs w:val="24"/>
        </w:rPr>
        <w:t xml:space="preserve">- </w:t>
      </w:r>
      <w:r w:rsidRPr="002614B9">
        <w:rPr>
          <w:bCs/>
          <w:sz w:val="24"/>
          <w:szCs w:val="24"/>
        </w:rPr>
        <w:t>България търси стажант, който ще се занимава с проектен мениджмънт и ще оказва генерална поддръжка на екипите, занимаващи се с подобрения.</w:t>
      </w:r>
      <w:r w:rsidRPr="002614B9">
        <w:rPr>
          <w:sz w:val="24"/>
          <w:szCs w:val="24"/>
        </w:rPr>
        <w:t xml:space="preserve"> </w:t>
      </w:r>
    </w:p>
    <w:p w:rsidR="002614B9" w:rsidRDefault="007E3FD7" w:rsidP="001E2550">
      <w:pPr>
        <w:spacing w:before="120" w:after="120"/>
        <w:rPr>
          <w:sz w:val="24"/>
          <w:szCs w:val="24"/>
        </w:rPr>
      </w:pPr>
      <w:r w:rsidRPr="002614B9">
        <w:rPr>
          <w:sz w:val="24"/>
          <w:szCs w:val="24"/>
        </w:rPr>
        <w:t>Пр</w:t>
      </w:r>
      <w:r w:rsidRPr="007E3FD7">
        <w:rPr>
          <w:sz w:val="24"/>
          <w:szCs w:val="24"/>
        </w:rPr>
        <w:t xml:space="preserve">одължителността на стажа е 6 месеца. Кандидатите трябва да са студенти в редовна форма на обучение – магистър или бакалавър, да говорят свободно английски език, да притежават добри технически умения (MS Visio, MS Excel, MS Power Point), да умеят да се изразяват ясно и да са с нагласа за намиране на иновативни решения по различни проблеми. </w:t>
      </w:r>
    </w:p>
    <w:p w:rsidR="00CF7687" w:rsidRDefault="007E3FD7" w:rsidP="001E2550">
      <w:pPr>
        <w:spacing w:before="120" w:after="120"/>
        <w:rPr>
          <w:sz w:val="24"/>
          <w:szCs w:val="24"/>
          <w:lang w:val="en-US"/>
        </w:rPr>
      </w:pPr>
      <w:r w:rsidRPr="007E3FD7">
        <w:rPr>
          <w:sz w:val="24"/>
          <w:szCs w:val="24"/>
        </w:rPr>
        <w:t xml:space="preserve">Стажантът ще осъществява анализ на данни, ще съставя доклади, графики, диаграми и други. За да кандидатствате, проследете </w:t>
      </w:r>
      <w:hyperlink r:id="rId25" w:tgtFrame="_blank" w:history="1">
        <w:r w:rsidRPr="007E3FD7">
          <w:rPr>
            <w:rStyle w:val="Hyperlink"/>
            <w:sz w:val="24"/>
            <w:szCs w:val="24"/>
          </w:rPr>
          <w:t>линка тук</w:t>
        </w:r>
      </w:hyperlink>
      <w:r w:rsidRPr="007E3FD7">
        <w:rPr>
          <w:sz w:val="24"/>
          <w:szCs w:val="24"/>
        </w:rPr>
        <w:t xml:space="preserve"> и следвайте инструкциите. Повече информация за стажантската програма може да видите </w:t>
      </w:r>
      <w:hyperlink r:id="rId26" w:anchor="overview" w:tgtFrame="_blank" w:history="1">
        <w:r w:rsidRPr="007E3FD7">
          <w:rPr>
            <w:rStyle w:val="Hyperlink"/>
            <w:sz w:val="24"/>
            <w:szCs w:val="24"/>
          </w:rPr>
          <w:t>тук</w:t>
        </w:r>
      </w:hyperlink>
      <w:r w:rsidRPr="007E3FD7">
        <w:rPr>
          <w:sz w:val="24"/>
          <w:szCs w:val="24"/>
        </w:rPr>
        <w:t>.</w:t>
      </w:r>
    </w:p>
    <w:p w:rsidR="006F305F" w:rsidRDefault="006F305F" w:rsidP="002614B9">
      <w:pPr>
        <w:spacing w:before="120" w:after="480"/>
        <w:rPr>
          <w:b/>
          <w:sz w:val="24"/>
          <w:szCs w:val="24"/>
        </w:rPr>
      </w:pPr>
      <w:r w:rsidRPr="006F305F">
        <w:rPr>
          <w:b/>
          <w:sz w:val="24"/>
          <w:szCs w:val="24"/>
        </w:rPr>
        <w:t>Краен срок: не е посочен</w:t>
      </w:r>
    </w:p>
    <w:p w:rsidR="00E04444" w:rsidRPr="00EF0AC6" w:rsidRDefault="00E04444" w:rsidP="00EF0AC6">
      <w:pPr>
        <w:pStyle w:val="Heading2"/>
        <w:ind w:left="426"/>
      </w:pPr>
      <w:bookmarkStart w:id="11" w:name="_Toc529797569"/>
      <w:r w:rsidRPr="00EF0AC6">
        <w:t>Национална награда "Студент на годината"</w:t>
      </w:r>
      <w:bookmarkEnd w:id="11"/>
    </w:p>
    <w:p w:rsidR="00EF0AC6" w:rsidRDefault="00272AD1" w:rsidP="001E2550">
      <w:pPr>
        <w:spacing w:before="120" w:after="120"/>
        <w:rPr>
          <w:sz w:val="24"/>
          <w:szCs w:val="24"/>
        </w:rPr>
      </w:pPr>
      <w:r w:rsidRPr="00EF0AC6">
        <w:rPr>
          <w:bCs/>
          <w:sz w:val="24"/>
          <w:szCs w:val="24"/>
        </w:rPr>
        <w:t>Националното представителство на студентските съвети организира национален приз "Студент на годината".</w:t>
      </w:r>
      <w:r w:rsidRPr="00272AD1">
        <w:rPr>
          <w:sz w:val="24"/>
          <w:szCs w:val="24"/>
        </w:rPr>
        <w:t xml:space="preserve"> </w:t>
      </w:r>
    </w:p>
    <w:p w:rsidR="00EF0AC6" w:rsidRDefault="00272AD1" w:rsidP="001E2550">
      <w:pPr>
        <w:spacing w:before="120" w:after="120"/>
        <w:rPr>
          <w:sz w:val="24"/>
          <w:szCs w:val="24"/>
        </w:rPr>
      </w:pPr>
      <w:r w:rsidRPr="00272AD1">
        <w:rPr>
          <w:sz w:val="24"/>
          <w:szCs w:val="24"/>
        </w:rPr>
        <w:t xml:space="preserve">Събитието има важна и основна цел да подпомогне процеса за повишаване качеството на висшето образование чрез придобиване на допълнителни знания чрез участие на студентите в </w:t>
      </w:r>
      <w:proofErr w:type="spellStart"/>
      <w:r w:rsidRPr="00272AD1">
        <w:rPr>
          <w:sz w:val="24"/>
          <w:szCs w:val="24"/>
        </w:rPr>
        <w:t>и</w:t>
      </w:r>
      <w:r w:rsidR="00EF0AC6">
        <w:rPr>
          <w:sz w:val="24"/>
          <w:szCs w:val="24"/>
        </w:rPr>
        <w:t>звънаудиторни</w:t>
      </w:r>
      <w:proofErr w:type="spellEnd"/>
      <w:r w:rsidR="00EF0AC6">
        <w:rPr>
          <w:sz w:val="24"/>
          <w:szCs w:val="24"/>
        </w:rPr>
        <w:t xml:space="preserve"> занимания, научно</w:t>
      </w:r>
      <w:r w:rsidRPr="00272AD1">
        <w:rPr>
          <w:sz w:val="24"/>
          <w:szCs w:val="24"/>
        </w:rPr>
        <w:t>изследователски проекти и международни конкурси, реализиране на придобитите знания</w:t>
      </w:r>
      <w:r w:rsidR="00EF0AC6">
        <w:rPr>
          <w:sz w:val="24"/>
          <w:szCs w:val="24"/>
        </w:rPr>
        <w:t xml:space="preserve">, подпомагане на </w:t>
      </w:r>
      <w:r w:rsidRPr="00272AD1">
        <w:rPr>
          <w:sz w:val="24"/>
          <w:szCs w:val="24"/>
        </w:rPr>
        <w:t>кариерното им развитие и популяризиране на постиженията им сред цялото българско общество, включително работодателите</w:t>
      </w:r>
      <w:r w:rsidR="00EF0AC6">
        <w:rPr>
          <w:sz w:val="24"/>
          <w:szCs w:val="24"/>
        </w:rPr>
        <w:t>.</w:t>
      </w:r>
    </w:p>
    <w:p w:rsidR="00EF0AC6" w:rsidRDefault="00272AD1" w:rsidP="001E2550">
      <w:pPr>
        <w:spacing w:before="120" w:after="120"/>
        <w:rPr>
          <w:sz w:val="24"/>
          <w:szCs w:val="24"/>
        </w:rPr>
      </w:pPr>
      <w:r w:rsidRPr="00272AD1">
        <w:rPr>
          <w:sz w:val="24"/>
          <w:szCs w:val="24"/>
        </w:rPr>
        <w:t xml:space="preserve">Студентите и докторантите трябва да подадат документи за участие в национален приз "Студент на годината" до 22 ноември. Единственото условие е студентът да е завършил успешно първи курс. Към номинацията се представя резюме за номинирания, както и всичко, което може да затвърди представата пред комисията, че е най-достойният кандидат (сертификати, дипломи, грамоти и други удостоверения). </w:t>
      </w:r>
    </w:p>
    <w:p w:rsidR="00CF7687" w:rsidRDefault="00272AD1" w:rsidP="001E2550">
      <w:pPr>
        <w:spacing w:before="120" w:after="120"/>
        <w:rPr>
          <w:sz w:val="24"/>
          <w:szCs w:val="24"/>
        </w:rPr>
      </w:pPr>
      <w:r w:rsidRPr="00272AD1">
        <w:rPr>
          <w:sz w:val="24"/>
          <w:szCs w:val="24"/>
        </w:rPr>
        <w:t xml:space="preserve">Номинацията се изпраща по куриер или български пощи до НПСС. Вътрешна комисия обработва всички постъпили документи за участие в конкурса в периода 25 ноември до 3 декември. Направените номинации се оценяват от жури в началото на месец декември. Повече информация може да откриете </w:t>
      </w:r>
      <w:hyperlink r:id="rId27" w:tgtFrame="_blank" w:history="1">
        <w:r w:rsidRPr="00272AD1">
          <w:rPr>
            <w:rStyle w:val="Hyperlink"/>
            <w:sz w:val="24"/>
            <w:szCs w:val="24"/>
          </w:rPr>
          <w:t>тук</w:t>
        </w:r>
      </w:hyperlink>
      <w:r w:rsidRPr="00272AD1">
        <w:rPr>
          <w:sz w:val="24"/>
          <w:szCs w:val="24"/>
        </w:rPr>
        <w:t>.</w:t>
      </w:r>
    </w:p>
    <w:p w:rsidR="006F305F" w:rsidRPr="00EF0AC6" w:rsidRDefault="006F305F" w:rsidP="001E2550">
      <w:pPr>
        <w:spacing w:before="120" w:after="120"/>
        <w:rPr>
          <w:b/>
          <w:sz w:val="24"/>
          <w:szCs w:val="24"/>
        </w:rPr>
      </w:pPr>
      <w:r w:rsidRPr="00EF0AC6">
        <w:rPr>
          <w:b/>
          <w:sz w:val="24"/>
          <w:szCs w:val="24"/>
        </w:rPr>
        <w:t>Крае</w:t>
      </w:r>
      <w:r w:rsidR="00C818D1" w:rsidRPr="00EF0AC6">
        <w:rPr>
          <w:b/>
          <w:sz w:val="24"/>
          <w:szCs w:val="24"/>
        </w:rPr>
        <w:t>н</w:t>
      </w:r>
      <w:r w:rsidRPr="00EF0AC6">
        <w:rPr>
          <w:b/>
          <w:sz w:val="24"/>
          <w:szCs w:val="24"/>
        </w:rPr>
        <w:t xml:space="preserve"> срок: 22 ноември 2018 г.</w:t>
      </w:r>
    </w:p>
    <w:p w:rsidR="00C818D1" w:rsidRPr="0035459C" w:rsidRDefault="00C818D1" w:rsidP="00C818D1">
      <w:pPr>
        <w:pStyle w:val="Heading2"/>
        <w:ind w:left="426"/>
      </w:pPr>
      <w:bookmarkStart w:id="12" w:name="_Toc529797570"/>
      <w:r w:rsidRPr="0035459C">
        <w:lastRenderedPageBreak/>
        <w:t>Конкурс за прием в програми на „Телерик академия”</w:t>
      </w:r>
      <w:bookmarkEnd w:id="12"/>
    </w:p>
    <w:p w:rsidR="00C818D1" w:rsidRDefault="00C818D1" w:rsidP="00C818D1">
      <w:pPr>
        <w:spacing w:before="120" w:after="120"/>
        <w:rPr>
          <w:rFonts w:cs="Times New Roman"/>
          <w:sz w:val="24"/>
          <w:szCs w:val="24"/>
        </w:rPr>
      </w:pPr>
      <w:r w:rsidRPr="0035459C">
        <w:rPr>
          <w:rStyle w:val="Strong"/>
          <w:rFonts w:cs="Times New Roman"/>
          <w:b w:val="0"/>
          <w:sz w:val="24"/>
          <w:szCs w:val="24"/>
        </w:rPr>
        <w:t>"</w:t>
      </w:r>
      <w:proofErr w:type="spellStart"/>
      <w:r w:rsidRPr="0035459C">
        <w:rPr>
          <w:rStyle w:val="Strong"/>
          <w:rFonts w:cs="Times New Roman"/>
          <w:b w:val="0"/>
          <w:sz w:val="24"/>
          <w:szCs w:val="24"/>
        </w:rPr>
        <w:t>Телерик</w:t>
      </w:r>
      <w:proofErr w:type="spellEnd"/>
      <w:r w:rsidRPr="0035459C">
        <w:rPr>
          <w:rStyle w:val="Strong"/>
          <w:rFonts w:cs="Times New Roman"/>
          <w:b w:val="0"/>
          <w:sz w:val="24"/>
          <w:szCs w:val="24"/>
        </w:rPr>
        <w:t xml:space="preserve"> академия" обявява старт на приема за първите за 2019 г. Telerik Academy Alpha програми</w:t>
      </w:r>
      <w:r w:rsidRPr="0035459C">
        <w:rPr>
          <w:rFonts w:cs="Times New Roman"/>
          <w:sz w:val="24"/>
          <w:szCs w:val="24"/>
        </w:rPr>
        <w:t xml:space="preserve">. Кандидатстването е отворено до 23 ноември за студенти и професионалисти, които искат да започнат кариера в областта на ИТ. </w:t>
      </w:r>
    </w:p>
    <w:p w:rsidR="00C818D1" w:rsidRDefault="00C818D1" w:rsidP="00C818D1">
      <w:pPr>
        <w:spacing w:before="120" w:after="120"/>
        <w:rPr>
          <w:rFonts w:cs="Times New Roman"/>
          <w:sz w:val="24"/>
          <w:szCs w:val="24"/>
        </w:rPr>
      </w:pPr>
      <w:r w:rsidRPr="0035459C">
        <w:rPr>
          <w:rFonts w:cs="Times New Roman"/>
          <w:sz w:val="24"/>
          <w:szCs w:val="24"/>
        </w:rPr>
        <w:t>Желаещите могат да избират между технологиите .NET и JavaScript. Програмите стартират на 2 януари 2019 г. и ще се провеждат в обучителния център на "</w:t>
      </w:r>
      <w:proofErr w:type="spellStart"/>
      <w:r w:rsidRPr="0035459C">
        <w:rPr>
          <w:rFonts w:cs="Times New Roman"/>
          <w:sz w:val="24"/>
          <w:szCs w:val="24"/>
        </w:rPr>
        <w:t>Телерик</w:t>
      </w:r>
      <w:proofErr w:type="spellEnd"/>
      <w:r w:rsidRPr="0035459C">
        <w:rPr>
          <w:rFonts w:cs="Times New Roman"/>
          <w:sz w:val="24"/>
          <w:szCs w:val="24"/>
        </w:rPr>
        <w:t xml:space="preserve"> академия" в София. Кандидатите е необходимо да изпратят CV и мотивационно писмо на</w:t>
      </w:r>
      <w:r w:rsidRPr="0035459C">
        <w:rPr>
          <w:rFonts w:cs="Times New Roman"/>
          <w:color w:val="515151"/>
          <w:sz w:val="24"/>
          <w:szCs w:val="24"/>
        </w:rPr>
        <w:t xml:space="preserve"> </w:t>
      </w:r>
      <w:hyperlink r:id="rId28" w:tgtFrame="_blank" w:history="1">
        <w:r w:rsidRPr="0035459C">
          <w:rPr>
            <w:rStyle w:val="Hyperlink"/>
            <w:rFonts w:cs="Times New Roman"/>
            <w:sz w:val="24"/>
            <w:szCs w:val="24"/>
          </w:rPr>
          <w:t>сайта на "</w:t>
        </w:r>
        <w:proofErr w:type="spellStart"/>
        <w:r w:rsidRPr="0035459C">
          <w:rPr>
            <w:rStyle w:val="Hyperlink"/>
            <w:rFonts w:cs="Times New Roman"/>
            <w:sz w:val="24"/>
            <w:szCs w:val="24"/>
          </w:rPr>
          <w:t>Телерик</w:t>
        </w:r>
        <w:proofErr w:type="spellEnd"/>
        <w:r w:rsidRPr="0035459C">
          <w:rPr>
            <w:rStyle w:val="Hyperlink"/>
            <w:rFonts w:cs="Times New Roman"/>
            <w:sz w:val="24"/>
            <w:szCs w:val="24"/>
          </w:rPr>
          <w:t xml:space="preserve"> </w:t>
        </w:r>
      </w:hyperlink>
      <w:hyperlink r:id="rId29" w:tgtFrame="_blank" w:history="1">
        <w:r w:rsidRPr="0035459C">
          <w:rPr>
            <w:rStyle w:val="Hyperlink"/>
            <w:rFonts w:cs="Times New Roman"/>
            <w:sz w:val="24"/>
            <w:szCs w:val="24"/>
          </w:rPr>
          <w:t>академия"</w:t>
        </w:r>
      </w:hyperlink>
      <w:r w:rsidRPr="0035459C">
        <w:rPr>
          <w:rFonts w:cs="Times New Roman"/>
          <w:color w:val="515151"/>
          <w:sz w:val="24"/>
          <w:szCs w:val="24"/>
        </w:rPr>
        <w:t xml:space="preserve">, </w:t>
      </w:r>
      <w:r w:rsidRPr="0035459C">
        <w:rPr>
          <w:rFonts w:cs="Times New Roman"/>
          <w:sz w:val="24"/>
          <w:szCs w:val="24"/>
        </w:rPr>
        <w:t xml:space="preserve">след което трябва да се явят на входен изпит с Java, а за .NET могат да избират между езиците C#, JavaScript, Java, C++, Kotlin, PHP, Python или Swift. </w:t>
      </w:r>
    </w:p>
    <w:p w:rsidR="00C818D1" w:rsidRDefault="00C818D1" w:rsidP="00C818D1">
      <w:pPr>
        <w:spacing w:before="120" w:after="120"/>
        <w:rPr>
          <w:rFonts w:cs="Times New Roman"/>
          <w:color w:val="515151"/>
          <w:sz w:val="24"/>
          <w:szCs w:val="24"/>
        </w:rPr>
      </w:pPr>
      <w:r w:rsidRPr="0035459C">
        <w:rPr>
          <w:rFonts w:cs="Times New Roman"/>
          <w:sz w:val="24"/>
          <w:szCs w:val="24"/>
        </w:rPr>
        <w:t>Основните изисквания към кандидатите са да имат навършени 18 години, базови познания по програмиране и мотивация да започнат кариерното си развитие в IT сектора. Подготвителни материали за входния изпит на Telerik Academy Alpha могат да бъдат намерени онлайн. Повече информация може да намерите на</w:t>
      </w:r>
      <w:r w:rsidRPr="0035459C">
        <w:rPr>
          <w:rFonts w:cs="Times New Roman"/>
          <w:color w:val="515151"/>
          <w:sz w:val="24"/>
          <w:szCs w:val="24"/>
        </w:rPr>
        <w:t xml:space="preserve"> </w:t>
      </w:r>
      <w:hyperlink r:id="rId30" w:tgtFrame="_blank" w:history="1">
        <w:r w:rsidRPr="0035459C">
          <w:rPr>
            <w:rStyle w:val="Hyperlink"/>
            <w:rFonts w:cs="Times New Roman"/>
            <w:sz w:val="24"/>
            <w:szCs w:val="24"/>
          </w:rPr>
          <w:t>страницата на "</w:t>
        </w:r>
        <w:proofErr w:type="spellStart"/>
        <w:r w:rsidRPr="0035459C">
          <w:rPr>
            <w:rStyle w:val="Hyperlink"/>
            <w:rFonts w:cs="Times New Roman"/>
            <w:sz w:val="24"/>
            <w:szCs w:val="24"/>
          </w:rPr>
          <w:t>Телерик</w:t>
        </w:r>
        <w:proofErr w:type="spellEnd"/>
        <w:r w:rsidRPr="0035459C">
          <w:rPr>
            <w:rStyle w:val="Hyperlink"/>
            <w:rFonts w:cs="Times New Roman"/>
            <w:sz w:val="24"/>
            <w:szCs w:val="24"/>
          </w:rPr>
          <w:t xml:space="preserve"> Академия"</w:t>
        </w:r>
      </w:hyperlink>
      <w:r w:rsidRPr="0035459C">
        <w:rPr>
          <w:rFonts w:cs="Times New Roman"/>
          <w:color w:val="515151"/>
          <w:sz w:val="24"/>
          <w:szCs w:val="24"/>
        </w:rPr>
        <w:t>.</w:t>
      </w:r>
    </w:p>
    <w:p w:rsidR="00C818D1" w:rsidRPr="0035459C" w:rsidRDefault="00C818D1" w:rsidP="00C818D1">
      <w:pPr>
        <w:spacing w:before="120" w:after="480"/>
        <w:rPr>
          <w:rFonts w:cs="Times New Roman"/>
          <w:b/>
          <w:sz w:val="24"/>
          <w:szCs w:val="24"/>
          <w:lang w:val="ru-RU"/>
        </w:rPr>
      </w:pPr>
      <w:r>
        <w:rPr>
          <w:rFonts w:cs="Times New Roman"/>
          <w:b/>
          <w:sz w:val="24"/>
          <w:szCs w:val="24"/>
          <w:lang w:val="ru-RU"/>
        </w:rPr>
        <w:t>Краен срок: 23 ноември 2018</w:t>
      </w:r>
      <w:r w:rsidR="001D7173">
        <w:rPr>
          <w:rFonts w:cs="Times New Roman"/>
          <w:b/>
          <w:sz w:val="24"/>
          <w:szCs w:val="24"/>
          <w:lang w:val="ru-RU"/>
        </w:rPr>
        <w:t xml:space="preserve"> г.</w:t>
      </w:r>
    </w:p>
    <w:p w:rsidR="00CA0E59" w:rsidRDefault="00CA0E59"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31"/>
          <w:pgSz w:w="11906" w:h="16838"/>
          <w:pgMar w:top="1440" w:right="1080" w:bottom="1440" w:left="1080" w:header="708" w:footer="708" w:gutter="0"/>
          <w:cols w:space="708"/>
          <w:docGrid w:linePitch="360"/>
        </w:sectPr>
      </w:pPr>
    </w:p>
    <w:p w:rsidR="00D00941" w:rsidRDefault="00912146" w:rsidP="00B278E8">
      <w:pPr>
        <w:pStyle w:val="Programs"/>
      </w:pPr>
      <w:bookmarkStart w:id="13" w:name="_Toc529797571"/>
      <w:r>
        <w:lastRenderedPageBreak/>
        <w:t>ПРОГРАМИ</w:t>
      </w:r>
      <w:bookmarkEnd w:id="13"/>
    </w:p>
    <w:p w:rsidR="00F24BA6" w:rsidRPr="00F24BA6" w:rsidRDefault="00F24BA6" w:rsidP="00F24BA6">
      <w:pPr>
        <w:pStyle w:val="Heading2"/>
        <w:ind w:left="426"/>
      </w:pPr>
      <w:bookmarkStart w:id="14" w:name="_Toc529797572"/>
      <w:r w:rsidRPr="00F24BA6">
        <w:rPr>
          <w:lang w:val="ru-RU"/>
        </w:rPr>
        <w:t>К</w:t>
      </w:r>
      <w:r w:rsidRPr="00F24BA6">
        <w:t>онкурс за проекти по програми за двустранно сътрудничество 2018 г. – България – Индия</w:t>
      </w:r>
      <w:bookmarkEnd w:id="14"/>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Cs/>
          <w:color w:val="000000"/>
          <w:sz w:val="24"/>
          <w:szCs w:val="24"/>
        </w:rPr>
        <w:t xml:space="preserve">Фонд „Научни изследвания“ отправя покана за участие в „КОНКУРС ЗА ПРОЕКТИ ПО ПРОГРАМИ ЗА ДВУСТРАННО СЪТРУДНИЧЕСТВО 2018 г. – БЪЛГАРИЯ – ИНДИЯ“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F24BA6">
        <w:rPr>
          <w:rFonts w:cs="Times New Roman"/>
          <w:b/>
          <w:bCs/>
          <w:color w:val="000000"/>
          <w:sz w:val="24"/>
          <w:szCs w:val="24"/>
        </w:rPr>
        <w:t xml:space="preserve">Допълнение „Специфични условия“ </w:t>
      </w:r>
      <w:r w:rsidRPr="00F24BA6">
        <w:rPr>
          <w:rFonts w:cs="Times New Roman"/>
          <w:color w:val="000000"/>
          <w:sz w:val="24"/>
          <w:szCs w:val="24"/>
        </w:rPr>
        <w:t xml:space="preserve">към документацията на настоящата процедура.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Научните областите, в които ще бъдат финансирани проектите са: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Информационни и комуникационни технологии </w:t>
      </w:r>
    </w:p>
    <w:p w:rsidR="009513A3" w:rsidRPr="00F24BA6" w:rsidRDefault="00F24BA6" w:rsidP="00B67654">
      <w:pPr>
        <w:pStyle w:val="ListParagraph"/>
        <w:numPr>
          <w:ilvl w:val="0"/>
          <w:numId w:val="7"/>
        </w:numPr>
        <w:autoSpaceDE w:val="0"/>
        <w:autoSpaceDN w:val="0"/>
        <w:adjustRightInd w:val="0"/>
        <w:spacing w:before="120" w:after="120"/>
        <w:rPr>
          <w:rFonts w:cs="Times New Roman"/>
          <w:color w:val="000000"/>
          <w:sz w:val="24"/>
          <w:szCs w:val="24"/>
        </w:rPr>
      </w:pPr>
      <w:r>
        <w:rPr>
          <w:rFonts w:cs="Times New Roman"/>
          <w:color w:val="000000"/>
          <w:sz w:val="24"/>
          <w:szCs w:val="24"/>
        </w:rPr>
        <w:t>Материали и м</w:t>
      </w:r>
      <w:r w:rsidR="009513A3" w:rsidRPr="00F24BA6">
        <w:rPr>
          <w:rFonts w:cs="Times New Roman"/>
          <w:color w:val="000000"/>
          <w:sz w:val="24"/>
          <w:szCs w:val="24"/>
        </w:rPr>
        <w:t xml:space="preserve">атериалознание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Физика, включително лазерна наука и технологии, ядрена физика, астрономия и изследване на космическото пространство и технологии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Химически науки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Възобновяема енергия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Наука за земята, геофизика, изследвания на климата, океанология и опазване на околната среда, включително управление на отпадъците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Биотехнологии, селско стопанство и хранителни технологии </w:t>
      </w:r>
    </w:p>
    <w:p w:rsidR="009513A3"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Здравеопазване, </w:t>
      </w:r>
      <w:proofErr w:type="spellStart"/>
      <w:r w:rsidRPr="00F24BA6">
        <w:rPr>
          <w:rFonts w:cs="Times New Roman"/>
          <w:color w:val="000000"/>
          <w:sz w:val="24"/>
          <w:szCs w:val="24"/>
        </w:rPr>
        <w:t>биомедицински</w:t>
      </w:r>
      <w:proofErr w:type="spellEnd"/>
      <w:r w:rsidRPr="00F24BA6">
        <w:rPr>
          <w:rFonts w:cs="Times New Roman"/>
          <w:color w:val="000000"/>
          <w:sz w:val="24"/>
          <w:szCs w:val="24"/>
        </w:rPr>
        <w:t xml:space="preserve"> уреди, </w:t>
      </w:r>
      <w:proofErr w:type="spellStart"/>
      <w:r w:rsidRPr="00F24BA6">
        <w:rPr>
          <w:rFonts w:cs="Times New Roman"/>
          <w:color w:val="000000"/>
          <w:sz w:val="24"/>
          <w:szCs w:val="24"/>
        </w:rPr>
        <w:t>биоетика</w:t>
      </w:r>
      <w:proofErr w:type="spellEnd"/>
      <w:r w:rsidRPr="00F24BA6">
        <w:rPr>
          <w:rFonts w:cs="Times New Roman"/>
          <w:color w:val="000000"/>
          <w:sz w:val="24"/>
          <w:szCs w:val="24"/>
        </w:rPr>
        <w:t xml:space="preserve">, фармация и традиционна медицина </w:t>
      </w:r>
    </w:p>
    <w:p w:rsidR="00F24BA6" w:rsidRPr="00F24BA6" w:rsidRDefault="009513A3" w:rsidP="00B67654">
      <w:pPr>
        <w:pStyle w:val="ListParagraph"/>
        <w:numPr>
          <w:ilvl w:val="0"/>
          <w:numId w:val="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Обществени науки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lastRenderedPageBreak/>
        <w:t xml:space="preserve">1. Общ бюджет на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Прогнозният общ бюджет на конкурса е 400 000 </w:t>
      </w:r>
      <w:proofErr w:type="spellStart"/>
      <w:r w:rsidRPr="00F24BA6">
        <w:rPr>
          <w:rFonts w:cs="Times New Roman"/>
          <w:color w:val="000000"/>
          <w:sz w:val="24"/>
          <w:szCs w:val="24"/>
        </w:rPr>
        <w:t>лв</w:t>
      </w:r>
      <w:proofErr w:type="spellEnd"/>
      <w:r w:rsidRPr="00F24BA6">
        <w:rPr>
          <w:rFonts w:cs="Times New Roman"/>
          <w:color w:val="000000"/>
          <w:sz w:val="24"/>
          <w:szCs w:val="24"/>
        </w:rPr>
        <w:t xml:space="preserve">,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2. Минимален и максимален размер на финансирането за конкретен проект: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Максималната сума за всеки отделен проект е 28 000 лв.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3. Срок за изпълнение на проекта: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Срок за изпълнение на одобрените проекти: 24 месеца.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начална дата на проекта се счита датата на подписване на договора за финансиране.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4. Срок за подаване на проектните предложения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Проектните предложения се представят до 17 часа на 26.11.2018 г. в деловодството на Фонд "Научни изследвания" на хартиен и електронен носител, както следва: </w:t>
      </w:r>
    </w:p>
    <w:p w:rsidR="009513A3" w:rsidRPr="00F24BA6" w:rsidRDefault="009513A3" w:rsidP="00B67654">
      <w:pPr>
        <w:pStyle w:val="ListParagraph"/>
        <w:numPr>
          <w:ilvl w:val="0"/>
          <w:numId w:val="8"/>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 хартиен носител в един екземпляр на български език с оригинални подписи и печати; </w:t>
      </w:r>
    </w:p>
    <w:p w:rsidR="009513A3" w:rsidRPr="00F24BA6" w:rsidRDefault="009513A3" w:rsidP="00B67654">
      <w:pPr>
        <w:pStyle w:val="ListParagraph"/>
        <w:numPr>
          <w:ilvl w:val="0"/>
          <w:numId w:val="8"/>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електронен формат на български език, като документите, съдържащи подписи, са сканирани.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Биографиите на учените от държавата-партньор се подават на български и английски език, а останалите документи се подават само на български език.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Срокове по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Срок за обявяване на конкурса: 08.10.2018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Дата за затваряне на конкурса: до 26.11.2018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Индикативен срок за оценяване: 28.03.2019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Индикативен срок за решение за финансиране от смесената комисия 18.04.2019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Стартиране на проектите м. май 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5. Изисквания към кандидатите и проектите.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Допустими кандидати: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Критерии за допустимост на кандидатите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Допустими по настоящата процедура за подбор на проекти са само кандидати, които 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1) акредитирани висши училища по чл. 85 ал. 1, т. 7 на ЗВО, които са акредитирани от НАОА да провеждат обучение по образователна и научна степен "доктор"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Проверката за горепосочените обстоятелства се извършва в регистъра на НАОА. Кандидатите по настоящата процедура трябва да са пряко отговорни за изпълнението на </w:t>
      </w:r>
      <w:r w:rsidRPr="00F24BA6">
        <w:rPr>
          <w:rFonts w:cs="Times New Roman"/>
          <w:color w:val="000000"/>
          <w:sz w:val="24"/>
          <w:szCs w:val="24"/>
        </w:rPr>
        <w:lastRenderedPageBreak/>
        <w:t xml:space="preserve">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Кандидатите по процедурата трябва да са субекти: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осъществяващи научни изследвания;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чиито дейности са изцяло с нестопански характер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или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чиито дейности са със стопански и нестопански характер, но тези дейно </w:t>
      </w:r>
      <w:proofErr w:type="spellStart"/>
      <w:r w:rsidRPr="00F24BA6">
        <w:rPr>
          <w:rFonts w:cs="Times New Roman"/>
          <w:color w:val="000000"/>
          <w:sz w:val="24"/>
          <w:szCs w:val="24"/>
        </w:rPr>
        <w:t>сти</w:t>
      </w:r>
      <w:proofErr w:type="spellEnd"/>
      <w:r w:rsidRPr="00F24BA6">
        <w:rPr>
          <w:rFonts w:cs="Times New Roman"/>
          <w:color w:val="000000"/>
          <w:sz w:val="24"/>
          <w:szCs w:val="24"/>
        </w:rPr>
        <w:t xml:space="preserve">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научни изследвания по договор с предприятия/отрасъл;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консултантски или други услуги, предоставяни на предприятия/отрасъл; </w:t>
      </w:r>
    </w:p>
    <w:p w:rsidR="009513A3" w:rsidRPr="00F24BA6" w:rsidRDefault="009513A3" w:rsidP="00B67654">
      <w:pPr>
        <w:pStyle w:val="ListParagraph"/>
        <w:numPr>
          <w:ilvl w:val="0"/>
          <w:numId w:val="9"/>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отдаване под наем на активите (инфраструктурата/оборудването).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6. Критерии за допустимост и недопустимост на проектните предложения /дейностите/.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Потенциалните български кандидати </w:t>
      </w:r>
      <w:r w:rsidRPr="00F24BA6">
        <w:rPr>
          <w:rFonts w:cs="Times New Roman"/>
          <w:b/>
          <w:bCs/>
          <w:color w:val="000000"/>
          <w:sz w:val="24"/>
          <w:szCs w:val="24"/>
        </w:rPr>
        <w:t xml:space="preserve">не могат </w:t>
      </w:r>
      <w:r w:rsidRPr="00F24BA6">
        <w:rPr>
          <w:rFonts w:cs="Times New Roman"/>
          <w:color w:val="000000"/>
          <w:sz w:val="24"/>
          <w:szCs w:val="24"/>
        </w:rPr>
        <w:t xml:space="preserve">да участват в конкурса за финансиране на проекти и да получат финансиране в случай че: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 те или лицата с правомощия за представителство, вземане на решения или контрол спрямо тях са осъдени за престъпление по служба с влязла в сила присъда; 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обоснове, включително с решения на Европейската комисия и на международни организации;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lastRenderedPageBreak/>
        <w:t xml:space="preserve">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д) умишлено са представили невярна информация с оглед получаване на финансиране по настоящата процедура или не са представили изискваната информация;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да бъдат одобрени за финансиране по настоящата процедура, кандидатите следва да докажат, че са юридическо лице, чиято основна цел е осъществяване на фундаментални изследвания, индустриални изследвания и експериментални разработки и разпространението на техните резултати посредством преподаване, публикуване или трансфер на технологии. Посоченото следва да бъде доказано чрез представянето на следните документи при подаване на проектното предложение: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Устав или учредителен акт, от който да е видна основната дейност, за която е регистрирано юридическото лице с нестопанска цел. Ако съответният документ е публикуван в Държавен вестник или може да бъде посочен достоверен източник на публична информация, документът не се прилага, а само се посочва източникът;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Устройствен правилник или друг правилник за дейността, устав или други правила, уреждащи осъществяваните дейности и начина на финансирането им;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Утвърден индивидуален сметкоплан, от който е видно разделяне на икономическите и неикономическите дейности, за целите на проекта.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Горепосочените документи могат да бъдат представени в един екземпляр от допустимите кандидати по т. 3.1.1, като са валидни за всички проектни предложения, в които кандидатът участва като базова или партньорска организация по конкурси от текущата година. Одобрените за финансиране кандидати, преди да сключат договора, следва да представят като доказателства, в случай че осъществяват дейности от икономически и неикономически характер, тези два вида дейности, както и средствата и разходите за тях, да могат да бъдат ясно разграничени, следните документи: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Годишен финансов отчет на кандидата за последната приключила финансова година към датата на представяне на документа (вкл. годишен отчет за касовото изпълнение на бюджета, за кандидатите, които го съставят);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Информационен източник, свързан с водената от кандидата стопанска отчетност, от който може да се проследи за кои дейности (стопански и нестопански) се използват съответните активи на кандидата;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lastRenderedPageBreak/>
        <w:t xml:space="preserve">- Годишна данъчна декларация с входящ номер от Националната агенция за приходите (НАП) на кандидата за последната приключила финансова година към датата на представяне на документа.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случай, че кандидатите не докажат горното декларирано обстоятелство, с тях няма да бъде сключен договор. Ако една организация участва като базова организация с повече от едно проектни предложения, тя подава тези документи само в един екземпляр.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т.19 на Рамката, а именно: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а) основните дейности на научноизследователските организации и инфраструктури, по- специално: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обучение за по голям брой човешки ресурси с по-добри квалификации;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широко разпространение на резултатите от научните изследвания, при неизключителни и недискриминационни условия, например чрез преподаване, бази данни със свободен достъп, открити публика </w:t>
      </w:r>
      <w:proofErr w:type="spellStart"/>
      <w:r w:rsidRPr="00F24BA6">
        <w:rPr>
          <w:rFonts w:cs="Times New Roman"/>
          <w:color w:val="000000"/>
          <w:sz w:val="24"/>
          <w:szCs w:val="24"/>
        </w:rPr>
        <w:t>ции</w:t>
      </w:r>
      <w:proofErr w:type="spellEnd"/>
      <w:r w:rsidRPr="00F24BA6">
        <w:rPr>
          <w:rFonts w:cs="Times New Roman"/>
          <w:color w:val="000000"/>
          <w:sz w:val="24"/>
          <w:szCs w:val="24"/>
        </w:rPr>
        <w:t xml:space="preserve"> или софтуер с отворен код;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 дейностите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и когато всички печалби от тези дейности се реинвестират в основните дейности на научноизследователската организация или инфраструктура. Възлагането на предоставянето на съответните услуги на трети страни посредством открити тръжни процедури не засяга нестопанското естество на тези дейности.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9513A3" w:rsidRDefault="009513A3" w:rsidP="00876057">
      <w:pPr>
        <w:autoSpaceDE w:val="0"/>
        <w:autoSpaceDN w:val="0"/>
        <w:adjustRightInd w:val="0"/>
        <w:spacing w:before="120" w:after="120"/>
        <w:rPr>
          <w:rFonts w:cs="Times New Roman"/>
          <w:b/>
          <w:bCs/>
          <w:color w:val="000000"/>
          <w:sz w:val="24"/>
          <w:szCs w:val="24"/>
        </w:rPr>
      </w:pPr>
      <w:r w:rsidRPr="00F24BA6">
        <w:rPr>
          <w:rFonts w:cs="Times New Roman"/>
          <w:color w:val="000000"/>
          <w:sz w:val="24"/>
          <w:szCs w:val="24"/>
        </w:rPr>
        <w:t>Пълната информация за конкурса и процедурите за кандидатстване може да намерите на интернет страницат</w:t>
      </w:r>
      <w:r w:rsidR="00876057">
        <w:rPr>
          <w:rFonts w:cs="Times New Roman"/>
          <w:color w:val="000000"/>
          <w:sz w:val="24"/>
          <w:szCs w:val="24"/>
        </w:rPr>
        <w:t xml:space="preserve">а на Фонд „Научни изследвания“ </w:t>
      </w:r>
      <w:hyperlink r:id="rId32" w:history="1">
        <w:r w:rsidR="00876057" w:rsidRPr="00564516">
          <w:rPr>
            <w:rStyle w:val="Hyperlink"/>
            <w:rFonts w:cs="Times New Roman"/>
            <w:b/>
            <w:bCs/>
            <w:sz w:val="24"/>
            <w:szCs w:val="24"/>
          </w:rPr>
          <w:t>http://www.fni.bg</w:t>
        </w:r>
      </w:hyperlink>
    </w:p>
    <w:p w:rsidR="00F75DDE" w:rsidRDefault="00876057" w:rsidP="00876057">
      <w:pPr>
        <w:autoSpaceDE w:val="0"/>
        <w:autoSpaceDN w:val="0"/>
        <w:adjustRightInd w:val="0"/>
        <w:spacing w:before="120" w:after="480"/>
        <w:rPr>
          <w:rFonts w:cs="Times New Roman"/>
          <w:b/>
          <w:color w:val="000000"/>
          <w:sz w:val="24"/>
          <w:szCs w:val="24"/>
        </w:rPr>
      </w:pPr>
      <w:r>
        <w:rPr>
          <w:rFonts w:cs="Times New Roman"/>
          <w:b/>
          <w:bCs/>
          <w:color w:val="000000"/>
          <w:sz w:val="24"/>
          <w:szCs w:val="24"/>
        </w:rPr>
        <w:t xml:space="preserve">Краен срок: </w:t>
      </w:r>
      <w:r w:rsidRPr="00876057">
        <w:rPr>
          <w:rFonts w:cs="Times New Roman"/>
          <w:b/>
          <w:color w:val="000000"/>
          <w:sz w:val="24"/>
          <w:szCs w:val="24"/>
        </w:rPr>
        <w:t>17 часа на 26.11.2018</w:t>
      </w:r>
    </w:p>
    <w:p w:rsidR="00F75DDE" w:rsidRDefault="00F75DDE">
      <w:pPr>
        <w:jc w:val="left"/>
        <w:rPr>
          <w:rFonts w:cs="Times New Roman"/>
          <w:b/>
          <w:color w:val="000000"/>
          <w:sz w:val="24"/>
          <w:szCs w:val="24"/>
        </w:rPr>
      </w:pPr>
      <w:r>
        <w:rPr>
          <w:rFonts w:cs="Times New Roman"/>
          <w:b/>
          <w:color w:val="000000"/>
          <w:sz w:val="24"/>
          <w:szCs w:val="24"/>
        </w:rPr>
        <w:br w:type="page"/>
      </w:r>
    </w:p>
    <w:p w:rsidR="00320936" w:rsidRPr="00A469F5" w:rsidRDefault="00320936" w:rsidP="00A469F5">
      <w:pPr>
        <w:pStyle w:val="Heading2"/>
        <w:ind w:left="426"/>
      </w:pPr>
      <w:bookmarkStart w:id="15" w:name="_Toc529797573"/>
      <w:r w:rsidRPr="00A469F5">
        <w:lastRenderedPageBreak/>
        <w:t>Покана за участие в конкурс по Програма CHIST-ERA</w:t>
      </w:r>
      <w:bookmarkEnd w:id="15"/>
      <w:r w:rsidRPr="00A469F5">
        <w:t xml:space="preserve">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Фонд „Научни изследвания“ отправя покана за участие в конкурс с проектни предложения по Програма </w:t>
      </w:r>
      <w:r w:rsidRPr="00320936">
        <w:rPr>
          <w:rFonts w:cs="Times New Roman"/>
          <w:color w:val="000000"/>
          <w:sz w:val="24"/>
          <w:szCs w:val="24"/>
          <w:lang w:val="en-US"/>
        </w:rPr>
        <w:t>CHIST</w:t>
      </w:r>
      <w:r w:rsidRPr="00320936">
        <w:rPr>
          <w:rFonts w:cs="Times New Roman"/>
          <w:color w:val="000000"/>
          <w:sz w:val="24"/>
          <w:szCs w:val="24"/>
          <w:lang w:val="ru-RU"/>
        </w:rPr>
        <w:t>-</w:t>
      </w:r>
      <w:r w:rsidRPr="00320936">
        <w:rPr>
          <w:rFonts w:cs="Times New Roman"/>
          <w:color w:val="000000"/>
          <w:sz w:val="24"/>
          <w:szCs w:val="24"/>
          <w:lang w:val="en-US"/>
        </w:rPr>
        <w:t>ERA</w:t>
      </w:r>
      <w:r w:rsidRPr="00320936">
        <w:rPr>
          <w:rFonts w:cs="Times New Roman"/>
          <w:color w:val="000000"/>
          <w:sz w:val="24"/>
          <w:szCs w:val="24"/>
          <w:lang w:val="ru-RU"/>
        </w:rPr>
        <w:t xml:space="preserve"> (</w:t>
      </w:r>
      <w:hyperlink r:id="rId33" w:history="1">
        <w:r w:rsidRPr="00320936">
          <w:rPr>
            <w:rStyle w:val="Hyperlink"/>
            <w:rFonts w:cs="Times New Roman"/>
            <w:sz w:val="24"/>
            <w:szCs w:val="24"/>
            <w:lang w:val="en-US"/>
          </w:rPr>
          <w:t>http</w:t>
        </w:r>
        <w:r w:rsidRPr="00320936">
          <w:rPr>
            <w:rStyle w:val="Hyperlink"/>
            <w:rFonts w:cs="Times New Roman"/>
            <w:sz w:val="24"/>
            <w:szCs w:val="24"/>
            <w:lang w:val="ru-RU"/>
          </w:rPr>
          <w:t>://</w:t>
        </w:r>
        <w:r w:rsidRPr="00320936">
          <w:rPr>
            <w:rStyle w:val="Hyperlink"/>
            <w:rFonts w:cs="Times New Roman"/>
            <w:sz w:val="24"/>
            <w:szCs w:val="24"/>
            <w:lang w:val="en-US"/>
          </w:rPr>
          <w:t>www</w:t>
        </w:r>
        <w:r w:rsidRPr="00320936">
          <w:rPr>
            <w:rStyle w:val="Hyperlink"/>
            <w:rFonts w:cs="Times New Roman"/>
            <w:sz w:val="24"/>
            <w:szCs w:val="24"/>
            <w:lang w:val="ru-RU"/>
          </w:rPr>
          <w:t>.</w:t>
        </w:r>
        <w:proofErr w:type="spellStart"/>
        <w:r w:rsidRPr="00320936">
          <w:rPr>
            <w:rStyle w:val="Hyperlink"/>
            <w:rFonts w:cs="Times New Roman"/>
            <w:sz w:val="24"/>
            <w:szCs w:val="24"/>
            <w:lang w:val="en-US"/>
          </w:rPr>
          <w:t>chistera</w:t>
        </w:r>
        <w:proofErr w:type="spellEnd"/>
        <w:r w:rsidRPr="00320936">
          <w:rPr>
            <w:rStyle w:val="Hyperlink"/>
            <w:rFonts w:cs="Times New Roman"/>
            <w:sz w:val="24"/>
            <w:szCs w:val="24"/>
            <w:lang w:val="ru-RU"/>
          </w:rPr>
          <w:t>.</w:t>
        </w:r>
        <w:proofErr w:type="spellStart"/>
        <w:r w:rsidRPr="00320936">
          <w:rPr>
            <w:rStyle w:val="Hyperlink"/>
            <w:rFonts w:cs="Times New Roman"/>
            <w:sz w:val="24"/>
            <w:szCs w:val="24"/>
            <w:lang w:val="en-US"/>
          </w:rPr>
          <w:t>eu</w:t>
        </w:r>
        <w:proofErr w:type="spellEnd"/>
        <w:r w:rsidRPr="00320936">
          <w:rPr>
            <w:rStyle w:val="Hyperlink"/>
            <w:rFonts w:cs="Times New Roman"/>
            <w:sz w:val="24"/>
            <w:szCs w:val="24"/>
            <w:lang w:val="ru-RU"/>
          </w:rPr>
          <w:t>/</w:t>
        </w:r>
      </w:hyperlink>
      <w:r w:rsidRPr="00320936">
        <w:rPr>
          <w:rFonts w:cs="Times New Roman"/>
          <w:color w:val="000000"/>
          <w:sz w:val="24"/>
          <w:szCs w:val="24"/>
          <w:lang w:val="ru-RU"/>
        </w:rPr>
        <w:t>)</w:t>
      </w:r>
      <w:r w:rsidRPr="00320936">
        <w:rPr>
          <w:rFonts w:cs="Times New Roman"/>
          <w:color w:val="000000"/>
          <w:sz w:val="24"/>
          <w:szCs w:val="24"/>
        </w:rPr>
        <w:t xml:space="preserve">.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1) Акредитирани висши училища по чл. 85 ал. 1 т. 7 на ЗВО.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2) Научни организации по чл. 47 ал. 1 на ЗВО. </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Крайният срок за подаване на проектни предложения за участие в първия етап от конкурса е </w:t>
      </w:r>
      <w:r w:rsidRPr="00320936">
        <w:rPr>
          <w:rFonts w:cs="Times New Roman"/>
          <w:bCs/>
          <w:color w:val="000000"/>
          <w:sz w:val="24"/>
          <w:szCs w:val="24"/>
        </w:rPr>
        <w:t>15 януари 2019 г.</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 xml:space="preserve">Бюджетът от страна на Фонд „Научни изследвания“ за предстоящата конкурсна сесия е в размер на </w:t>
      </w:r>
      <w:r w:rsidRPr="00320936">
        <w:rPr>
          <w:rFonts w:cs="Times New Roman"/>
          <w:color w:val="000000"/>
          <w:sz w:val="24"/>
          <w:szCs w:val="24"/>
          <w:lang w:val="ru-RU"/>
        </w:rPr>
        <w:t>100</w:t>
      </w:r>
      <w:r w:rsidRPr="00320936">
        <w:rPr>
          <w:rFonts w:cs="Times New Roman"/>
          <w:color w:val="000000"/>
          <w:sz w:val="24"/>
          <w:szCs w:val="24"/>
        </w:rPr>
        <w:t xml:space="preserve"> 000 евро за целия конкурс, като се предвижда да бъдат финансирани до </w:t>
      </w:r>
      <w:r w:rsidRPr="00320936">
        <w:rPr>
          <w:rFonts w:cs="Times New Roman"/>
          <w:color w:val="000000"/>
          <w:sz w:val="24"/>
          <w:szCs w:val="24"/>
          <w:lang w:val="ru-RU"/>
        </w:rPr>
        <w:t>2</w:t>
      </w:r>
      <w:r w:rsidRPr="00320936">
        <w:rPr>
          <w:rFonts w:cs="Times New Roman"/>
          <w:color w:val="000000"/>
          <w:sz w:val="24"/>
          <w:szCs w:val="24"/>
        </w:rPr>
        <w:t xml:space="preserve"> проекта с българско участие, с максимална сума за един проект до 50 000 евро и срок на изпълнение 3 години.</w:t>
      </w:r>
      <w:r w:rsidRPr="00320936">
        <w:rPr>
          <w:rFonts w:cs="Times New Roman"/>
          <w:color w:val="000000"/>
          <w:sz w:val="24"/>
          <w:szCs w:val="24"/>
          <w:lang w:val="ru-RU"/>
        </w:rPr>
        <w:t>(Решение на ИС с Протокол № 17 от 16.03.2017 г.)</w:t>
      </w:r>
    </w:p>
    <w:p w:rsidR="00B25B65" w:rsidRPr="00320936" w:rsidRDefault="00B25B65" w:rsidP="00B25B65">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Покана за участие в конкурса</w:t>
      </w:r>
      <w:r>
        <w:rPr>
          <w:rFonts w:cs="Times New Roman"/>
          <w:color w:val="000000"/>
          <w:sz w:val="24"/>
          <w:szCs w:val="24"/>
        </w:rPr>
        <w:t xml:space="preserve">  </w:t>
      </w:r>
      <w:hyperlink r:id="rId34" w:history="1">
        <w:r w:rsidRPr="00320936">
          <w:rPr>
            <w:rStyle w:val="Hyperlink"/>
            <w:rFonts w:cs="Times New Roman"/>
            <w:sz w:val="24"/>
            <w:szCs w:val="24"/>
          </w:rPr>
          <w:t>http://www.chistera.eu/call-2018-announcement</w:t>
        </w:r>
      </w:hyperlink>
    </w:p>
    <w:p w:rsidR="00B25B65" w:rsidRPr="00320936" w:rsidRDefault="00B25B65" w:rsidP="00B25B65">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Инструмент за търсене на партньорски организации</w:t>
      </w:r>
      <w:r>
        <w:rPr>
          <w:rFonts w:cs="Times New Roman"/>
          <w:color w:val="000000"/>
          <w:sz w:val="24"/>
          <w:szCs w:val="24"/>
        </w:rPr>
        <w:t xml:space="preserve"> </w:t>
      </w:r>
      <w:hyperlink r:id="rId35" w:history="1">
        <w:r w:rsidRPr="00320936">
          <w:rPr>
            <w:rStyle w:val="Hyperlink"/>
            <w:rFonts w:cs="Times New Roman"/>
            <w:sz w:val="24"/>
            <w:szCs w:val="24"/>
            <w:lang w:val="en-US"/>
          </w:rPr>
          <w:t>http</w:t>
        </w:r>
        <w:r w:rsidRPr="00320936">
          <w:rPr>
            <w:rStyle w:val="Hyperlink"/>
            <w:rFonts w:cs="Times New Roman"/>
            <w:sz w:val="24"/>
            <w:szCs w:val="24"/>
            <w:lang w:val="ru-RU"/>
          </w:rPr>
          <w:t>://</w:t>
        </w:r>
        <w:r w:rsidRPr="00320936">
          <w:rPr>
            <w:rStyle w:val="Hyperlink"/>
            <w:rFonts w:cs="Times New Roman"/>
            <w:sz w:val="24"/>
            <w:szCs w:val="24"/>
            <w:lang w:val="en-US"/>
          </w:rPr>
          <w:t>www</w:t>
        </w:r>
        <w:r w:rsidRPr="00320936">
          <w:rPr>
            <w:rStyle w:val="Hyperlink"/>
            <w:rFonts w:cs="Times New Roman"/>
            <w:sz w:val="24"/>
            <w:szCs w:val="24"/>
            <w:lang w:val="ru-RU"/>
          </w:rPr>
          <w:t>.</w:t>
        </w:r>
        <w:proofErr w:type="spellStart"/>
        <w:r w:rsidRPr="00320936">
          <w:rPr>
            <w:rStyle w:val="Hyperlink"/>
            <w:rFonts w:cs="Times New Roman"/>
            <w:sz w:val="24"/>
            <w:szCs w:val="24"/>
            <w:lang w:val="en-US"/>
          </w:rPr>
          <w:t>chistera</w:t>
        </w:r>
        <w:proofErr w:type="spellEnd"/>
        <w:r w:rsidRPr="00320936">
          <w:rPr>
            <w:rStyle w:val="Hyperlink"/>
            <w:rFonts w:cs="Times New Roman"/>
            <w:sz w:val="24"/>
            <w:szCs w:val="24"/>
            <w:lang w:val="ru-RU"/>
          </w:rPr>
          <w:t>.</w:t>
        </w:r>
        <w:proofErr w:type="spellStart"/>
        <w:r w:rsidRPr="00320936">
          <w:rPr>
            <w:rStyle w:val="Hyperlink"/>
            <w:rFonts w:cs="Times New Roman"/>
            <w:sz w:val="24"/>
            <w:szCs w:val="24"/>
            <w:lang w:val="en-US"/>
          </w:rPr>
          <w:t>eu</w:t>
        </w:r>
        <w:proofErr w:type="spellEnd"/>
        <w:r w:rsidRPr="00320936">
          <w:rPr>
            <w:rStyle w:val="Hyperlink"/>
            <w:rFonts w:cs="Times New Roman"/>
            <w:sz w:val="24"/>
            <w:szCs w:val="24"/>
            <w:lang w:val="ru-RU"/>
          </w:rPr>
          <w:t>/</w:t>
        </w:r>
        <w:r w:rsidRPr="00320936">
          <w:rPr>
            <w:rStyle w:val="Hyperlink"/>
            <w:rFonts w:cs="Times New Roman"/>
            <w:sz w:val="24"/>
            <w:szCs w:val="24"/>
            <w:lang w:val="en-US"/>
          </w:rPr>
          <w:t>node</w:t>
        </w:r>
        <w:r w:rsidRPr="00320936">
          <w:rPr>
            <w:rStyle w:val="Hyperlink"/>
            <w:rFonts w:cs="Times New Roman"/>
            <w:sz w:val="24"/>
            <w:szCs w:val="24"/>
            <w:lang w:val="ru-RU"/>
          </w:rPr>
          <w:t>/</w:t>
        </w:r>
        <w:r w:rsidRPr="00320936">
          <w:rPr>
            <w:rStyle w:val="Hyperlink"/>
            <w:rFonts w:cs="Times New Roman"/>
            <w:sz w:val="24"/>
            <w:szCs w:val="24"/>
            <w:lang w:val="en-US"/>
          </w:rPr>
          <w:t>add</w:t>
        </w:r>
        <w:r w:rsidRPr="00320936">
          <w:rPr>
            <w:rStyle w:val="Hyperlink"/>
            <w:rFonts w:cs="Times New Roman"/>
            <w:sz w:val="24"/>
            <w:szCs w:val="24"/>
            <w:lang w:val="ru-RU"/>
          </w:rPr>
          <w:t>/</w:t>
        </w:r>
        <w:r w:rsidRPr="00320936">
          <w:rPr>
            <w:rStyle w:val="Hyperlink"/>
            <w:rFonts w:cs="Times New Roman"/>
            <w:sz w:val="24"/>
            <w:szCs w:val="24"/>
            <w:lang w:val="en-US"/>
          </w:rPr>
          <w:t>call</w:t>
        </w:r>
        <w:r w:rsidRPr="00320936">
          <w:rPr>
            <w:rStyle w:val="Hyperlink"/>
            <w:rFonts w:cs="Times New Roman"/>
            <w:sz w:val="24"/>
            <w:szCs w:val="24"/>
            <w:lang w:val="ru-RU"/>
          </w:rPr>
          <w:t>-2018-</w:t>
        </w:r>
        <w:proofErr w:type="spellStart"/>
        <w:r w:rsidRPr="00320936">
          <w:rPr>
            <w:rStyle w:val="Hyperlink"/>
            <w:rFonts w:cs="Times New Roman"/>
            <w:sz w:val="24"/>
            <w:szCs w:val="24"/>
            <w:lang w:val="en-US"/>
          </w:rPr>
          <w:t>eoi</w:t>
        </w:r>
        <w:proofErr w:type="spellEnd"/>
      </w:hyperlink>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Информация, насоки и документация за българските участници, относно подаването на документите във Фонд „Научни изследвания“:</w:t>
      </w:r>
    </w:p>
    <w:p w:rsidR="00320936" w:rsidRPr="006914CC" w:rsidRDefault="00A554DC" w:rsidP="00B67654">
      <w:pPr>
        <w:pStyle w:val="ListParagraph"/>
        <w:numPr>
          <w:ilvl w:val="0"/>
          <w:numId w:val="14"/>
        </w:numPr>
        <w:autoSpaceDE w:val="0"/>
        <w:autoSpaceDN w:val="0"/>
        <w:adjustRightInd w:val="0"/>
        <w:spacing w:before="120" w:after="120"/>
        <w:rPr>
          <w:rFonts w:cs="Times New Roman"/>
          <w:color w:val="000000"/>
          <w:sz w:val="24"/>
          <w:szCs w:val="24"/>
        </w:rPr>
      </w:pPr>
      <w:hyperlink r:id="rId36" w:tgtFrame="_blank" w:history="1">
        <w:r w:rsidR="00320936" w:rsidRPr="006914CC">
          <w:rPr>
            <w:rStyle w:val="Hyperlink"/>
            <w:rFonts w:cs="Times New Roman"/>
            <w:sz w:val="24"/>
            <w:szCs w:val="24"/>
          </w:rPr>
          <w:t>Национални изисквания и условия за допустимост</w:t>
        </w:r>
      </w:hyperlink>
    </w:p>
    <w:p w:rsidR="00320936" w:rsidRPr="00320936" w:rsidRDefault="00A554DC" w:rsidP="00B67654">
      <w:pPr>
        <w:numPr>
          <w:ilvl w:val="0"/>
          <w:numId w:val="14"/>
        </w:numPr>
        <w:autoSpaceDE w:val="0"/>
        <w:autoSpaceDN w:val="0"/>
        <w:adjustRightInd w:val="0"/>
        <w:spacing w:before="120" w:after="120"/>
        <w:rPr>
          <w:rFonts w:cs="Times New Roman"/>
          <w:color w:val="000000"/>
          <w:sz w:val="24"/>
          <w:szCs w:val="24"/>
        </w:rPr>
      </w:pPr>
      <w:hyperlink r:id="rId37" w:tgtFrame="_blank" w:history="1">
        <w:r w:rsidR="00320936" w:rsidRPr="00320936">
          <w:rPr>
            <w:rStyle w:val="Hyperlink"/>
            <w:rFonts w:cs="Times New Roman"/>
            <w:sz w:val="24"/>
            <w:szCs w:val="24"/>
          </w:rPr>
          <w:t>Документи към националните изисквания</w:t>
        </w:r>
      </w:hyperlink>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Освен вече посочените документи към Националните изисквания, участниците трябва да представят проект на бюджет и работна програма за пълния срок на изпълнение на проекта и писмо от водещия партньор с потвърждение за включване на българската организация в съответния консорциум.</w:t>
      </w:r>
    </w:p>
    <w:p w:rsidR="00320936" w:rsidRPr="00320936" w:rsidRDefault="00320936" w:rsidP="00320936">
      <w:pPr>
        <w:autoSpaceDE w:val="0"/>
        <w:autoSpaceDN w:val="0"/>
        <w:adjustRightInd w:val="0"/>
        <w:spacing w:before="120" w:after="120"/>
        <w:rPr>
          <w:rFonts w:cs="Times New Roman"/>
          <w:color w:val="000000"/>
          <w:sz w:val="24"/>
          <w:szCs w:val="24"/>
        </w:rPr>
      </w:pPr>
      <w:r w:rsidRPr="00320936">
        <w:rPr>
          <w:rFonts w:cs="Times New Roman"/>
          <w:color w:val="000000"/>
          <w:sz w:val="24"/>
          <w:szCs w:val="24"/>
        </w:rPr>
        <w:t>Контакти за допълнителна информация:</w:t>
      </w:r>
      <w:r w:rsidR="00B25B65">
        <w:rPr>
          <w:rFonts w:cs="Times New Roman"/>
          <w:color w:val="000000"/>
          <w:sz w:val="24"/>
          <w:szCs w:val="24"/>
        </w:rPr>
        <w:t xml:space="preserve"> </w:t>
      </w:r>
      <w:r w:rsidR="00B25B65" w:rsidRPr="00320936">
        <w:rPr>
          <w:rFonts w:cs="Times New Roman"/>
          <w:color w:val="000000"/>
          <w:sz w:val="24"/>
          <w:szCs w:val="24"/>
        </w:rPr>
        <w:t>Милена Александрова</w:t>
      </w:r>
      <w:r w:rsidR="00B25B65">
        <w:rPr>
          <w:rFonts w:cs="Times New Roman"/>
          <w:color w:val="000000"/>
          <w:sz w:val="24"/>
          <w:szCs w:val="24"/>
        </w:rPr>
        <w:t xml:space="preserve">, </w:t>
      </w:r>
      <w:r w:rsidRPr="00320936">
        <w:rPr>
          <w:rFonts w:cs="Times New Roman"/>
          <w:color w:val="000000"/>
          <w:sz w:val="24"/>
          <w:szCs w:val="24"/>
        </w:rPr>
        <w:t>тел. 0884/171-363</w:t>
      </w:r>
    </w:p>
    <w:p w:rsidR="00320936" w:rsidRPr="00320936" w:rsidRDefault="00A554DC" w:rsidP="00320936">
      <w:pPr>
        <w:autoSpaceDE w:val="0"/>
        <w:autoSpaceDN w:val="0"/>
        <w:adjustRightInd w:val="0"/>
        <w:spacing w:before="120" w:after="120"/>
        <w:rPr>
          <w:rFonts w:cs="Times New Roman"/>
          <w:color w:val="000000"/>
          <w:sz w:val="24"/>
          <w:szCs w:val="24"/>
        </w:rPr>
      </w:pPr>
      <w:hyperlink r:id="rId38" w:history="1">
        <w:r w:rsidR="00320936" w:rsidRPr="00320936">
          <w:rPr>
            <w:rStyle w:val="Hyperlink"/>
            <w:rFonts w:cs="Times New Roman"/>
            <w:sz w:val="24"/>
            <w:szCs w:val="24"/>
          </w:rPr>
          <w:t>aleksandrova@mon.bg</w:t>
        </w:r>
      </w:hyperlink>
    </w:p>
    <w:p w:rsidR="006914CC" w:rsidRPr="00277EBA" w:rsidRDefault="006914CC" w:rsidP="006914CC">
      <w:pPr>
        <w:autoSpaceDE w:val="0"/>
        <w:autoSpaceDN w:val="0"/>
        <w:adjustRightInd w:val="0"/>
        <w:spacing w:before="120" w:after="120"/>
        <w:rPr>
          <w:rFonts w:cs="Times New Roman"/>
          <w:b/>
          <w:color w:val="000000"/>
          <w:sz w:val="24"/>
          <w:szCs w:val="24"/>
        </w:rPr>
      </w:pPr>
      <w:r w:rsidRPr="00277EBA">
        <w:rPr>
          <w:rFonts w:cs="Times New Roman"/>
          <w:b/>
          <w:color w:val="000000"/>
          <w:sz w:val="24"/>
          <w:szCs w:val="24"/>
        </w:rPr>
        <w:t xml:space="preserve">Крайният срок за подаване на проектни предложения за участие в първия етап от конкурса е </w:t>
      </w:r>
      <w:r w:rsidRPr="00277EBA">
        <w:rPr>
          <w:rFonts w:cs="Times New Roman"/>
          <w:b/>
          <w:bCs/>
          <w:color w:val="000000"/>
          <w:sz w:val="24"/>
          <w:szCs w:val="24"/>
        </w:rPr>
        <w:t>15 януари 2019 г.</w:t>
      </w:r>
    </w:p>
    <w:p w:rsidR="00F75DDE" w:rsidRDefault="00F75DDE">
      <w:pPr>
        <w:jc w:val="left"/>
        <w:rPr>
          <w:rFonts w:cs="Times New Roman"/>
          <w:color w:val="000000"/>
          <w:sz w:val="24"/>
          <w:szCs w:val="24"/>
        </w:rPr>
      </w:pPr>
      <w:r>
        <w:rPr>
          <w:rFonts w:cs="Times New Roman"/>
          <w:color w:val="000000"/>
          <w:sz w:val="24"/>
          <w:szCs w:val="24"/>
        </w:rPr>
        <w:br w:type="page"/>
      </w:r>
    </w:p>
    <w:p w:rsidR="00320936" w:rsidRPr="00F75DDE" w:rsidRDefault="00147A72" w:rsidP="00F75DDE">
      <w:pPr>
        <w:pStyle w:val="Heading2"/>
        <w:ind w:left="426"/>
      </w:pPr>
      <w:bookmarkStart w:id="16" w:name="_Toc529797574"/>
      <w:r w:rsidRPr="00F75DDE">
        <w:lastRenderedPageBreak/>
        <w:t>Четвърта тръжна процедура на Европейската космическа агенция</w:t>
      </w:r>
      <w:bookmarkEnd w:id="16"/>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Процедурата е насочена към български фирми и организации. Допуска се участие в консорциуми със страни пълноправни членки на ЕКА, ако участието им не надвишава 20% от общо поисканият бюджет за изпълнение на проекта. Тази рестрикция не се отнася към доставяне или закупуване на оборудване;</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u w:val="single"/>
        </w:rPr>
        <w:t>Видове дейности, към които се отнася процедурата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свързани с летателният сегмент</w:t>
      </w:r>
      <w:r w:rsidRPr="00F75DDE">
        <w:rPr>
          <w:rFonts w:cs="Times New Roman"/>
          <w:color w:val="000000"/>
          <w:sz w:val="24"/>
          <w:szCs w:val="24"/>
        </w:rPr>
        <w:t xml:space="preserve"> с потенциал за повторна употреба в мисиите на ЕКА; </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научноизследователска и развойна дейност</w:t>
      </w:r>
      <w:r w:rsidRPr="00F75DDE">
        <w:rPr>
          <w:rFonts w:cs="Times New Roman"/>
          <w:color w:val="000000"/>
          <w:sz w:val="24"/>
          <w:szCs w:val="24"/>
        </w:rPr>
        <w:t xml:space="preserve"> (включително технологични демонстрации, разработване на промишлени процеси, квалификация / сертифициране на процеси), водещи до продукти или генерични технологии с потенциал за повторна употреба;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Космически приложения</w:t>
      </w:r>
      <w:r w:rsidRPr="00F75DDE">
        <w:rPr>
          <w:rFonts w:cs="Times New Roman"/>
          <w:color w:val="000000"/>
          <w:sz w:val="24"/>
          <w:szCs w:val="24"/>
        </w:rPr>
        <w:t xml:space="preserve"> – продукти и услуги отнасящи се към съществуващата европейска космическа инфраструктура/ инфраструктурата на ЕКА</w:t>
      </w:r>
      <w:r w:rsidR="00F75DDE" w:rsidRPr="00F75DDE">
        <w:rPr>
          <w:rFonts w:cs="Times New Roman"/>
          <w:color w:val="000000"/>
          <w:sz w:val="24"/>
          <w:szCs w:val="24"/>
        </w:rPr>
        <w:t>;</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 xml:space="preserve">Подготвителни дейности </w:t>
      </w:r>
      <w:r w:rsidRPr="00F75DDE">
        <w:rPr>
          <w:rFonts w:cs="Times New Roman"/>
          <w:color w:val="000000"/>
          <w:sz w:val="24"/>
          <w:szCs w:val="24"/>
        </w:rPr>
        <w:t>свързани с проучване на пазара, изисквания на потребителите и др., които да насърчават националната конкурентоспособност отнасяща се към програмите на ЕКА, или дейности към които България би могла да има ин</w:t>
      </w:r>
      <w:r w:rsidR="00F75DDE" w:rsidRPr="00F75DDE">
        <w:rPr>
          <w:rFonts w:cs="Times New Roman"/>
          <w:color w:val="000000"/>
          <w:sz w:val="24"/>
          <w:szCs w:val="24"/>
        </w:rPr>
        <w:t>терес да се включи за в бъдеще;</w:t>
      </w:r>
    </w:p>
    <w:p w:rsidR="00C05B0A" w:rsidRP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осведомяване и образование</w:t>
      </w:r>
      <w:r w:rsidRPr="00F75DDE">
        <w:rPr>
          <w:rFonts w:cs="Times New Roman"/>
          <w:color w:val="000000"/>
          <w:sz w:val="24"/>
          <w:szCs w:val="24"/>
        </w:rPr>
        <w:t>, които да повишат осведомеността относно космическите технологии и практическото им приложение (включително демонстрационни дейности в институциите за средно образование и научните центрове); да се увеличи мотивацията на младите хора да изберат космическо образование и космическа индустрията като сфера на професионална реализация.</w:t>
      </w:r>
    </w:p>
    <w:p w:rsid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В зависимост от категориите дейности, както и технологичната готовност на проектите те могат да бъдат финансирани след оценка от ЕКА в рамките на</w:t>
      </w:r>
      <w:r w:rsidR="00F75DDE">
        <w:rPr>
          <w:rFonts w:cs="Times New Roman"/>
          <w:color w:val="000000"/>
          <w:sz w:val="24"/>
          <w:szCs w:val="24"/>
        </w:rPr>
        <w:t xml:space="preserve"> </w:t>
      </w:r>
      <w:r w:rsidRPr="00F75DDE">
        <w:rPr>
          <w:rFonts w:cs="Times New Roman"/>
          <w:color w:val="000000"/>
          <w:sz w:val="24"/>
          <w:szCs w:val="24"/>
        </w:rPr>
        <w:t>50 000 до 400 000 евро.</w:t>
      </w:r>
      <w:r w:rsidRPr="00C05B0A">
        <w:rPr>
          <w:rFonts w:cs="Times New Roman"/>
          <w:color w:val="000000"/>
          <w:sz w:val="24"/>
          <w:szCs w:val="24"/>
          <w:u w:val="single"/>
        </w:rPr>
        <w:t xml:space="preserve"> </w:t>
      </w:r>
      <w:r w:rsidRPr="00C05B0A">
        <w:rPr>
          <w:rFonts w:cs="Times New Roman"/>
          <w:color w:val="000000"/>
          <w:sz w:val="24"/>
          <w:szCs w:val="24"/>
        </w:rPr>
        <w:t>Сред критериите за оценка най-голяма тежест има тази за ясно определяне на техническите цели и ясно дефиниране на работните задачи, качество и опит на персонал и др. Освен това, критериите включват и оценки на проекта спрямо отношението му към бъдещо приложение в програмите на ЕКА и дългосрочна полза за България; адекватност на управленския подход и достоверност на оценката на разходите и предложения график,</w:t>
      </w:r>
      <w:r w:rsidR="00832D8F">
        <w:rPr>
          <w:rFonts w:cs="Times New Roman"/>
          <w:color w:val="000000"/>
          <w:sz w:val="24"/>
          <w:szCs w:val="24"/>
        </w:rPr>
        <w:t xml:space="preserve"> </w:t>
      </w:r>
      <w:r w:rsidRPr="00C05B0A">
        <w:rPr>
          <w:rFonts w:cs="Times New Roman"/>
          <w:color w:val="000000"/>
          <w:sz w:val="24"/>
          <w:szCs w:val="24"/>
        </w:rPr>
        <w:t xml:space="preserve">както и съответствие с условията на административния търг. </w:t>
      </w:r>
    </w:p>
    <w:p w:rsidR="00832D8F" w:rsidRPr="00832D8F" w:rsidRDefault="00832D8F" w:rsidP="00832D8F">
      <w:pPr>
        <w:autoSpaceDE w:val="0"/>
        <w:autoSpaceDN w:val="0"/>
        <w:adjustRightInd w:val="0"/>
        <w:spacing w:before="120" w:after="120"/>
        <w:rPr>
          <w:rFonts w:cs="Times New Roman"/>
          <w:color w:val="000000"/>
          <w:sz w:val="24"/>
          <w:szCs w:val="24"/>
          <w:lang w:val="ru-RU"/>
        </w:rPr>
      </w:pPr>
      <w:r w:rsidRPr="00C05B0A">
        <w:rPr>
          <w:rFonts w:cs="Times New Roman"/>
          <w:color w:val="000000"/>
          <w:sz w:val="24"/>
          <w:szCs w:val="24"/>
        </w:rPr>
        <w:t>Проектните предложения се подават в електронен формат на страницата на Европейската космическа агенция (</w:t>
      </w:r>
      <w:r w:rsidRPr="00C05B0A">
        <w:rPr>
          <w:rFonts w:cs="Times New Roman"/>
          <w:bCs/>
          <w:color w:val="000000"/>
          <w:sz w:val="24"/>
          <w:szCs w:val="24"/>
        </w:rPr>
        <w:t xml:space="preserve">EMITS - </w:t>
      </w:r>
      <w:hyperlink r:id="rId39" w:tgtFrame="_blank" w:history="1">
        <w:r w:rsidRPr="00C05B0A">
          <w:rPr>
            <w:rStyle w:val="Hyperlink"/>
            <w:rFonts w:cs="Times New Roman"/>
            <w:bCs/>
            <w:sz w:val="24"/>
            <w:szCs w:val="24"/>
          </w:rPr>
          <w:t>http://emits.sso.esa.int/emits/owa/emits.main</w:t>
        </w:r>
      </w:hyperlink>
      <w:r w:rsidRPr="00832D8F">
        <w:rPr>
          <w:rFonts w:cs="Times New Roman"/>
          <w:color w:val="000000"/>
          <w:sz w:val="24"/>
          <w:szCs w:val="24"/>
          <w:lang w:val="ru-RU"/>
        </w:rPr>
        <w:t>)</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rPr>
        <w:t xml:space="preserve">Повече информация относно участието на България по Плана за европейска кооперираща държава, може да получите от дирекция “Икономическа политика“, Министерство на икономиката или на е-mail: </w:t>
      </w:r>
      <w:hyperlink r:id="rId40" w:history="1">
        <w:r w:rsidRPr="00C05B0A">
          <w:rPr>
            <w:rStyle w:val="Hyperlink"/>
            <w:rFonts w:cs="Times New Roman"/>
            <w:bCs/>
            <w:sz w:val="24"/>
            <w:szCs w:val="24"/>
          </w:rPr>
          <w:t>p.piperkova@mi.government.bg</w:t>
        </w:r>
      </w:hyperlink>
    </w:p>
    <w:p w:rsidR="00C05B0A" w:rsidRPr="00C05B0A" w:rsidRDefault="00C05B0A" w:rsidP="00C05B0A">
      <w:pPr>
        <w:autoSpaceDE w:val="0"/>
        <w:autoSpaceDN w:val="0"/>
        <w:adjustRightInd w:val="0"/>
        <w:spacing w:before="120" w:after="480"/>
        <w:rPr>
          <w:rFonts w:cs="Times New Roman"/>
          <w:b/>
          <w:color w:val="000000"/>
          <w:sz w:val="24"/>
          <w:szCs w:val="24"/>
        </w:rPr>
      </w:pPr>
      <w:r>
        <w:rPr>
          <w:rFonts w:cs="Times New Roman"/>
          <w:b/>
          <w:color w:val="000000"/>
          <w:sz w:val="24"/>
          <w:szCs w:val="24"/>
        </w:rPr>
        <w:t xml:space="preserve">Краен срок: </w:t>
      </w:r>
      <w:r w:rsidRPr="00C05B0A">
        <w:rPr>
          <w:rFonts w:cs="Times New Roman"/>
          <w:b/>
          <w:color w:val="000000"/>
          <w:sz w:val="24"/>
          <w:szCs w:val="24"/>
        </w:rPr>
        <w:t xml:space="preserve">27.03.2019 г. (13:00 часа </w:t>
      </w:r>
      <w:r w:rsidRPr="00F75DDE">
        <w:rPr>
          <w:rFonts w:cs="Times New Roman"/>
          <w:b/>
          <w:iCs/>
          <w:color w:val="000000"/>
          <w:sz w:val="24"/>
          <w:szCs w:val="24"/>
        </w:rPr>
        <w:t>централно европейско време).</w:t>
      </w:r>
    </w:p>
    <w:p w:rsidR="00C05B0A" w:rsidRPr="00C05B0A" w:rsidRDefault="00C05B0A" w:rsidP="00C05B0A">
      <w:pPr>
        <w:autoSpaceDE w:val="0"/>
        <w:autoSpaceDN w:val="0"/>
        <w:adjustRightInd w:val="0"/>
        <w:spacing w:before="120" w:after="480"/>
        <w:rPr>
          <w:rFonts w:cs="Times New Roman"/>
          <w:b/>
          <w:color w:val="000000"/>
          <w:sz w:val="24"/>
          <w:szCs w:val="24"/>
        </w:rPr>
      </w:pPr>
    </w:p>
    <w:p w:rsidR="00476F9B" w:rsidRPr="0006717A" w:rsidRDefault="00476F9B" w:rsidP="00476F9B">
      <w:pPr>
        <w:pStyle w:val="Heading2"/>
        <w:ind w:left="426"/>
        <w:rPr>
          <w:rFonts w:eastAsia="Times New Roman"/>
          <w:lang w:eastAsia="bg-BG"/>
        </w:rPr>
      </w:pPr>
      <w:bookmarkStart w:id="17" w:name="_Toc503363226"/>
      <w:bookmarkStart w:id="18" w:name="_Toc529797575"/>
      <w:r w:rsidRPr="0006717A">
        <w:rPr>
          <w:rFonts w:eastAsia="Times New Roman"/>
          <w:lang w:eastAsia="bg-BG"/>
        </w:rPr>
        <w:lastRenderedPageBreak/>
        <w:t>Подкрепа на международни научни форуми, провеждани в Република България</w:t>
      </w:r>
      <w:bookmarkEnd w:id="17"/>
      <w:bookmarkEnd w:id="18"/>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1"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42" w:history="1">
        <w:r w:rsidRPr="00DD764B">
          <w:rPr>
            <w:rStyle w:val="Hyperlink"/>
            <w:rFonts w:eastAsia="Times New Roman" w:cs="Times New Roman"/>
            <w:sz w:val="24"/>
            <w:szCs w:val="24"/>
            <w:lang w:eastAsia="bg-BG"/>
          </w:rPr>
          <w:t>ТУК</w:t>
        </w:r>
      </w:hyperlink>
    </w:p>
    <w:p w:rsidR="00476F9B" w:rsidRPr="00B040B1" w:rsidRDefault="00476F9B" w:rsidP="001B12ED">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19" w:name="_Toc503363227"/>
      <w:bookmarkStart w:id="20" w:name="_Toc529797576"/>
      <w:r w:rsidRPr="00AB0EFA">
        <w:rPr>
          <w:rFonts w:eastAsia="Times New Roman"/>
          <w:lang w:eastAsia="bg-BG"/>
        </w:rPr>
        <w:t>Национално съфинансиране за участие на български колективи в утвърдени проекти по COST</w:t>
      </w:r>
      <w:bookmarkEnd w:id="19"/>
      <w:bookmarkEnd w:id="20"/>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lastRenderedPageBreak/>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A554DC" w:rsidP="00476F9B">
      <w:pPr>
        <w:rPr>
          <w:rFonts w:cs="Times New Roman"/>
          <w:color w:val="000000"/>
          <w:sz w:val="24"/>
          <w:szCs w:val="24"/>
        </w:rPr>
      </w:pPr>
      <w:hyperlink r:id="rId43"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44" w:history="1">
        <w:r w:rsidRPr="00E1455C">
          <w:rPr>
            <w:rFonts w:eastAsia="Calibri" w:cs="Times New Roman"/>
            <w:color w:val="0000FF" w:themeColor="hyperlink"/>
            <w:sz w:val="24"/>
            <w:szCs w:val="24"/>
            <w:u w:val="single"/>
            <w:lang w:eastAsia="bg-BG"/>
          </w:rPr>
          <w:t>fni-konkursi@mon.bg</w:t>
        </w:r>
      </w:hyperlink>
    </w:p>
    <w:p w:rsidR="00476F9B"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A554DC" w:rsidP="001B0974">
      <w:pPr>
        <w:spacing w:after="360"/>
        <w:rPr>
          <w:b/>
          <w:color w:val="0000FF" w:themeColor="hyperlink"/>
          <w:sz w:val="24"/>
          <w:szCs w:val="24"/>
          <w:u w:val="single"/>
        </w:rPr>
      </w:pPr>
      <w:hyperlink r:id="rId45" w:history="1">
        <w:bookmarkStart w:id="21" w:name="_Toc428806822"/>
        <w:r w:rsidR="002E339B" w:rsidRPr="00476F9B">
          <w:rPr>
            <w:b/>
            <w:color w:val="0000FF" w:themeColor="hyperlink"/>
            <w:sz w:val="24"/>
            <w:szCs w:val="24"/>
            <w:u w:val="single"/>
            <w:lang w:val="en-US"/>
          </w:rPr>
          <w:t>R&amp;D Calls HORIZON 2020</w:t>
        </w:r>
        <w:bookmarkEnd w:id="21"/>
      </w:hyperlink>
    </w:p>
    <w:p w:rsidR="004B75C6" w:rsidRPr="00F12A88" w:rsidRDefault="004B75C6" w:rsidP="004B75C6">
      <w:pPr>
        <w:pStyle w:val="Heading2"/>
        <w:ind w:left="426"/>
      </w:pPr>
      <w:bookmarkStart w:id="22" w:name="_Toc529797577"/>
      <w:r w:rsidRPr="00F12A88">
        <w:t>Конкурс за научни изследвания на Кралската академия на Белгия</w:t>
      </w:r>
      <w:bookmarkEnd w:id="22"/>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1B0974">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w:t>
      </w:r>
      <w:r w:rsidRPr="00F12A88">
        <w:rPr>
          <w:rFonts w:cs="Times New Roman"/>
          <w:bCs/>
          <w:color w:val="000000"/>
          <w:sz w:val="24"/>
          <w:szCs w:val="24"/>
        </w:rPr>
        <w:lastRenderedPageBreak/>
        <w:t xml:space="preserve">в тропиците върху </w:t>
      </w:r>
      <w:proofErr w:type="spellStart"/>
      <w:r w:rsidRPr="00F12A88">
        <w:rPr>
          <w:rFonts w:cs="Times New Roman"/>
          <w:bCs/>
          <w:color w:val="000000"/>
          <w:sz w:val="24"/>
          <w:szCs w:val="24"/>
        </w:rPr>
        <w:t>екосистемните</w:t>
      </w:r>
      <w:proofErr w:type="spellEnd"/>
      <w:r w:rsidRPr="00F12A88">
        <w:rPr>
          <w:rFonts w:cs="Times New Roman"/>
          <w:bCs/>
          <w:color w:val="000000"/>
          <w:sz w:val="24"/>
          <w:szCs w:val="24"/>
        </w:rPr>
        <w:t xml:space="preserve">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r w:rsidR="001B0974" w:rsidRPr="001B0974">
        <w:rPr>
          <w:rFonts w:cs="Times New Roman"/>
          <w:bCs/>
          <w:color w:val="000000"/>
          <w:sz w:val="24"/>
          <w:szCs w:val="24"/>
          <w:lang w:val="ru-RU"/>
        </w:rPr>
        <w:t xml:space="preserve"> </w:t>
      </w: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46"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23" w:name="_Toc529797578"/>
      <w:r w:rsidRPr="0052108C">
        <w:t>Програма: „Америка за България”</w:t>
      </w:r>
      <w:bookmarkEnd w:id="23"/>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w:t>
      </w:r>
      <w:r w:rsidRPr="00036946">
        <w:rPr>
          <w:rFonts w:cs="Times New Roman"/>
          <w:sz w:val="24"/>
          <w:szCs w:val="24"/>
        </w:rPr>
        <w:lastRenderedPageBreak/>
        <w:t xml:space="preserve">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47"/>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529797579"/>
      <w:r>
        <w:lastRenderedPageBreak/>
        <w:t>СЪБИТИЯ</w:t>
      </w:r>
      <w:bookmarkEnd w:id="24"/>
    </w:p>
    <w:p w:rsidR="005B3691" w:rsidRPr="005B3691" w:rsidRDefault="005B3691" w:rsidP="005B3691">
      <w:pPr>
        <w:spacing w:after="100" w:afterAutospacing="1"/>
        <w:rPr>
          <w:b/>
          <w:bCs/>
          <w:color w:val="E36C0A" w:themeColor="accent6" w:themeShade="BF"/>
          <w:sz w:val="24"/>
          <w:szCs w:val="24"/>
          <w:u w:val="single"/>
        </w:rPr>
      </w:pPr>
      <w:r w:rsidRPr="005B3691">
        <w:rPr>
          <w:b/>
          <w:bCs/>
          <w:color w:val="E36C0A" w:themeColor="accent6" w:themeShade="BF"/>
          <w:sz w:val="24"/>
          <w:szCs w:val="24"/>
          <w:u w:val="single"/>
        </w:rPr>
        <w:t>EU Research and Innovation in our daily life</w:t>
      </w:r>
      <w:r>
        <w:rPr>
          <w:b/>
          <w:bCs/>
          <w:color w:val="E36C0A" w:themeColor="accent6" w:themeShade="BF"/>
          <w:sz w:val="24"/>
          <w:szCs w:val="24"/>
          <w:u w:val="single"/>
        </w:rPr>
        <w:t xml:space="preserve">, </w:t>
      </w:r>
      <w:r w:rsidRPr="005B3691">
        <w:rPr>
          <w:b/>
          <w:bCs/>
          <w:color w:val="E36C0A" w:themeColor="accent6" w:themeShade="BF"/>
          <w:sz w:val="24"/>
          <w:szCs w:val="24"/>
          <w:u w:val="single"/>
        </w:rPr>
        <w:t>27 November 2018, Brussels, Belgium</w:t>
      </w:r>
    </w:p>
    <w:p w:rsidR="005B3691" w:rsidRPr="005B3691" w:rsidRDefault="005B3691" w:rsidP="005B3691">
      <w:pPr>
        <w:spacing w:after="100" w:afterAutospacing="1"/>
        <w:rPr>
          <w:bCs/>
          <w:sz w:val="24"/>
          <w:szCs w:val="24"/>
        </w:rPr>
      </w:pPr>
      <w:r w:rsidRPr="005B3691">
        <w:rPr>
          <w:bCs/>
          <w:sz w:val="24"/>
          <w:szCs w:val="24"/>
        </w:rPr>
        <w:t>Discover how EU research and innovation improves everyday life in an event jointly organised by the European Parliament and the European Commission on 27 November in Brussels. </w:t>
      </w:r>
    </w:p>
    <w:p w:rsidR="005B3691" w:rsidRPr="005B3691" w:rsidRDefault="005B3691" w:rsidP="005B3691">
      <w:pPr>
        <w:spacing w:after="100" w:afterAutospacing="1"/>
        <w:rPr>
          <w:bCs/>
          <w:sz w:val="24"/>
          <w:szCs w:val="24"/>
        </w:rPr>
      </w:pPr>
      <w:r w:rsidRPr="005B3691">
        <w:rPr>
          <w:bCs/>
          <w:sz w:val="24"/>
          <w:szCs w:val="24"/>
        </w:rPr>
        <w:t>Antonio Tajani, President of the European Parliament, and Carlos Moedas, Commissioner for Research, Science and Innovation host the conference “EU Research and Innovation in our daily life”. It brings together key personalities, researchers and politicians to reflect on past and present achievements of EU-funded research and innovation. Speakers will discuss a variety of compelling topics such as health and wellbeing, sustainable environment, safe and secure society, and putting innovation on the market. </w:t>
      </w:r>
    </w:p>
    <w:p w:rsidR="005B3691" w:rsidRPr="005B3691" w:rsidRDefault="005B3691" w:rsidP="005B3691">
      <w:pPr>
        <w:spacing w:after="100" w:afterAutospacing="1"/>
        <w:rPr>
          <w:bCs/>
          <w:sz w:val="24"/>
          <w:szCs w:val="24"/>
        </w:rPr>
      </w:pPr>
      <w:r w:rsidRPr="005B3691">
        <w:rPr>
          <w:bCs/>
          <w:sz w:val="24"/>
          <w:szCs w:val="24"/>
        </w:rPr>
        <w:t>Further information</w:t>
      </w:r>
    </w:p>
    <w:p w:rsidR="005B3691" w:rsidRPr="005B3691" w:rsidRDefault="00A554DC" w:rsidP="00B67654">
      <w:pPr>
        <w:numPr>
          <w:ilvl w:val="0"/>
          <w:numId w:val="4"/>
        </w:numPr>
        <w:spacing w:after="100" w:afterAutospacing="1"/>
        <w:rPr>
          <w:bCs/>
          <w:sz w:val="24"/>
          <w:szCs w:val="24"/>
        </w:rPr>
      </w:pPr>
      <w:hyperlink r:id="rId48" w:tgtFrame="_blank" w:history="1">
        <w:r w:rsidR="005B3691" w:rsidRPr="005B3691">
          <w:rPr>
            <w:rStyle w:val="Hyperlink"/>
            <w:bCs/>
            <w:sz w:val="24"/>
            <w:szCs w:val="24"/>
            <w:u w:val="none"/>
          </w:rPr>
          <w:t>Registration</w:t>
        </w:r>
      </w:hyperlink>
    </w:p>
    <w:p w:rsidR="005B3691" w:rsidRPr="005B3691" w:rsidRDefault="00A554DC" w:rsidP="00B67654">
      <w:pPr>
        <w:numPr>
          <w:ilvl w:val="0"/>
          <w:numId w:val="4"/>
        </w:numPr>
        <w:spacing w:after="100" w:afterAutospacing="1"/>
        <w:rPr>
          <w:bCs/>
          <w:sz w:val="24"/>
          <w:szCs w:val="24"/>
        </w:rPr>
      </w:pPr>
      <w:hyperlink r:id="rId49" w:tgtFrame="_blank" w:history="1">
        <w:r w:rsidR="005B3691" w:rsidRPr="005B3691">
          <w:rPr>
            <w:rStyle w:val="Hyperlink"/>
            <w:bCs/>
            <w:sz w:val="24"/>
            <w:szCs w:val="24"/>
            <w:u w:val="none"/>
          </w:rPr>
          <w:t>Programme</w:t>
        </w:r>
      </w:hyperlink>
    </w:p>
    <w:p w:rsidR="005B3691" w:rsidRPr="005B3691" w:rsidRDefault="00A554DC" w:rsidP="00B67654">
      <w:pPr>
        <w:numPr>
          <w:ilvl w:val="0"/>
          <w:numId w:val="4"/>
        </w:numPr>
        <w:spacing w:after="100" w:afterAutospacing="1"/>
        <w:ind w:left="714" w:hanging="357"/>
        <w:rPr>
          <w:bCs/>
          <w:sz w:val="24"/>
          <w:szCs w:val="24"/>
        </w:rPr>
      </w:pPr>
      <w:hyperlink r:id="rId50" w:tgtFrame="_blank" w:history="1">
        <w:r w:rsidR="005B3691" w:rsidRPr="005B3691">
          <w:rPr>
            <w:rStyle w:val="Hyperlink"/>
            <w:bCs/>
            <w:sz w:val="24"/>
            <w:szCs w:val="24"/>
            <w:u w:val="none"/>
          </w:rPr>
          <w:t>Official website</w:t>
        </w:r>
      </w:hyperlink>
    </w:p>
    <w:p w:rsidR="00A414F7" w:rsidRPr="000148CA" w:rsidRDefault="000148CA" w:rsidP="00FC5246">
      <w:pPr>
        <w:spacing w:after="100" w:afterAutospacing="1"/>
        <w:rPr>
          <w:b/>
          <w:bCs/>
          <w:color w:val="E36C0A" w:themeColor="accent6" w:themeShade="BF"/>
          <w:sz w:val="24"/>
          <w:szCs w:val="24"/>
          <w:u w:val="single"/>
          <w:lang w:val="en-US"/>
        </w:rPr>
      </w:pPr>
      <w:r w:rsidRPr="000148CA">
        <w:rPr>
          <w:b/>
          <w:bCs/>
          <w:color w:val="E36C0A" w:themeColor="accent6" w:themeShade="BF"/>
          <w:sz w:val="24"/>
          <w:szCs w:val="24"/>
          <w:u w:val="single"/>
        </w:rPr>
        <w:t>EFMC Training course "Financial Management of Horizon 2020 Projects: Theoretical and Practical Approach", 5-7 December 2018</w:t>
      </w:r>
      <w:r w:rsidRPr="000148CA">
        <w:rPr>
          <w:b/>
          <w:bCs/>
          <w:color w:val="E36C0A" w:themeColor="accent6" w:themeShade="BF"/>
          <w:sz w:val="24"/>
          <w:szCs w:val="24"/>
          <w:u w:val="single"/>
          <w:lang w:val="en-US"/>
        </w:rPr>
        <w:t>,</w:t>
      </w:r>
      <w:r w:rsidRPr="000148CA">
        <w:rPr>
          <w:b/>
          <w:bCs/>
          <w:color w:val="E36C0A" w:themeColor="accent6" w:themeShade="BF"/>
          <w:sz w:val="24"/>
          <w:szCs w:val="24"/>
          <w:u w:val="single"/>
        </w:rPr>
        <w:t xml:space="preserve"> Berlin</w:t>
      </w:r>
      <w:r w:rsidRPr="000148CA">
        <w:rPr>
          <w:b/>
          <w:bCs/>
          <w:color w:val="E36C0A" w:themeColor="accent6" w:themeShade="BF"/>
          <w:sz w:val="24"/>
          <w:szCs w:val="24"/>
          <w:u w:val="single"/>
          <w:lang w:val="en-US"/>
        </w:rPr>
        <w:t>, Germany</w:t>
      </w:r>
    </w:p>
    <w:p w:rsidR="000148CA" w:rsidRPr="000148CA" w:rsidRDefault="000148CA" w:rsidP="000148CA">
      <w:pPr>
        <w:spacing w:line="300" w:lineRule="atLeast"/>
        <w:rPr>
          <w:rFonts w:eastAsia="Times New Roman" w:cs="Times New Roman"/>
          <w:bCs/>
          <w:iCs/>
          <w:sz w:val="24"/>
          <w:szCs w:val="24"/>
          <w:lang w:eastAsia="bg-BG"/>
        </w:rPr>
      </w:pPr>
      <w:r w:rsidRPr="000148CA">
        <w:rPr>
          <w:rFonts w:eastAsia="Times New Roman" w:cs="Times New Roman"/>
          <w:bCs/>
          <w:iCs/>
          <w:sz w:val="24"/>
          <w:szCs w:val="24"/>
          <w:lang w:eastAsia="bg-BG"/>
        </w:rPr>
        <w:t>European Fund Management Consulting (EFMC) offers a 3-day H2020 practical training which is dedicated to the in-depth understanding of fundamentals of financial management of Horizon 2020 projects. Each day is divided into theoretical and practical parts with many opportunities for the participants to ask specific questions related to their businesses and clarifications of the outstanding issues.</w:t>
      </w:r>
      <w:r>
        <w:rPr>
          <w:rFonts w:eastAsia="Times New Roman" w:cs="Times New Roman"/>
          <w:bCs/>
          <w:iCs/>
          <w:sz w:val="24"/>
          <w:szCs w:val="24"/>
          <w:lang w:val="en-US" w:eastAsia="bg-BG"/>
        </w:rPr>
        <w:t xml:space="preserve"> </w:t>
      </w:r>
      <w:r w:rsidRPr="000148CA">
        <w:rPr>
          <w:rFonts w:eastAsia="Times New Roman" w:cs="Times New Roman"/>
          <w:bCs/>
          <w:iCs/>
          <w:sz w:val="24"/>
          <w:szCs w:val="24"/>
          <w:lang w:eastAsia="bg-BG"/>
        </w:rPr>
        <w:t>The training is led by experienced former auditors of European Institutions.</w:t>
      </w:r>
    </w:p>
    <w:p w:rsidR="000148CA" w:rsidRDefault="000148CA" w:rsidP="000148CA">
      <w:pPr>
        <w:spacing w:after="150" w:line="300" w:lineRule="atLeast"/>
        <w:rPr>
          <w:rFonts w:eastAsia="Times New Roman" w:cs="Times New Roman"/>
          <w:sz w:val="24"/>
          <w:szCs w:val="24"/>
          <w:lang w:val="en-US" w:eastAsia="bg-BG"/>
        </w:rPr>
      </w:pPr>
      <w:r>
        <w:rPr>
          <w:rFonts w:eastAsia="Times New Roman" w:cs="Times New Roman"/>
          <w:sz w:val="24"/>
          <w:szCs w:val="24"/>
          <w:lang w:val="en-US" w:eastAsia="bg-BG"/>
        </w:rPr>
        <w:t>T</w:t>
      </w:r>
      <w:r w:rsidRPr="000148CA">
        <w:rPr>
          <w:rFonts w:eastAsia="Times New Roman" w:cs="Times New Roman"/>
          <w:sz w:val="24"/>
          <w:szCs w:val="24"/>
          <w:lang w:eastAsia="bg-BG"/>
        </w:rPr>
        <w:t xml:space="preserve">he full training course takes place over 3 days. Each day is divided into theoretical and practical parts with many opportunities for the participants to ask specific questions related to their businesses and clarifications of the outstanding issues. The trainings are held all over Europe and the number of seats is limited to 10 – this ensures that all the participants receive answers to their questions. </w:t>
      </w:r>
    </w:p>
    <w:p w:rsidR="000148CA" w:rsidRDefault="000148CA" w:rsidP="000148CA">
      <w:pPr>
        <w:spacing w:after="150" w:line="300" w:lineRule="atLeast"/>
        <w:rPr>
          <w:rFonts w:eastAsia="Times New Roman" w:cs="Times New Roman"/>
          <w:sz w:val="24"/>
          <w:szCs w:val="24"/>
          <w:lang w:val="en-US" w:eastAsia="bg-BG"/>
        </w:rPr>
      </w:pPr>
      <w:r w:rsidRPr="000148CA">
        <w:rPr>
          <w:rFonts w:eastAsia="Times New Roman" w:cs="Times New Roman"/>
          <w:sz w:val="24"/>
          <w:szCs w:val="24"/>
          <w:lang w:eastAsia="bg-BG"/>
        </w:rPr>
        <w:t xml:space="preserve">Training materials are based on the mistakes of hundreds of audited entities and projects, </w:t>
      </w:r>
      <w:proofErr w:type="spellStart"/>
      <w:r w:rsidRPr="000148CA">
        <w:rPr>
          <w:rFonts w:eastAsia="Times New Roman" w:cs="Times New Roman"/>
          <w:sz w:val="24"/>
          <w:szCs w:val="24"/>
          <w:lang w:eastAsia="bg-BG"/>
        </w:rPr>
        <w:t>enriched</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with</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the</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lecturer’s</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experience</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and</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reinforced</w:t>
      </w:r>
      <w:proofErr w:type="spellEnd"/>
      <w:r w:rsidRPr="000148CA">
        <w:rPr>
          <w:rFonts w:eastAsia="Times New Roman" w:cs="Times New Roman"/>
          <w:sz w:val="24"/>
          <w:szCs w:val="24"/>
          <w:lang w:eastAsia="bg-BG"/>
        </w:rPr>
        <w:t xml:space="preserve"> by a mix of learning methods, including lecture-style presentations, open discussions, case studies and group work. The course will acquaint the participants with the most essential financial rules and the EU projects environment from the very basics to the most advanced issues. It includes all the essentials for a solid understanding of the terminology, methods and procedures, and will guide you from the fundamentals, all the way to mastering financial management. </w:t>
      </w:r>
    </w:p>
    <w:p w:rsidR="000148CA" w:rsidRDefault="000148CA" w:rsidP="007608B6">
      <w:pPr>
        <w:spacing w:after="100" w:afterAutospacing="1" w:line="300" w:lineRule="atLeast"/>
        <w:rPr>
          <w:rFonts w:eastAsia="Times New Roman" w:cs="Times New Roman"/>
          <w:color w:val="027AC6"/>
          <w:sz w:val="24"/>
          <w:szCs w:val="24"/>
          <w:u w:val="single"/>
          <w:lang w:val="en-US" w:eastAsia="bg-BG"/>
        </w:rPr>
      </w:pPr>
      <w:r w:rsidRPr="000148CA">
        <w:rPr>
          <w:rFonts w:eastAsia="Times New Roman" w:cs="Times New Roman"/>
          <w:sz w:val="24"/>
          <w:szCs w:val="24"/>
          <w:lang w:eastAsia="bg-BG"/>
        </w:rPr>
        <w:t xml:space="preserve">Find out more information about the training course: </w:t>
      </w:r>
      <w:hyperlink r:id="rId51" w:history="1">
        <w:r w:rsidRPr="000148CA">
          <w:rPr>
            <w:rFonts w:eastAsia="Times New Roman" w:cs="Times New Roman"/>
            <w:color w:val="027AC6"/>
            <w:sz w:val="24"/>
            <w:szCs w:val="24"/>
            <w:u w:val="single"/>
            <w:lang w:eastAsia="bg-BG"/>
          </w:rPr>
          <w:t>https://efmc.eu/trainings/about-training/</w:t>
        </w:r>
      </w:hyperlink>
    </w:p>
    <w:p w:rsidR="00616A8E" w:rsidRPr="003578C5" w:rsidRDefault="00616A8E" w:rsidP="00616A8E">
      <w:pPr>
        <w:spacing w:after="100" w:afterAutospacing="1" w:line="300" w:lineRule="atLeast"/>
        <w:rPr>
          <w:rFonts w:eastAsia="Times New Roman" w:cs="Times New Roman"/>
          <w:b/>
          <w:bCs/>
          <w:color w:val="E36C0A" w:themeColor="accent6" w:themeShade="BF"/>
          <w:sz w:val="24"/>
          <w:szCs w:val="24"/>
          <w:u w:val="single"/>
          <w:lang w:eastAsia="bg-BG"/>
        </w:rPr>
      </w:pPr>
      <w:r w:rsidRPr="003578C5">
        <w:rPr>
          <w:rFonts w:eastAsia="Times New Roman" w:cs="Times New Roman"/>
          <w:b/>
          <w:bCs/>
          <w:color w:val="E36C0A" w:themeColor="accent6" w:themeShade="BF"/>
          <w:sz w:val="24"/>
          <w:szCs w:val="24"/>
          <w:u w:val="single"/>
          <w:lang w:eastAsia="bg-BG"/>
        </w:rPr>
        <w:lastRenderedPageBreak/>
        <w:t>GLOBAQUA Final Conference: Water river management under water scarcity and multiple stressors</w:t>
      </w:r>
      <w:r w:rsidRPr="003578C5">
        <w:rPr>
          <w:rFonts w:eastAsia="Times New Roman" w:cs="Times New Roman"/>
          <w:b/>
          <w:bCs/>
          <w:color w:val="E36C0A" w:themeColor="accent6" w:themeShade="BF"/>
          <w:sz w:val="24"/>
          <w:szCs w:val="24"/>
          <w:u w:val="single"/>
          <w:lang w:val="en-US" w:eastAsia="bg-BG"/>
        </w:rPr>
        <w:t xml:space="preserve">, 18 – 19 December 2018, </w:t>
      </w:r>
      <w:r w:rsidRPr="003578C5">
        <w:rPr>
          <w:rFonts w:eastAsia="Times New Roman" w:cs="Times New Roman"/>
          <w:b/>
          <w:bCs/>
          <w:iCs/>
          <w:color w:val="E36C0A" w:themeColor="accent6" w:themeShade="BF"/>
          <w:sz w:val="24"/>
          <w:szCs w:val="24"/>
          <w:u w:val="single"/>
          <w:lang w:eastAsia="bg-BG"/>
        </w:rPr>
        <w:t>Barcelona</w:t>
      </w:r>
      <w:r w:rsidRPr="003578C5">
        <w:rPr>
          <w:rFonts w:eastAsia="Times New Roman" w:cs="Times New Roman"/>
          <w:b/>
          <w:bCs/>
          <w:iCs/>
          <w:color w:val="E36C0A" w:themeColor="accent6" w:themeShade="BF"/>
          <w:sz w:val="24"/>
          <w:szCs w:val="24"/>
          <w:u w:val="single"/>
          <w:lang w:val="en-US" w:eastAsia="bg-BG"/>
        </w:rPr>
        <w:t>,</w:t>
      </w:r>
      <w:r w:rsidRPr="003578C5">
        <w:rPr>
          <w:rFonts w:eastAsia="Times New Roman" w:cs="Times New Roman"/>
          <w:b/>
          <w:bCs/>
          <w:iCs/>
          <w:color w:val="E36C0A" w:themeColor="accent6" w:themeShade="BF"/>
          <w:sz w:val="24"/>
          <w:szCs w:val="24"/>
          <w:u w:val="single"/>
          <w:lang w:eastAsia="bg-BG"/>
        </w:rPr>
        <w:t>Spain</w:t>
      </w:r>
    </w:p>
    <w:p w:rsidR="00616A8E" w:rsidRDefault="00616A8E" w:rsidP="003578C5">
      <w:pPr>
        <w:spacing w:after="120"/>
        <w:rPr>
          <w:rFonts w:eastAsia="Times New Roman" w:cs="Times New Roman"/>
          <w:b/>
          <w:bCs/>
          <w:i/>
          <w:iCs/>
          <w:sz w:val="24"/>
          <w:szCs w:val="24"/>
          <w:lang w:val="en-US" w:eastAsia="bg-BG"/>
        </w:rPr>
      </w:pPr>
      <w:r w:rsidRPr="00616A8E">
        <w:rPr>
          <w:rFonts w:eastAsia="Times New Roman" w:cs="Times New Roman"/>
          <w:bCs/>
          <w:iCs/>
          <w:sz w:val="24"/>
          <w:szCs w:val="24"/>
          <w:lang w:eastAsia="bg-BG"/>
        </w:rPr>
        <w:t>This interdisciplinary conference is a platform for exchange and discussion of innovative scientific findings and methods in aquatic ecosystems research</w:t>
      </w:r>
      <w:r w:rsidRPr="00616A8E">
        <w:rPr>
          <w:rFonts w:eastAsia="Times New Roman" w:cs="Times New Roman"/>
          <w:b/>
          <w:bCs/>
          <w:i/>
          <w:iCs/>
          <w:sz w:val="24"/>
          <w:szCs w:val="24"/>
          <w:lang w:eastAsia="bg-BG"/>
        </w:rPr>
        <w:t xml:space="preserve">. </w:t>
      </w:r>
    </w:p>
    <w:p w:rsidR="00616A8E" w:rsidRPr="00616A8E" w:rsidRDefault="00616A8E" w:rsidP="003578C5">
      <w:pPr>
        <w:spacing w:before="120" w:after="120"/>
        <w:rPr>
          <w:rFonts w:eastAsia="Times New Roman" w:cs="Times New Roman"/>
          <w:sz w:val="24"/>
          <w:szCs w:val="24"/>
          <w:lang w:eastAsia="bg-BG"/>
        </w:rPr>
      </w:pPr>
      <w:r w:rsidRPr="00616A8E">
        <w:rPr>
          <w:rFonts w:eastAsia="Times New Roman" w:cs="Times New Roman"/>
          <w:sz w:val="24"/>
          <w:szCs w:val="24"/>
          <w:lang w:eastAsia="bg-BG"/>
        </w:rPr>
        <w:t>GLOBAQUA aims at identifying the prevalence, interaction and linkages between stressors, and to assess their effects on the status of freshwater ecosystems in order to improve water management practice and policies. The project assembles a multidisciplinary team of 23 scientific institutions, as well as water authorities and river basin managers, and includes experts in geomorphology, biology, chemistry, hydrology, modelling, socio-economics and policy advocacy.</w:t>
      </w:r>
    </w:p>
    <w:p w:rsidR="00043CE8" w:rsidRDefault="00043CE8" w:rsidP="003578C5">
      <w:pPr>
        <w:spacing w:before="120" w:after="120"/>
        <w:rPr>
          <w:rFonts w:eastAsia="Times New Roman" w:cs="Times New Roman"/>
          <w:sz w:val="24"/>
          <w:szCs w:val="24"/>
          <w:lang w:val="en-US" w:eastAsia="bg-BG"/>
        </w:rPr>
      </w:pPr>
      <w:r w:rsidRPr="00043CE8">
        <w:rPr>
          <w:rFonts w:eastAsia="Times New Roman" w:cs="Times New Roman"/>
          <w:sz w:val="24"/>
          <w:szCs w:val="24"/>
          <w:lang w:eastAsia="bg-BG"/>
        </w:rPr>
        <w:t xml:space="preserve">The meeting will include key-note lectures, invited and regular oral presentations, and posters (some of them with flash presentations). GLOBAQUA partners will present the main project results after 5 years of work. </w:t>
      </w:r>
    </w:p>
    <w:p w:rsidR="00616A8E" w:rsidRPr="00043CE8" w:rsidRDefault="003578C5" w:rsidP="003578C5">
      <w:pPr>
        <w:spacing w:after="100" w:afterAutospacing="1" w:line="300" w:lineRule="atLeast"/>
        <w:rPr>
          <w:rFonts w:eastAsia="Times New Roman" w:cs="Times New Roman"/>
          <w:sz w:val="24"/>
          <w:szCs w:val="24"/>
          <w:lang w:eastAsia="bg-BG"/>
        </w:rPr>
      </w:pPr>
      <w:r>
        <w:rPr>
          <w:rFonts w:eastAsia="Times New Roman" w:cs="Times New Roman"/>
          <w:sz w:val="24"/>
          <w:szCs w:val="24"/>
          <w:lang w:val="en-US" w:eastAsia="bg-BG"/>
        </w:rPr>
        <w:t>Mo</w:t>
      </w:r>
      <w:r w:rsidR="00043CE8">
        <w:rPr>
          <w:rFonts w:eastAsia="Times New Roman" w:cs="Times New Roman"/>
          <w:sz w:val="24"/>
          <w:szCs w:val="24"/>
          <w:lang w:val="en-US" w:eastAsia="bg-BG"/>
        </w:rPr>
        <w:t xml:space="preserve">re information: </w:t>
      </w:r>
      <w:hyperlink r:id="rId52" w:history="1">
        <w:r w:rsidR="00043CE8" w:rsidRPr="00043CE8">
          <w:rPr>
            <w:rStyle w:val="Hyperlink"/>
            <w:rFonts w:eastAsia="Times New Roman" w:cs="Times New Roman"/>
            <w:sz w:val="24"/>
            <w:szCs w:val="24"/>
            <w:u w:val="none"/>
            <w:lang w:eastAsia="bg-BG"/>
          </w:rPr>
          <w:t>https://goo.gl/ypLXRn</w:t>
        </w:r>
      </w:hyperlink>
    </w:p>
    <w:p w:rsidR="00D6710F" w:rsidRPr="003578C5" w:rsidRDefault="00D6710F" w:rsidP="003578C5">
      <w:pPr>
        <w:spacing w:after="100" w:afterAutospacing="1"/>
        <w:rPr>
          <w:rFonts w:eastAsia="Times New Roman" w:cs="Times New Roman"/>
          <w:b/>
          <w:color w:val="E36C0A" w:themeColor="accent6" w:themeShade="BF"/>
          <w:sz w:val="24"/>
          <w:szCs w:val="24"/>
          <w:u w:val="single"/>
          <w:lang w:val="en" w:eastAsia="bg-BG"/>
        </w:rPr>
      </w:pPr>
      <w:r w:rsidRPr="003578C5">
        <w:rPr>
          <w:rFonts w:eastAsia="Times New Roman" w:cs="Times New Roman"/>
          <w:b/>
          <w:color w:val="E36C0A" w:themeColor="accent6" w:themeShade="BF"/>
          <w:sz w:val="24"/>
          <w:szCs w:val="24"/>
          <w:u w:val="single"/>
          <w:lang w:val="en" w:eastAsia="bg-BG"/>
        </w:rPr>
        <w:t>Designing future energy policies: Social sciences and humanities to accelerate the energy transition, 22 January 2019, Brussels, Belgium</w:t>
      </w:r>
    </w:p>
    <w:p w:rsidR="003578C5" w:rsidRDefault="00D6710F" w:rsidP="003578C5">
      <w:pPr>
        <w:spacing w:after="120"/>
        <w:rPr>
          <w:rFonts w:eastAsia="Times New Roman" w:cs="Times New Roman"/>
          <w:sz w:val="24"/>
          <w:szCs w:val="24"/>
          <w:lang w:val="en" w:eastAsia="bg-BG"/>
        </w:rPr>
      </w:pPr>
      <w:r w:rsidRPr="00D6710F">
        <w:rPr>
          <w:rFonts w:eastAsia="Times New Roman" w:cs="Times New Roman"/>
          <w:sz w:val="24"/>
          <w:szCs w:val="24"/>
          <w:lang w:val="en" w:eastAsia="bg-BG"/>
        </w:rPr>
        <w:t xml:space="preserve">Energy policies cannot fulfil their maximum potential if the knowledge stemming from social sciences and humanities research is not factored into the decision-making process. Citizens should be at the core of all policies, including those to do with energy. </w:t>
      </w:r>
    </w:p>
    <w:p w:rsidR="003578C5" w:rsidRDefault="00D6710F" w:rsidP="003578C5">
      <w:pPr>
        <w:spacing w:before="120" w:after="120"/>
        <w:rPr>
          <w:rFonts w:eastAsia="Times New Roman" w:cs="Times New Roman"/>
          <w:sz w:val="24"/>
          <w:szCs w:val="24"/>
          <w:lang w:val="en" w:eastAsia="bg-BG"/>
        </w:rPr>
      </w:pPr>
      <w:r w:rsidRPr="00D6710F">
        <w:rPr>
          <w:rFonts w:eastAsia="Times New Roman" w:cs="Times New Roman"/>
          <w:sz w:val="24"/>
          <w:szCs w:val="24"/>
          <w:lang w:val="en" w:eastAsia="bg-BG"/>
        </w:rPr>
        <w:t xml:space="preserve">This conference will underline how crucial social knowledge is to accelerating the </w:t>
      </w:r>
      <w:proofErr w:type="spellStart"/>
      <w:r w:rsidRPr="00D6710F">
        <w:rPr>
          <w:rFonts w:eastAsia="Times New Roman" w:cs="Times New Roman"/>
          <w:sz w:val="24"/>
          <w:szCs w:val="24"/>
          <w:lang w:val="en" w:eastAsia="bg-BG"/>
        </w:rPr>
        <w:t>decarbonisation</w:t>
      </w:r>
      <w:proofErr w:type="spellEnd"/>
      <w:r w:rsidRPr="00D6710F">
        <w:rPr>
          <w:rFonts w:eastAsia="Times New Roman" w:cs="Times New Roman"/>
          <w:sz w:val="24"/>
          <w:szCs w:val="24"/>
          <w:lang w:val="en" w:eastAsia="bg-BG"/>
        </w:rPr>
        <w:t xml:space="preserve"> of our economy and making a real dent in climate change. It will also present concrete recommendations on how to advance and better design future European energy policies in the context of the upcoming research and innovation framework: Horizon Europe. </w:t>
      </w:r>
    </w:p>
    <w:p w:rsidR="003578C5" w:rsidRDefault="00D6710F" w:rsidP="003578C5">
      <w:pPr>
        <w:tabs>
          <w:tab w:val="num" w:pos="720"/>
        </w:tabs>
        <w:spacing w:before="120" w:after="120"/>
        <w:rPr>
          <w:rFonts w:eastAsia="Times New Roman" w:cs="Times New Roman"/>
          <w:sz w:val="24"/>
          <w:szCs w:val="24"/>
          <w:lang w:val="en" w:eastAsia="bg-BG"/>
        </w:rPr>
      </w:pPr>
      <w:r w:rsidRPr="00D6710F">
        <w:rPr>
          <w:rFonts w:eastAsia="Times New Roman" w:cs="Times New Roman"/>
          <w:sz w:val="24"/>
          <w:szCs w:val="24"/>
          <w:lang w:val="en" w:eastAsia="bg-BG"/>
        </w:rPr>
        <w:t xml:space="preserve">The event is </w:t>
      </w:r>
      <w:proofErr w:type="spellStart"/>
      <w:r w:rsidRPr="00D6710F">
        <w:rPr>
          <w:rFonts w:eastAsia="Times New Roman" w:cs="Times New Roman"/>
          <w:sz w:val="24"/>
          <w:szCs w:val="24"/>
          <w:lang w:val="en" w:eastAsia="bg-BG"/>
        </w:rPr>
        <w:t>organised</w:t>
      </w:r>
      <w:proofErr w:type="spellEnd"/>
      <w:r w:rsidRPr="00D6710F">
        <w:rPr>
          <w:rFonts w:eastAsia="Times New Roman" w:cs="Times New Roman"/>
          <w:sz w:val="24"/>
          <w:szCs w:val="24"/>
          <w:lang w:val="en" w:eastAsia="bg-BG"/>
        </w:rPr>
        <w:t xml:space="preserve"> as part of the SHAPE ENERGY H2020 EU-funded project. It aims at generating new knowledge, support evidence-based policymaking, produce interdisciplinary solutions and develop Europe's expertise in using and applying available research into the energy transition decision-making process. It will bring the perfect opportunity for a wide range of high level </w:t>
      </w:r>
      <w:proofErr w:type="spellStart"/>
      <w:r w:rsidRPr="00D6710F">
        <w:rPr>
          <w:rFonts w:eastAsia="Times New Roman" w:cs="Times New Roman"/>
          <w:sz w:val="24"/>
          <w:szCs w:val="24"/>
          <w:lang w:val="en" w:eastAsia="bg-BG"/>
        </w:rPr>
        <w:t>panellists</w:t>
      </w:r>
      <w:proofErr w:type="spellEnd"/>
      <w:r w:rsidRPr="00D6710F">
        <w:rPr>
          <w:rFonts w:eastAsia="Times New Roman" w:cs="Times New Roman"/>
          <w:sz w:val="24"/>
          <w:szCs w:val="24"/>
          <w:lang w:val="en" w:eastAsia="bg-BG"/>
        </w:rPr>
        <w:t xml:space="preserve"> and senior stakeholders to connect the dots, debate the key issues and think through on the political and social changes as well the necessary research and innovation investments needed to further integrate social sciences in the future of policymaking.</w:t>
      </w:r>
    </w:p>
    <w:p w:rsidR="00D6710F" w:rsidRPr="003578C5" w:rsidRDefault="00A554DC" w:rsidP="00B67654">
      <w:pPr>
        <w:pStyle w:val="ListParagraph"/>
        <w:numPr>
          <w:ilvl w:val="0"/>
          <w:numId w:val="18"/>
        </w:numPr>
        <w:spacing w:after="0"/>
        <w:ind w:left="714" w:hanging="357"/>
        <w:rPr>
          <w:rFonts w:eastAsia="Times New Roman" w:cs="Times New Roman"/>
          <w:sz w:val="24"/>
          <w:szCs w:val="24"/>
          <w:u w:val="single"/>
          <w:lang w:val="en" w:eastAsia="bg-BG"/>
        </w:rPr>
      </w:pPr>
      <w:hyperlink r:id="rId53" w:tgtFrame="_blank" w:history="1">
        <w:r w:rsidR="00D6710F" w:rsidRPr="003578C5">
          <w:rPr>
            <w:rStyle w:val="Hyperlink"/>
            <w:rFonts w:eastAsia="Times New Roman" w:cs="Times New Roman"/>
            <w:sz w:val="24"/>
            <w:szCs w:val="24"/>
            <w:lang w:val="en" w:eastAsia="bg-BG"/>
          </w:rPr>
          <w:t>Registration</w:t>
        </w:r>
      </w:hyperlink>
      <w:r w:rsidR="00D6710F" w:rsidRPr="003578C5">
        <w:rPr>
          <w:rFonts w:eastAsia="Times New Roman" w:cs="Times New Roman"/>
          <w:sz w:val="24"/>
          <w:szCs w:val="24"/>
          <w:u w:val="single"/>
          <w:lang w:val="en" w:eastAsia="bg-BG"/>
        </w:rPr>
        <w:t xml:space="preserve"> </w:t>
      </w:r>
    </w:p>
    <w:p w:rsidR="00D6710F" w:rsidRPr="00D6710F" w:rsidRDefault="00A554DC" w:rsidP="00B67654">
      <w:pPr>
        <w:numPr>
          <w:ilvl w:val="0"/>
          <w:numId w:val="15"/>
        </w:numPr>
        <w:spacing w:after="100" w:afterAutospacing="1" w:line="300" w:lineRule="atLeast"/>
        <w:ind w:left="714" w:hanging="357"/>
        <w:rPr>
          <w:rFonts w:eastAsia="Times New Roman" w:cs="Times New Roman"/>
          <w:sz w:val="24"/>
          <w:szCs w:val="24"/>
          <w:u w:val="single"/>
          <w:lang w:val="en" w:eastAsia="bg-BG"/>
        </w:rPr>
      </w:pPr>
      <w:hyperlink r:id="rId54" w:tgtFrame="_blank" w:history="1">
        <w:r w:rsidR="00D6710F" w:rsidRPr="00D6710F">
          <w:rPr>
            <w:rStyle w:val="Hyperlink"/>
            <w:rFonts w:eastAsia="Times New Roman" w:cs="Times New Roman"/>
            <w:sz w:val="24"/>
            <w:szCs w:val="24"/>
            <w:lang w:val="en" w:eastAsia="bg-BG"/>
          </w:rPr>
          <w:t>Programme</w:t>
        </w:r>
      </w:hyperlink>
      <w:r w:rsidR="00D6710F" w:rsidRPr="00D6710F">
        <w:rPr>
          <w:rFonts w:eastAsia="Times New Roman" w:cs="Times New Roman"/>
          <w:sz w:val="24"/>
          <w:szCs w:val="24"/>
          <w:u w:val="single"/>
          <w:lang w:val="en" w:eastAsia="bg-BG"/>
        </w:rPr>
        <w:t xml:space="preserve"> </w:t>
      </w:r>
    </w:p>
    <w:p w:rsidR="003A5C64" w:rsidRPr="003A5C64" w:rsidRDefault="003A5C64" w:rsidP="00D86536">
      <w:pPr>
        <w:spacing w:after="100" w:afterAutospacing="1"/>
        <w:rPr>
          <w:b/>
          <w:bCs/>
          <w:color w:val="E36C0A" w:themeColor="accent6" w:themeShade="BF"/>
          <w:sz w:val="24"/>
          <w:szCs w:val="24"/>
          <w:u w:val="single"/>
        </w:rPr>
      </w:pPr>
      <w:r w:rsidRPr="003A5C64">
        <w:rPr>
          <w:b/>
          <w:bCs/>
          <w:color w:val="E36C0A" w:themeColor="accent6" w:themeShade="BF"/>
          <w:sz w:val="24"/>
          <w:szCs w:val="24"/>
          <w:u w:val="single"/>
        </w:rPr>
        <w:t>2019 Infoday, Ensuring Excellent Research by Investing in Researchers Talents, Skills and Career Development</w:t>
      </w:r>
      <w:r>
        <w:rPr>
          <w:b/>
          <w:bCs/>
          <w:color w:val="E36C0A" w:themeColor="accent6" w:themeShade="BF"/>
          <w:sz w:val="24"/>
          <w:szCs w:val="24"/>
          <w:u w:val="single"/>
        </w:rPr>
        <w:t xml:space="preserve">, </w:t>
      </w:r>
      <w:r w:rsidRPr="003A5C64">
        <w:rPr>
          <w:b/>
          <w:bCs/>
          <w:color w:val="E36C0A" w:themeColor="accent6" w:themeShade="BF"/>
          <w:sz w:val="24"/>
          <w:szCs w:val="24"/>
          <w:u w:val="single"/>
        </w:rPr>
        <w:t>29 January 2019, Brussels, Belgium</w:t>
      </w:r>
    </w:p>
    <w:p w:rsidR="003A5C64" w:rsidRPr="007608B6" w:rsidRDefault="003A5C64" w:rsidP="00D86536">
      <w:pPr>
        <w:spacing w:before="100" w:beforeAutospacing="1" w:after="100" w:afterAutospacing="1"/>
        <w:rPr>
          <w:rFonts w:eastAsia="Times New Roman" w:cs="Times New Roman"/>
          <w:sz w:val="24"/>
          <w:szCs w:val="24"/>
          <w:lang w:eastAsia="bg-BG"/>
        </w:rPr>
      </w:pPr>
      <w:r w:rsidRPr="007608B6">
        <w:rPr>
          <w:rFonts w:eastAsia="Times New Roman" w:cs="Times New Roman"/>
          <w:sz w:val="24"/>
          <w:szCs w:val="24"/>
          <w:lang w:eastAsia="bg-BG"/>
        </w:rPr>
        <w:t>Implementing the Human Resources Strategy to comply with art. 32 of the H2020 multi-beneficiary grant agreement</w:t>
      </w:r>
    </w:p>
    <w:p w:rsidR="003A5C64" w:rsidRPr="007608B6" w:rsidRDefault="003A5C64" w:rsidP="00D86536">
      <w:pPr>
        <w:spacing w:before="100" w:beforeAutospacing="1" w:after="100" w:afterAutospacing="1"/>
        <w:rPr>
          <w:rFonts w:eastAsia="Times New Roman" w:cs="Times New Roman"/>
          <w:sz w:val="24"/>
          <w:szCs w:val="24"/>
          <w:lang w:eastAsia="bg-BG"/>
        </w:rPr>
      </w:pPr>
      <w:proofErr w:type="spellStart"/>
      <w:r w:rsidRPr="007608B6">
        <w:rPr>
          <w:rFonts w:eastAsia="Times New Roman" w:cs="Times New Roman"/>
          <w:sz w:val="24"/>
          <w:szCs w:val="24"/>
          <w:lang w:eastAsia="bg-BG"/>
        </w:rPr>
        <w:lastRenderedPageBreak/>
        <w:t>This</w:t>
      </w:r>
      <w:proofErr w:type="spellEnd"/>
      <w:r w:rsidRPr="007608B6">
        <w:rPr>
          <w:rFonts w:eastAsia="Times New Roman" w:cs="Times New Roman"/>
          <w:sz w:val="24"/>
          <w:szCs w:val="24"/>
          <w:lang w:eastAsia="bg-BG"/>
        </w:rPr>
        <w:t xml:space="preserve"> INFO-DAY </w:t>
      </w:r>
      <w:proofErr w:type="spellStart"/>
      <w:r w:rsidRPr="007608B6">
        <w:rPr>
          <w:rFonts w:eastAsia="Times New Roman" w:cs="Times New Roman"/>
          <w:sz w:val="24"/>
          <w:szCs w:val="24"/>
          <w:lang w:eastAsia="bg-BG"/>
        </w:rPr>
        <w:t>addresses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newcomer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universities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institutions</w:t>
      </w:r>
      <w:proofErr w:type="spellEnd"/>
      <w:r w:rsidRPr="007608B6">
        <w:rPr>
          <w:rFonts w:eastAsia="Times New Roman" w:cs="Times New Roman"/>
          <w:sz w:val="24"/>
          <w:szCs w:val="24"/>
          <w:lang w:eastAsia="bg-BG"/>
        </w:rPr>
        <w:t xml:space="preserve"> and research </w:t>
      </w:r>
      <w:proofErr w:type="spellStart"/>
      <w:r w:rsidRPr="007608B6">
        <w:rPr>
          <w:rFonts w:eastAsia="Times New Roman" w:cs="Times New Roman"/>
          <w:sz w:val="24"/>
          <w:szCs w:val="24"/>
          <w:lang w:eastAsia="bg-BG"/>
        </w:rPr>
        <w:t>funders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investing</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researchers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talents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skills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and</w:t>
      </w:r>
      <w:proofErr w:type="spellEnd"/>
      <w:r w:rsidRPr="007608B6">
        <w:rPr>
          <w:rFonts w:eastAsia="Times New Roman" w:cs="Times New Roman"/>
          <w:sz w:val="24"/>
          <w:szCs w:val="24"/>
          <w:lang w:eastAsia="bg-BG"/>
        </w:rPr>
        <w:t xml:space="preserve"> career development by implementing the 40 principles of the 'European Charter for Researchers and the Code of Conduct for the </w:t>
      </w:r>
      <w:proofErr w:type="spellStart"/>
      <w:r w:rsidRPr="007608B6">
        <w:rPr>
          <w:rFonts w:eastAsia="Times New Roman" w:cs="Times New Roman"/>
          <w:sz w:val="24"/>
          <w:szCs w:val="24"/>
          <w:lang w:eastAsia="bg-BG"/>
        </w:rPr>
        <w:t>Recruitment</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of</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Researchers</w:t>
      </w:r>
      <w:proofErr w:type="spellEnd"/>
      <w:r w:rsidRPr="007608B6">
        <w:rPr>
          <w:rFonts w:eastAsia="Times New Roman" w:cs="Times New Roman"/>
          <w:sz w:val="24"/>
          <w:szCs w:val="24"/>
          <w:lang w:eastAsia="bg-BG"/>
        </w:rPr>
        <w:t xml:space="preserve"> (C&amp;C)'.</w:t>
      </w:r>
    </w:p>
    <w:p w:rsidR="003A5C64" w:rsidRPr="007608B6" w:rsidRDefault="003A5C64" w:rsidP="00D86536">
      <w:pPr>
        <w:spacing w:before="120" w:after="120"/>
        <w:rPr>
          <w:rFonts w:eastAsia="Times New Roman" w:cs="Times New Roman"/>
          <w:sz w:val="24"/>
          <w:szCs w:val="24"/>
          <w:lang w:eastAsia="bg-BG"/>
        </w:rPr>
      </w:pPr>
      <w:r w:rsidRPr="007608B6">
        <w:rPr>
          <w:rFonts w:eastAsia="Times New Roman" w:cs="Times New Roman"/>
          <w:sz w:val="24"/>
          <w:szCs w:val="24"/>
          <w:lang w:eastAsia="bg-BG"/>
        </w:rPr>
        <w:t xml:space="preserve">It also addresses beneficiaries and potential applicants of H2020 contracts/projects who have to comply with article 32 stipulating the need to take measures to implement the European </w:t>
      </w:r>
      <w:proofErr w:type="spellStart"/>
      <w:r w:rsidRPr="007608B6">
        <w:rPr>
          <w:rFonts w:eastAsia="Times New Roman" w:cs="Times New Roman"/>
          <w:sz w:val="24"/>
          <w:szCs w:val="24"/>
          <w:lang w:eastAsia="bg-BG"/>
        </w:rPr>
        <w:t>Charter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and</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Code</w:t>
      </w:r>
      <w:proofErr w:type="spellEnd"/>
      <w:r w:rsidRPr="007608B6">
        <w:rPr>
          <w:rFonts w:eastAsia="Times New Roman" w:cs="Times New Roman"/>
          <w:sz w:val="24"/>
          <w:szCs w:val="24"/>
          <w:lang w:eastAsia="bg-BG"/>
        </w:rPr>
        <w:t xml:space="preserve"> (C&amp;C) </w:t>
      </w:r>
      <w:proofErr w:type="spellStart"/>
      <w:r w:rsidRPr="007608B6">
        <w:rPr>
          <w:rFonts w:eastAsia="Times New Roman" w:cs="Times New Roman"/>
          <w:sz w:val="24"/>
          <w:szCs w:val="24"/>
          <w:lang w:eastAsia="bg-BG"/>
        </w:rPr>
        <w:t>for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the</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benefit</w:t>
      </w:r>
      <w:proofErr w:type="spellEnd"/>
      <w:r w:rsidRPr="007608B6">
        <w:rPr>
          <w:rFonts w:eastAsia="Times New Roman" w:cs="Times New Roman"/>
          <w:sz w:val="24"/>
          <w:szCs w:val="24"/>
          <w:lang w:eastAsia="bg-BG"/>
        </w:rPr>
        <w:t xml:space="preserve"> of all researchers and their institution.</w:t>
      </w:r>
    </w:p>
    <w:p w:rsidR="003A5C64" w:rsidRPr="007608B6" w:rsidRDefault="003A5C64" w:rsidP="00D86536">
      <w:pPr>
        <w:spacing w:before="120" w:after="120"/>
        <w:rPr>
          <w:rFonts w:eastAsia="Times New Roman" w:cs="Times New Roman"/>
          <w:sz w:val="24"/>
          <w:szCs w:val="24"/>
          <w:lang w:eastAsia="bg-BG"/>
        </w:rPr>
      </w:pPr>
      <w:r w:rsidRPr="007608B6">
        <w:rPr>
          <w:rFonts w:eastAsia="Times New Roman" w:cs="Times New Roman"/>
          <w:sz w:val="24"/>
          <w:szCs w:val="24"/>
          <w:lang w:eastAsia="bg-BG"/>
        </w:rPr>
        <w:t>It also brings forward policy issues related to skills and talent management in an Open Science environment closely linked to the European Framework for Research Careers.</w:t>
      </w:r>
    </w:p>
    <w:p w:rsidR="003A5C64" w:rsidRPr="007608B6" w:rsidRDefault="003A5C64" w:rsidP="00D86536">
      <w:pPr>
        <w:spacing w:before="120" w:after="120"/>
        <w:rPr>
          <w:rFonts w:eastAsia="Times New Roman" w:cs="Times New Roman"/>
          <w:sz w:val="24"/>
          <w:szCs w:val="24"/>
          <w:lang w:eastAsia="bg-BG"/>
        </w:rPr>
      </w:pPr>
      <w:r w:rsidRPr="007608B6">
        <w:rPr>
          <w:rFonts w:eastAsia="Times New Roman" w:cs="Times New Roman"/>
          <w:sz w:val="24"/>
          <w:szCs w:val="24"/>
          <w:lang w:eastAsia="bg-BG"/>
        </w:rPr>
        <w:t>Seven invited high-level speakers from different European research or funding institutions will evidence benefits and impact, showcase improved training opportunities, career development and talents and skills management in their respective institutions.</w:t>
      </w:r>
    </w:p>
    <w:p w:rsidR="00A532A9" w:rsidRDefault="00A554DC" w:rsidP="00D86536">
      <w:pPr>
        <w:spacing w:after="240"/>
        <w:rPr>
          <w:rFonts w:eastAsia="Times New Roman" w:cs="Times New Roman"/>
          <w:color w:val="0000FF"/>
          <w:sz w:val="24"/>
          <w:szCs w:val="24"/>
          <w:u w:val="single"/>
          <w:lang w:val="en-US" w:eastAsia="bg-BG"/>
        </w:rPr>
      </w:pPr>
      <w:hyperlink r:id="rId55" w:tgtFrame="_blank" w:history="1">
        <w:r w:rsidR="003A5C64" w:rsidRPr="00502B11">
          <w:rPr>
            <w:rFonts w:eastAsia="Times New Roman" w:cs="Times New Roman"/>
            <w:color w:val="0000FF"/>
            <w:sz w:val="24"/>
            <w:szCs w:val="24"/>
            <w:u w:val="single"/>
            <w:lang w:eastAsia="bg-BG"/>
          </w:rPr>
          <w:t>More information and registration</w:t>
        </w:r>
      </w:hyperlink>
    </w:p>
    <w:p w:rsidR="00A532A9" w:rsidRPr="006F1F67" w:rsidRDefault="00A532A9" w:rsidP="00EB4446">
      <w:pPr>
        <w:spacing w:after="240"/>
        <w:rPr>
          <w:rFonts w:cs="Times New Roman"/>
          <w:b/>
          <w:bCs/>
          <w:color w:val="E36C0A" w:themeColor="accent6" w:themeShade="BF"/>
          <w:sz w:val="24"/>
          <w:szCs w:val="24"/>
          <w:u w:val="single"/>
          <w:lang w:val="en"/>
        </w:rPr>
      </w:pPr>
      <w:r w:rsidRPr="006F1F67">
        <w:rPr>
          <w:rFonts w:cs="Times New Roman"/>
          <w:b/>
          <w:bCs/>
          <w:color w:val="E36C0A" w:themeColor="accent6" w:themeShade="BF"/>
          <w:sz w:val="24"/>
          <w:szCs w:val="24"/>
          <w:u w:val="single"/>
          <w:lang w:val="en"/>
        </w:rPr>
        <w:t xml:space="preserve">3rd HBP Student Conference </w:t>
      </w:r>
      <w:proofErr w:type="gramStart"/>
      <w:r w:rsidRPr="006F1F67">
        <w:rPr>
          <w:rFonts w:cs="Times New Roman"/>
          <w:b/>
          <w:bCs/>
          <w:color w:val="E36C0A" w:themeColor="accent6" w:themeShade="BF"/>
          <w:sz w:val="24"/>
          <w:szCs w:val="24"/>
          <w:u w:val="single"/>
          <w:lang w:val="en"/>
        </w:rPr>
        <w:t>On</w:t>
      </w:r>
      <w:proofErr w:type="gramEnd"/>
      <w:r w:rsidRPr="006F1F67">
        <w:rPr>
          <w:rFonts w:cs="Times New Roman"/>
          <w:b/>
          <w:bCs/>
          <w:color w:val="E36C0A" w:themeColor="accent6" w:themeShade="BF"/>
          <w:sz w:val="24"/>
          <w:szCs w:val="24"/>
          <w:u w:val="single"/>
          <w:lang w:val="en"/>
        </w:rPr>
        <w:t xml:space="preserve"> Interdisciplinary Brain Research, 6</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7 February 2019, Ghent, Belgium</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human brain is such a complex system that it can only be understood by combining knowledge and practices from multiple scientific fields.</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3rd HBP Student Conference provides an open forum for the exchange of new ideas among young researchers working across various aspects of science relevant to the Human Brain Project (HBP).</w:t>
      </w:r>
    </w:p>
    <w:p w:rsidR="00A532A9" w:rsidRPr="00EB4446" w:rsidRDefault="00A532A9" w:rsidP="00EB4446">
      <w:pPr>
        <w:tabs>
          <w:tab w:val="num" w:pos="720"/>
        </w:tabs>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conference offers a space for extensive scientific dialogue, both intra- and interdisciplinary, among peers and faculty through a variety of discussion sessio</w:t>
      </w:r>
      <w:r w:rsidR="00EB4446">
        <w:rPr>
          <w:rFonts w:eastAsia="Times New Roman" w:cs="Times New Roman"/>
          <w:sz w:val="24"/>
          <w:szCs w:val="24"/>
          <w:lang w:val="en" w:eastAsia="bg-BG"/>
        </w:rPr>
        <w:t>ns, lectures and social events.</w:t>
      </w:r>
    </w:p>
    <w:p w:rsidR="003A5C64" w:rsidRDefault="00A554DC" w:rsidP="00EB4446">
      <w:pPr>
        <w:tabs>
          <w:tab w:val="num" w:pos="720"/>
        </w:tabs>
        <w:spacing w:before="120" w:after="100" w:afterAutospacing="1" w:line="240" w:lineRule="auto"/>
        <w:rPr>
          <w:rFonts w:eastAsia="Times New Roman" w:cs="Times New Roman"/>
          <w:color w:val="4D4D4D"/>
          <w:sz w:val="24"/>
          <w:szCs w:val="24"/>
          <w:lang w:val="en" w:eastAsia="bg-BG"/>
        </w:rPr>
      </w:pPr>
      <w:hyperlink r:id="rId56" w:tgtFrame="_blank" w:history="1">
        <w:r w:rsidR="00A532A9" w:rsidRPr="00A532A9">
          <w:rPr>
            <w:rStyle w:val="Hyperlink"/>
            <w:rFonts w:eastAsia="Times New Roman" w:cs="Times New Roman"/>
            <w:sz w:val="24"/>
            <w:szCs w:val="24"/>
            <w:lang w:val="en" w:eastAsia="bg-BG"/>
          </w:rPr>
          <w:t>More information and registration</w:t>
        </w:r>
      </w:hyperlink>
      <w:r w:rsidR="00A532A9" w:rsidRPr="00A532A9">
        <w:rPr>
          <w:rFonts w:eastAsia="Times New Roman" w:cs="Times New Roman"/>
          <w:color w:val="4D4D4D"/>
          <w:sz w:val="24"/>
          <w:szCs w:val="24"/>
          <w:lang w:val="en" w:eastAsia="bg-BG"/>
        </w:rPr>
        <w:t xml:space="preserve"> </w:t>
      </w:r>
    </w:p>
    <w:p w:rsidR="00502B11" w:rsidRPr="009E3BC5" w:rsidRDefault="00A554DC" w:rsidP="00644F5B">
      <w:pPr>
        <w:rPr>
          <w:b/>
          <w:color w:val="E36C0A" w:themeColor="accent6" w:themeShade="BF"/>
          <w:sz w:val="24"/>
          <w:szCs w:val="24"/>
          <w:u w:val="single"/>
          <w:lang w:val="en-GB"/>
        </w:rPr>
      </w:pPr>
      <w:hyperlink r:id="rId57" w:history="1">
        <w:r w:rsidR="00502B11" w:rsidRPr="009E3BC5">
          <w:rPr>
            <w:rStyle w:val="Hyperlink"/>
            <w:rFonts w:cs="Times New Roman"/>
            <w:b/>
            <w:color w:val="E36C0A" w:themeColor="accent6" w:themeShade="BF"/>
            <w:sz w:val="24"/>
            <w:szCs w:val="24"/>
            <w:lang w:val="en-GB"/>
          </w:rPr>
          <w:t>2019 European Learning &amp; Teaching Forum</w:t>
        </w:r>
      </w:hyperlink>
      <w:r w:rsidR="00502B11" w:rsidRPr="009E3BC5">
        <w:rPr>
          <w:b/>
          <w:color w:val="E36C0A" w:themeColor="accent6" w:themeShade="BF"/>
          <w:sz w:val="24"/>
          <w:szCs w:val="24"/>
          <w:u w:val="single"/>
        </w:rPr>
        <w:t xml:space="preserve"> </w:t>
      </w:r>
      <w:r w:rsidR="00502B11" w:rsidRPr="009E3BC5">
        <w:rPr>
          <w:b/>
          <w:color w:val="E36C0A" w:themeColor="accent6" w:themeShade="BF"/>
          <w:sz w:val="24"/>
          <w:szCs w:val="24"/>
          <w:u w:val="single"/>
          <w:lang w:val="en-GB"/>
        </w:rPr>
        <w:t xml:space="preserve">Towards successful learning: Controversies and common ground, </w:t>
      </w:r>
      <w:r w:rsidR="00502B11" w:rsidRPr="009E3BC5">
        <w:rPr>
          <w:rStyle w:val="metadate2"/>
          <w:rFonts w:cs="Times New Roman"/>
          <w:b/>
          <w:caps/>
          <w:color w:val="E36C0A" w:themeColor="accent6" w:themeShade="BF"/>
          <w:sz w:val="24"/>
          <w:szCs w:val="24"/>
          <w:u w:val="single"/>
          <w:lang w:val="en-GB"/>
        </w:rPr>
        <w:t xml:space="preserve">14 - 15 </w:t>
      </w:r>
      <w:r w:rsidR="00502B11" w:rsidRPr="009E3BC5">
        <w:rPr>
          <w:rStyle w:val="metadate2"/>
          <w:rFonts w:cs="Times New Roman"/>
          <w:b/>
          <w:color w:val="E36C0A" w:themeColor="accent6" w:themeShade="BF"/>
          <w:sz w:val="24"/>
          <w:szCs w:val="24"/>
          <w:u w:val="single"/>
          <w:lang w:val="en-GB"/>
        </w:rPr>
        <w:t xml:space="preserve">February 2019, </w:t>
      </w:r>
      <w:proofErr w:type="gramStart"/>
      <w:r w:rsidR="00502B11" w:rsidRPr="009E3BC5">
        <w:rPr>
          <w:rStyle w:val="metalocation3"/>
          <w:rFonts w:cs="Times New Roman"/>
          <w:b/>
          <w:color w:val="E36C0A" w:themeColor="accent6" w:themeShade="BF"/>
          <w:sz w:val="24"/>
          <w:szCs w:val="24"/>
          <w:u w:val="single"/>
          <w:lang w:val="en-GB"/>
        </w:rPr>
        <w:t>Warsaw ,</w:t>
      </w:r>
      <w:proofErr w:type="gramEnd"/>
      <w:r w:rsidR="00502B11" w:rsidRPr="009E3BC5">
        <w:rPr>
          <w:rStyle w:val="metalocation3"/>
          <w:rFonts w:cs="Times New Roman"/>
          <w:b/>
          <w:color w:val="E36C0A" w:themeColor="accent6" w:themeShade="BF"/>
          <w:sz w:val="24"/>
          <w:szCs w:val="24"/>
          <w:u w:val="single"/>
          <w:lang w:val="en-GB"/>
        </w:rPr>
        <w:t xml:space="preserve"> Poland </w:t>
      </w:r>
    </w:p>
    <w:p w:rsidR="00502B11" w:rsidRPr="00502B11" w:rsidRDefault="00502B11" w:rsidP="00EB4446">
      <w:pPr>
        <w:spacing w:before="120" w:after="120"/>
        <w:rPr>
          <w:rFonts w:cs="Times New Roman"/>
          <w:sz w:val="24"/>
          <w:szCs w:val="24"/>
          <w:lang w:val="en-GB"/>
        </w:rPr>
      </w:pPr>
      <w:r w:rsidRPr="00502B11">
        <w:rPr>
          <w:rFonts w:cs="Times New Roman"/>
          <w:sz w:val="24"/>
          <w:szCs w:val="24"/>
          <w:lang w:val="en-GB"/>
        </w:rPr>
        <w:t xml:space="preserve">The 2019 European Learning &amp; Teaching Forum ‘Towards successful learning: Controversies and common ground’ builds on the recognition that there is no one-size-fits-all solution for successful learning and </w:t>
      </w:r>
      <w:proofErr w:type="spellStart"/>
      <w:r w:rsidRPr="00502B11">
        <w:rPr>
          <w:rFonts w:cs="Times New Roman"/>
          <w:sz w:val="24"/>
          <w:szCs w:val="24"/>
          <w:lang w:val="en-GB"/>
        </w:rPr>
        <w:t>and</w:t>
      </w:r>
      <w:proofErr w:type="spellEnd"/>
      <w:r w:rsidRPr="00502B11">
        <w:rPr>
          <w:rFonts w:cs="Times New Roman"/>
          <w:sz w:val="24"/>
          <w:szCs w:val="24"/>
          <w:lang w:val="en-GB"/>
        </w:rPr>
        <w:t xml:space="preserve"> teaching.</w:t>
      </w:r>
    </w:p>
    <w:p w:rsidR="00502B11" w:rsidRPr="00502B11" w:rsidRDefault="00502B11" w:rsidP="00502B11">
      <w:pPr>
        <w:spacing w:after="150"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Through a mix of plenary and parallel sessions, the Forum seeks to explore controversies and find common ground on how to engage and empower students and teachers in developing their learning and teaching. More specifically, drawing on the work of the EUA thematic peer groups in 2018, participants will be invited to reflect on how to facilitate better learning in European universities through institutional promotion of active learning; support for teachers to develop their teaching skills and engage in exchange of experience; promotion of career progression in teaching; and rethinking how learning and teaching is evaluated.</w:t>
      </w:r>
    </w:p>
    <w:p w:rsidR="00502B11" w:rsidRPr="00502B11" w:rsidRDefault="00502B11" w:rsidP="00EB4446">
      <w:pPr>
        <w:spacing w:after="100" w:afterAutospacing="1" w:line="300" w:lineRule="atLeast"/>
        <w:rPr>
          <w:color w:val="7A7A7A"/>
          <w:lang w:val="en-GB"/>
        </w:rPr>
      </w:pPr>
      <w:r w:rsidRPr="00502B11">
        <w:rPr>
          <w:rFonts w:eastAsia="Times New Roman" w:cs="Times New Roman"/>
          <w:sz w:val="24"/>
          <w:szCs w:val="24"/>
          <w:lang w:val="en-GB" w:eastAsia="bg-BG"/>
        </w:rPr>
        <w:lastRenderedPageBreak/>
        <w:t>The 2019 Forum will be hosted by the University of Warsaw, Poland on 14-15 February 2019. Its primary target audience are vice-rectors for academic affairs, deans, programme directors, academic staff and researchers interested in learning and teaching. The Forum also welcomes the participation of students, policy-makers and other stakeholders in higher education.</w:t>
      </w:r>
    </w:p>
    <w:p w:rsidR="00831B75" w:rsidRPr="00EB4446" w:rsidRDefault="00831B75" w:rsidP="00831B75">
      <w:pPr>
        <w:spacing w:after="240"/>
        <w:rPr>
          <w:b/>
          <w:bCs/>
          <w:color w:val="E36C0A" w:themeColor="accent6" w:themeShade="BF"/>
          <w:sz w:val="24"/>
          <w:szCs w:val="24"/>
          <w:u w:val="single"/>
        </w:rPr>
      </w:pPr>
      <w:r w:rsidRPr="00EB4446">
        <w:rPr>
          <w:b/>
          <w:bCs/>
          <w:color w:val="E36C0A" w:themeColor="accent6" w:themeShade="BF"/>
          <w:sz w:val="24"/>
          <w:szCs w:val="24"/>
          <w:u w:val="single"/>
        </w:rPr>
        <w:t>Immunology Conferences</w:t>
      </w:r>
      <w:r w:rsidRPr="00EB4446">
        <w:rPr>
          <w:b/>
          <w:bCs/>
          <w:color w:val="E36C0A" w:themeColor="accent6" w:themeShade="BF"/>
          <w:sz w:val="24"/>
          <w:szCs w:val="24"/>
          <w:u w:val="single"/>
          <w:lang w:val="en-US"/>
        </w:rPr>
        <w:t xml:space="preserve">, 04 – 05 March 2019, </w:t>
      </w:r>
      <w:r w:rsidRPr="00EB4446">
        <w:rPr>
          <w:b/>
          <w:bCs/>
          <w:color w:val="E36C0A" w:themeColor="accent6" w:themeShade="BF"/>
          <w:sz w:val="24"/>
          <w:szCs w:val="24"/>
          <w:u w:val="single"/>
        </w:rPr>
        <w:t xml:space="preserve"> </w:t>
      </w:r>
      <w:r w:rsidRPr="00EB4446">
        <w:rPr>
          <w:b/>
          <w:bCs/>
          <w:iCs/>
          <w:color w:val="E36C0A" w:themeColor="accent6" w:themeShade="BF"/>
          <w:sz w:val="24"/>
          <w:szCs w:val="24"/>
          <w:u w:val="single"/>
        </w:rPr>
        <w:t>Barcelona, Spain</w:t>
      </w:r>
    </w:p>
    <w:p w:rsidR="00831B75" w:rsidRDefault="00831B75" w:rsidP="00EB4446">
      <w:pPr>
        <w:spacing w:after="120"/>
        <w:rPr>
          <w:sz w:val="24"/>
          <w:szCs w:val="24"/>
          <w:lang w:val="en-US"/>
        </w:rPr>
      </w:pPr>
      <w:r w:rsidRPr="00831B75">
        <w:rPr>
          <w:sz w:val="24"/>
          <w:szCs w:val="24"/>
        </w:rPr>
        <w:t>Conference Series LLC LTD takes immense pleasure in inviting scientists, researchers, professors, delegates across the continents to its upcoming “10th Molecular Immunology &amp; Immunogenetics Congress”</w:t>
      </w:r>
      <w:r>
        <w:rPr>
          <w:sz w:val="24"/>
          <w:szCs w:val="24"/>
          <w:lang w:val="en-US"/>
        </w:rPr>
        <w:t xml:space="preserve">. </w:t>
      </w:r>
    </w:p>
    <w:p w:rsidR="00831B75" w:rsidRDefault="00831B75" w:rsidP="00EB4446">
      <w:pPr>
        <w:spacing w:before="120" w:after="120"/>
        <w:rPr>
          <w:sz w:val="24"/>
          <w:szCs w:val="24"/>
          <w:lang w:val="en-US"/>
        </w:rPr>
      </w:pPr>
      <w:r w:rsidRPr="00831B75">
        <w:rPr>
          <w:sz w:val="24"/>
          <w:szCs w:val="24"/>
        </w:rPr>
        <w:t xml:space="preserve">Molecular Immunology 2019 is a two-day programme event that offers a much-needed global platform to bring together researchers in all fields of Immunology, including Molecular Biology, Genetics, Clinical &amp; Cellular Immunology, Microbiology, Vaccines, Biochemistry, and young researchers, students, and industrialists to exchange ideas, communicate and discuss research findings on new advancements in various fields of Immunology. Molecular Immunology will be available to discuss with you the latest issues and Novel Approaches for Immune-mediated Diseases &amp; Advancements in Existing Therapies. </w:t>
      </w:r>
    </w:p>
    <w:p w:rsidR="00831B75" w:rsidRPr="00831B75" w:rsidRDefault="00831B75" w:rsidP="00831B75">
      <w:pPr>
        <w:spacing w:after="240"/>
        <w:rPr>
          <w:sz w:val="24"/>
          <w:szCs w:val="24"/>
        </w:rPr>
      </w:pPr>
      <w:r>
        <w:rPr>
          <w:sz w:val="24"/>
          <w:szCs w:val="24"/>
          <w:lang w:val="en-US"/>
        </w:rPr>
        <w:t xml:space="preserve">Registration: </w:t>
      </w:r>
      <w:hyperlink r:id="rId58" w:history="1">
        <w:r w:rsidRPr="00831B75">
          <w:rPr>
            <w:rStyle w:val="Hyperlink"/>
            <w:sz w:val="24"/>
            <w:szCs w:val="24"/>
          </w:rPr>
          <w:t>https://molecularimmunology.conferenceseries.com/registration.php</w:t>
        </w:r>
      </w:hyperlink>
    </w:p>
    <w:p w:rsidR="00A414F7" w:rsidRDefault="00A414F7" w:rsidP="005C6234">
      <w:pPr>
        <w:spacing w:after="240"/>
        <w:rPr>
          <w:sz w:val="24"/>
          <w:szCs w:val="24"/>
        </w:rPr>
      </w:pPr>
    </w:p>
    <w:p w:rsidR="00A414F7" w:rsidRDefault="00A414F7" w:rsidP="005C6234">
      <w:pPr>
        <w:spacing w:after="240"/>
        <w:rPr>
          <w:sz w:val="24"/>
          <w:szCs w:val="24"/>
        </w:rPr>
      </w:pPr>
    </w:p>
    <w:p w:rsidR="00A414F7" w:rsidRDefault="00A414F7" w:rsidP="005C6234">
      <w:pPr>
        <w:spacing w:after="240"/>
        <w:rPr>
          <w:sz w:val="24"/>
          <w:szCs w:val="24"/>
        </w:rPr>
      </w:pPr>
    </w:p>
    <w:p w:rsidR="00A414F7" w:rsidRPr="009A3C84" w:rsidRDefault="00A414F7" w:rsidP="005C6234">
      <w:pPr>
        <w:spacing w:after="240"/>
        <w:rPr>
          <w:sz w:val="24"/>
          <w:szCs w:val="24"/>
        </w:rPr>
      </w:pPr>
    </w:p>
    <w:p w:rsidR="00D865FB" w:rsidRPr="002A1300" w:rsidRDefault="00D865FB" w:rsidP="00460469">
      <w:pPr>
        <w:rPr>
          <w:lang w:val="en-US"/>
        </w:rPr>
        <w:sectPr w:rsidR="00D865FB" w:rsidRPr="002A1300" w:rsidSect="002852EF">
          <w:footerReference w:type="default" r:id="rId59"/>
          <w:pgSz w:w="11906" w:h="16838"/>
          <w:pgMar w:top="1417" w:right="1417" w:bottom="1417" w:left="1417" w:header="708" w:footer="708" w:gutter="0"/>
          <w:cols w:space="708"/>
          <w:docGrid w:linePitch="360"/>
        </w:sectPr>
      </w:pPr>
    </w:p>
    <w:p w:rsidR="00912146" w:rsidRDefault="00912146" w:rsidP="00B278E8">
      <w:pPr>
        <w:pStyle w:val="Publications"/>
      </w:pPr>
      <w:bookmarkStart w:id="25" w:name="_Toc529797580"/>
      <w:r>
        <w:lastRenderedPageBreak/>
        <w:t>ПУБЛИКАЦИИ</w:t>
      </w:r>
      <w:bookmarkEnd w:id="25"/>
    </w:p>
    <w:p w:rsidR="00D70D6F" w:rsidRPr="00D70D6F" w:rsidRDefault="00D70D6F" w:rsidP="00D80D50">
      <w:pPr>
        <w:pStyle w:val="Heading2"/>
        <w:ind w:left="426"/>
      </w:pPr>
      <w:bookmarkStart w:id="26" w:name="_Toc529797581"/>
      <w:r>
        <w:rPr>
          <w:lang w:val="en-US"/>
        </w:rPr>
        <w:t>RESEARCH EU</w:t>
      </w:r>
      <w:bookmarkEnd w:id="26"/>
    </w:p>
    <w:p w:rsidR="00A56C40" w:rsidRPr="00A56C40" w:rsidRDefault="00977F28" w:rsidP="00A56C40">
      <w:pPr>
        <w:spacing w:before="240" w:after="120"/>
        <w:rPr>
          <w:sz w:val="24"/>
          <w:szCs w:val="24"/>
        </w:rPr>
      </w:pPr>
      <w:r w:rsidRPr="00977F28">
        <w:rPr>
          <w:noProof/>
          <w:color w:val="0000FF" w:themeColor="hyperlink"/>
          <w:sz w:val="24"/>
          <w:szCs w:val="24"/>
          <w:u w:val="single"/>
          <w:lang w:eastAsia="bg-BG"/>
        </w:rPr>
        <w:drawing>
          <wp:inline distT="0" distB="0" distL="0" distR="0">
            <wp:extent cx="1112400" cy="1526400"/>
            <wp:effectExtent l="0" t="0" r="0" b="0"/>
            <wp:docPr id="4" name="Picture 4" descr="Mental health, an undercover epi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an undercover epidemic"/>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12400" cy="1526400"/>
                    </a:xfrm>
                    <a:prstGeom prst="rect">
                      <a:avLst/>
                    </a:prstGeom>
                    <a:noFill/>
                    <a:ln>
                      <a:noFill/>
                    </a:ln>
                  </pic:spPr>
                </pic:pic>
              </a:graphicData>
            </a:graphic>
          </wp:inline>
        </w:drawing>
      </w:r>
      <w:r w:rsidR="00A56C40" w:rsidRPr="00CE0A86">
        <w:rPr>
          <w:b/>
          <w:sz w:val="24"/>
          <w:szCs w:val="24"/>
        </w:rPr>
        <w:t>NO. 7</w:t>
      </w:r>
      <w:r w:rsidRPr="00CE0A86">
        <w:rPr>
          <w:b/>
          <w:sz w:val="24"/>
          <w:szCs w:val="24"/>
          <w:lang w:val="en-US"/>
        </w:rPr>
        <w:t>6</w:t>
      </w:r>
      <w:r w:rsidR="00A56C40" w:rsidRPr="00CE0A86">
        <w:rPr>
          <w:b/>
          <w:sz w:val="24"/>
          <w:szCs w:val="24"/>
          <w:lang w:val="en-US"/>
        </w:rPr>
        <w:t xml:space="preserve">, </w:t>
      </w:r>
      <w:r w:rsidRPr="00CE0A86">
        <w:rPr>
          <w:b/>
          <w:sz w:val="24"/>
          <w:szCs w:val="24"/>
          <w:lang w:val="en-US"/>
        </w:rPr>
        <w:t>October</w:t>
      </w:r>
      <w:r w:rsidR="00A56C40" w:rsidRPr="00CE0A86">
        <w:rPr>
          <w:b/>
          <w:sz w:val="24"/>
          <w:szCs w:val="24"/>
        </w:rPr>
        <w:t xml:space="preserve"> 2018</w:t>
      </w:r>
    </w:p>
    <w:p w:rsidR="00977F28" w:rsidRPr="00977F28" w:rsidRDefault="00977F28" w:rsidP="00977F28">
      <w:pPr>
        <w:pStyle w:val="grey-text"/>
        <w:spacing w:line="300" w:lineRule="atLeast"/>
      </w:pPr>
      <w:r w:rsidRPr="00977F28">
        <w:t>SPECIAL FEATURE</w:t>
      </w:r>
      <w:r>
        <w:rPr>
          <w:lang w:val="en-US"/>
        </w:rPr>
        <w:t xml:space="preserve">: </w:t>
      </w:r>
      <w:r w:rsidRPr="00977F28">
        <w:rPr>
          <w:lang w:val="en-US"/>
        </w:rPr>
        <w:t>M</w:t>
      </w:r>
      <w:r w:rsidRPr="00977F28">
        <w:t>ental health, an undercover epidemic</w:t>
      </w:r>
    </w:p>
    <w:p w:rsidR="00977F28" w:rsidRPr="00977F28" w:rsidRDefault="00977F28" w:rsidP="00977F28">
      <w:pPr>
        <w:spacing w:line="300" w:lineRule="atLeast"/>
        <w:rPr>
          <w:sz w:val="24"/>
          <w:szCs w:val="24"/>
        </w:rPr>
      </w:pPr>
      <w:r w:rsidRPr="00977F28">
        <w:rPr>
          <w:sz w:val="24"/>
          <w:szCs w:val="24"/>
        </w:rPr>
        <w:t>World Mental Health Day is observed on 10 October every year, with the aim of raising awareness of mental health issues across the globe and helping facilitate patient access to robust, modern and comprehensive mental healthcare services. This is especially important as the issue of mental health in many countries, including those within Europe, is often seen as a taboo subject, with high levels of social stigma associated with mental illness.</w:t>
      </w:r>
    </w:p>
    <w:p w:rsidR="00977F28" w:rsidRPr="00977F28" w:rsidRDefault="00A554DC" w:rsidP="00977F28">
      <w:pPr>
        <w:spacing w:line="300" w:lineRule="atLeast"/>
        <w:rPr>
          <w:sz w:val="24"/>
          <w:szCs w:val="24"/>
        </w:rPr>
      </w:pPr>
      <w:hyperlink r:id="rId61" w:tooltip="Read more" w:history="1">
        <w:r w:rsidR="00977F28" w:rsidRPr="00977F28">
          <w:rPr>
            <w:color w:val="027AC6"/>
            <w:sz w:val="24"/>
            <w:szCs w:val="24"/>
            <w:u w:val="single"/>
          </w:rPr>
          <w:t xml:space="preserve">Read more </w:t>
        </w:r>
      </w:hyperlink>
    </w:p>
    <w:p w:rsidR="00A752C7" w:rsidRPr="00A752C7" w:rsidRDefault="00A752C7" w:rsidP="00BD7301">
      <w:pPr>
        <w:pStyle w:val="Heading2"/>
        <w:ind w:left="426"/>
      </w:pPr>
      <w:bookmarkStart w:id="27" w:name="_Toc529797582"/>
      <w:r w:rsidRPr="00A752C7">
        <w:t>Nephrology Dialysis Transplantation, Volume 33 - Magnetic Resonance Imaging Biomarkers in Renal Disease</w:t>
      </w:r>
      <w:bookmarkEnd w:id="27"/>
    </w:p>
    <w:p w:rsidR="00BD7301" w:rsidRDefault="00BD7301" w:rsidP="00BD7301">
      <w:pPr>
        <w:spacing w:before="240" w:after="120"/>
        <w:rPr>
          <w:bCs/>
          <w:iCs/>
          <w:sz w:val="24"/>
          <w:szCs w:val="24"/>
          <w:lang w:val="en-US"/>
        </w:rPr>
      </w:pPr>
      <w:r w:rsidRPr="00A752C7">
        <w:rPr>
          <w:bCs/>
          <w:iCs/>
          <w:noProof/>
          <w:sz w:val="24"/>
          <w:szCs w:val="24"/>
          <w:lang w:eastAsia="bg-BG"/>
        </w:rPr>
        <w:drawing>
          <wp:anchor distT="0" distB="0" distL="114300" distR="114300" simplePos="0" relativeHeight="251700224" behindDoc="1" locked="0" layoutInCell="1" allowOverlap="1">
            <wp:simplePos x="0" y="0"/>
            <wp:positionH relativeFrom="column">
              <wp:posOffset>-3810</wp:posOffset>
            </wp:positionH>
            <wp:positionV relativeFrom="paragraph">
              <wp:posOffset>161925</wp:posOffset>
            </wp:positionV>
            <wp:extent cx="1195070" cy="1536700"/>
            <wp:effectExtent l="0" t="0" r="5080" b="6350"/>
            <wp:wrapThrough wrapText="bothSides">
              <wp:wrapPolygon edited="0">
                <wp:start x="0" y="0"/>
                <wp:lineTo x="0" y="21421"/>
                <wp:lineTo x="21348" y="21421"/>
                <wp:lineTo x="21348" y="0"/>
                <wp:lineTo x="0" y="0"/>
              </wp:wrapPolygon>
            </wp:wrapThrough>
            <wp:docPr id="15" name="Picture 15" descr="http://www.cost.eu/var/ezwebin_site/storage/images/medialib/images/library/publications/parenchima_cover/1963920-1-eng-GB/PARENCHIMA_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st.eu/var/ezwebin_site/storage/images/medialib/images/library/publications/parenchima_cover/1963920-1-eng-GB/PARENCHIMA_cover_publication.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95070" cy="1536700"/>
                    </a:xfrm>
                    <a:prstGeom prst="rect">
                      <a:avLst/>
                    </a:prstGeom>
                    <a:noFill/>
                    <a:ln>
                      <a:noFill/>
                    </a:ln>
                  </pic:spPr>
                </pic:pic>
              </a:graphicData>
            </a:graphic>
          </wp:anchor>
        </w:drawing>
      </w:r>
    </w:p>
    <w:p w:rsidR="00BD7301" w:rsidRDefault="00BD7301" w:rsidP="00BD7301">
      <w:pPr>
        <w:spacing w:before="240" w:after="120"/>
        <w:rPr>
          <w:bCs/>
          <w:iCs/>
          <w:sz w:val="24"/>
          <w:szCs w:val="24"/>
          <w:lang w:val="en-US"/>
        </w:rPr>
      </w:pPr>
    </w:p>
    <w:p w:rsidR="00D35368" w:rsidRDefault="00D35368" w:rsidP="00BD7301">
      <w:pPr>
        <w:spacing w:before="240" w:after="120"/>
        <w:rPr>
          <w:bCs/>
          <w:iCs/>
          <w:sz w:val="24"/>
          <w:szCs w:val="24"/>
          <w:lang w:val="en-US"/>
        </w:rPr>
      </w:pPr>
    </w:p>
    <w:p w:rsidR="00A752C7" w:rsidRPr="00A752C7" w:rsidRDefault="00A752C7" w:rsidP="00D35368">
      <w:pPr>
        <w:spacing w:before="240" w:after="0"/>
        <w:rPr>
          <w:bCs/>
          <w:iCs/>
          <w:sz w:val="24"/>
          <w:szCs w:val="24"/>
        </w:rPr>
      </w:pPr>
      <w:r w:rsidRPr="00A752C7">
        <w:rPr>
          <w:bCs/>
          <w:iCs/>
          <w:sz w:val="24"/>
          <w:szCs w:val="24"/>
        </w:rPr>
        <w:t>Author(s): Anna Caroli; Menno Pruijm; Michel Burnier; Nicholas M Selby</w:t>
      </w:r>
    </w:p>
    <w:p w:rsidR="00A752C7" w:rsidRPr="00A752C7" w:rsidRDefault="00A752C7" w:rsidP="00D35368">
      <w:pPr>
        <w:spacing w:before="120" w:after="120"/>
        <w:ind w:left="720"/>
        <w:rPr>
          <w:bCs/>
          <w:iCs/>
          <w:sz w:val="24"/>
          <w:szCs w:val="24"/>
        </w:rPr>
      </w:pPr>
      <w:r w:rsidRPr="00A752C7">
        <w:rPr>
          <w:bCs/>
          <w:iCs/>
          <w:sz w:val="24"/>
          <w:szCs w:val="24"/>
        </w:rPr>
        <w:t>Publisher(s): Oxford University Press</w:t>
      </w:r>
    </w:p>
    <w:p w:rsidR="00BD7301" w:rsidRDefault="00A752C7" w:rsidP="00A752C7">
      <w:pPr>
        <w:spacing w:before="240" w:after="120"/>
        <w:rPr>
          <w:bCs/>
          <w:iCs/>
          <w:sz w:val="24"/>
          <w:szCs w:val="24"/>
          <w:lang w:val="en-US"/>
        </w:rPr>
      </w:pPr>
      <w:r w:rsidRPr="00A752C7">
        <w:rPr>
          <w:bCs/>
          <w:iCs/>
          <w:sz w:val="24"/>
          <w:szCs w:val="24"/>
        </w:rPr>
        <w:t>Editorial: </w:t>
      </w:r>
    </w:p>
    <w:p w:rsidR="00A752C7" w:rsidRPr="00A752C7" w:rsidRDefault="00A554DC" w:rsidP="00A752C7">
      <w:pPr>
        <w:spacing w:before="240" w:after="120"/>
        <w:rPr>
          <w:b/>
          <w:bCs/>
          <w:iCs/>
          <w:sz w:val="24"/>
          <w:szCs w:val="24"/>
        </w:rPr>
      </w:pPr>
      <w:hyperlink r:id="rId63" w:history="1">
        <w:r w:rsidR="00A752C7" w:rsidRPr="00A752C7">
          <w:rPr>
            <w:rStyle w:val="Hyperlink"/>
            <w:b/>
            <w:bCs/>
            <w:iCs/>
            <w:sz w:val="24"/>
            <w:szCs w:val="24"/>
          </w:rPr>
          <w:t>Functional magnetic resonance imaging of the kidneys: where do we stand? The perspective of the European COST Action PARENCHIMA</w:t>
        </w:r>
      </w:hyperlink>
    </w:p>
    <w:p w:rsidR="00A752C7" w:rsidRPr="00A752C7" w:rsidRDefault="00A752C7" w:rsidP="00A752C7">
      <w:pPr>
        <w:spacing w:before="240" w:after="120"/>
        <w:rPr>
          <w:bCs/>
          <w:iCs/>
          <w:sz w:val="24"/>
          <w:szCs w:val="24"/>
        </w:rPr>
      </w:pPr>
      <w:r w:rsidRPr="00A752C7">
        <w:rPr>
          <w:bCs/>
          <w:iCs/>
          <w:sz w:val="24"/>
          <w:szCs w:val="24"/>
        </w:rPr>
        <w:t>Special report: </w:t>
      </w:r>
    </w:p>
    <w:p w:rsidR="00A752C7" w:rsidRPr="00A752C7" w:rsidRDefault="00A554DC" w:rsidP="00A752C7">
      <w:pPr>
        <w:spacing w:before="240" w:after="120"/>
        <w:rPr>
          <w:b/>
          <w:bCs/>
          <w:iCs/>
          <w:sz w:val="24"/>
          <w:szCs w:val="24"/>
        </w:rPr>
      </w:pPr>
      <w:hyperlink r:id="rId64" w:history="1">
        <w:r w:rsidR="00A752C7" w:rsidRPr="00A752C7">
          <w:rPr>
            <w:rStyle w:val="Hyperlink"/>
            <w:b/>
            <w:bCs/>
            <w:iCs/>
            <w:sz w:val="24"/>
            <w:szCs w:val="24"/>
          </w:rPr>
          <w:t>Magnetic resonance imaging biomarkers for chronic kidney disease: a position paper from the European Cooperation in Science and Technology Action PARENCHIMA</w:t>
        </w:r>
      </w:hyperlink>
    </w:p>
    <w:p w:rsidR="00A752C7" w:rsidRPr="00A752C7" w:rsidRDefault="00A752C7" w:rsidP="00A752C7">
      <w:pPr>
        <w:spacing w:before="240" w:after="120"/>
        <w:rPr>
          <w:bCs/>
          <w:iCs/>
          <w:sz w:val="24"/>
          <w:szCs w:val="24"/>
        </w:rPr>
      </w:pPr>
      <w:r w:rsidRPr="00A752C7">
        <w:rPr>
          <w:bCs/>
          <w:iCs/>
          <w:sz w:val="24"/>
          <w:szCs w:val="24"/>
        </w:rPr>
        <w:lastRenderedPageBreak/>
        <w:t>Reviews: </w:t>
      </w:r>
    </w:p>
    <w:p w:rsidR="00A752C7" w:rsidRPr="00A752C7" w:rsidRDefault="00A554DC" w:rsidP="00A752C7">
      <w:pPr>
        <w:spacing w:before="240" w:after="120"/>
        <w:rPr>
          <w:b/>
          <w:bCs/>
          <w:iCs/>
          <w:sz w:val="24"/>
          <w:szCs w:val="24"/>
        </w:rPr>
      </w:pPr>
      <w:hyperlink r:id="rId65" w:history="1">
        <w:r w:rsidR="00A752C7" w:rsidRPr="00A752C7">
          <w:rPr>
            <w:rStyle w:val="Hyperlink"/>
            <w:b/>
            <w:bCs/>
            <w:iCs/>
            <w:sz w:val="24"/>
            <w:szCs w:val="24"/>
          </w:rPr>
          <w:t>Arterial spin labelling MRI to measure renal perfusion: a systematic review and statement paper</w:t>
        </w:r>
      </w:hyperlink>
    </w:p>
    <w:p w:rsidR="00A752C7" w:rsidRPr="00A752C7" w:rsidRDefault="00A554DC" w:rsidP="00A752C7">
      <w:pPr>
        <w:spacing w:before="240" w:after="120"/>
        <w:rPr>
          <w:b/>
          <w:bCs/>
          <w:iCs/>
          <w:sz w:val="24"/>
          <w:szCs w:val="24"/>
        </w:rPr>
      </w:pPr>
      <w:hyperlink r:id="rId66" w:history="1">
        <w:r w:rsidR="00A752C7" w:rsidRPr="00A752C7">
          <w:rPr>
            <w:rStyle w:val="Hyperlink"/>
            <w:b/>
            <w:bCs/>
            <w:iCs/>
            <w:sz w:val="24"/>
            <w:szCs w:val="24"/>
          </w:rPr>
          <w:t>Renal blood oxygenation level-dependent magnetic resonance imaging to measure renal tissue oxygenation: a statement paper and systematic review</w:t>
        </w:r>
      </w:hyperlink>
    </w:p>
    <w:p w:rsidR="00A752C7" w:rsidRPr="00A752C7" w:rsidRDefault="00A554DC" w:rsidP="00A752C7">
      <w:pPr>
        <w:spacing w:before="240" w:after="120"/>
        <w:rPr>
          <w:b/>
          <w:bCs/>
          <w:iCs/>
          <w:sz w:val="24"/>
          <w:szCs w:val="24"/>
        </w:rPr>
      </w:pPr>
      <w:hyperlink r:id="rId67" w:history="1">
        <w:r w:rsidR="00A752C7" w:rsidRPr="00A752C7">
          <w:rPr>
            <w:rStyle w:val="Hyperlink"/>
            <w:b/>
            <w:bCs/>
            <w:iCs/>
            <w:sz w:val="24"/>
            <w:szCs w:val="24"/>
          </w:rPr>
          <w:t>Diffusion-weighted magnetic resonance imaging to assess diffuse renal pathology: a systematic review and statement paper</w:t>
        </w:r>
      </w:hyperlink>
    </w:p>
    <w:p w:rsidR="00A752C7" w:rsidRPr="00A752C7" w:rsidRDefault="00A554DC" w:rsidP="00D35368">
      <w:pPr>
        <w:spacing w:before="240" w:after="600"/>
        <w:rPr>
          <w:b/>
          <w:bCs/>
          <w:iCs/>
          <w:sz w:val="24"/>
          <w:szCs w:val="24"/>
        </w:rPr>
      </w:pPr>
      <w:hyperlink r:id="rId68" w:history="1">
        <w:r w:rsidR="00A752C7" w:rsidRPr="00A752C7">
          <w:rPr>
            <w:rStyle w:val="Hyperlink"/>
            <w:b/>
            <w:bCs/>
            <w:iCs/>
            <w:sz w:val="24"/>
            <w:szCs w:val="24"/>
          </w:rPr>
          <w:t>Magnetic resonance imaging T1- and T2-mapping to assess renal structure and function: a systematic review and statement paper</w:t>
        </w:r>
      </w:hyperlink>
    </w:p>
    <w:p w:rsidR="00D35368" w:rsidRPr="00D35368" w:rsidRDefault="00D35368" w:rsidP="00D35368">
      <w:pPr>
        <w:pStyle w:val="Heading2"/>
        <w:ind w:left="426"/>
      </w:pPr>
      <w:bookmarkStart w:id="28" w:name="_Toc529797583"/>
      <w:r w:rsidRPr="00D35368">
        <w:t>Guidelines for supporting children with disabilities' play: Methodologies, tools, and contexts</w:t>
      </w:r>
      <w:bookmarkEnd w:id="28"/>
    </w:p>
    <w:p w:rsidR="00A752C7" w:rsidRDefault="00D35368" w:rsidP="00A56C40">
      <w:pPr>
        <w:spacing w:before="240" w:after="120"/>
        <w:rPr>
          <w:bCs/>
          <w:iCs/>
          <w:sz w:val="24"/>
          <w:szCs w:val="24"/>
          <w:lang w:val="en-US"/>
        </w:rPr>
      </w:pPr>
      <w:r w:rsidRPr="00D35368">
        <w:rPr>
          <w:bCs/>
          <w:iCs/>
          <w:noProof/>
          <w:sz w:val="24"/>
          <w:szCs w:val="24"/>
          <w:lang w:eastAsia="bg-BG"/>
        </w:rPr>
        <w:drawing>
          <wp:anchor distT="0" distB="0" distL="114300" distR="114300" simplePos="0" relativeHeight="251701248" behindDoc="1" locked="0" layoutInCell="1" allowOverlap="1" wp14:anchorId="6A610D07" wp14:editId="283DAEAB">
            <wp:simplePos x="0" y="0"/>
            <wp:positionH relativeFrom="column">
              <wp:posOffset>29210</wp:posOffset>
            </wp:positionH>
            <wp:positionV relativeFrom="paragraph">
              <wp:posOffset>203835</wp:posOffset>
            </wp:positionV>
            <wp:extent cx="1184275" cy="1670050"/>
            <wp:effectExtent l="0" t="0" r="0" b="6350"/>
            <wp:wrapThrough wrapText="bothSides">
              <wp:wrapPolygon edited="0">
                <wp:start x="0" y="0"/>
                <wp:lineTo x="0" y="21436"/>
                <wp:lineTo x="21195" y="21436"/>
                <wp:lineTo x="21195" y="0"/>
                <wp:lineTo x="0" y="0"/>
              </wp:wrapPolygon>
            </wp:wrapThrough>
            <wp:docPr id="18" name="Picture 18" descr="http://www.cost.eu/var/ezwebin_site/storage/images/medialib/images/library/publications/ludi/1932648-1-eng-GB/LUDI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ludi/1932648-1-eng-GB/LUDI_publication.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84275" cy="1670050"/>
                    </a:xfrm>
                    <a:prstGeom prst="rect">
                      <a:avLst/>
                    </a:prstGeom>
                    <a:noFill/>
                    <a:ln>
                      <a:noFill/>
                    </a:ln>
                  </pic:spPr>
                </pic:pic>
              </a:graphicData>
            </a:graphic>
          </wp:anchor>
        </w:drawing>
      </w: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Pr="00D35368" w:rsidRDefault="00D35368" w:rsidP="00D35368">
      <w:pPr>
        <w:spacing w:before="240" w:after="120"/>
        <w:ind w:left="720"/>
        <w:rPr>
          <w:bCs/>
          <w:iCs/>
          <w:sz w:val="24"/>
          <w:szCs w:val="24"/>
        </w:rPr>
      </w:pPr>
      <w:proofErr w:type="spellStart"/>
      <w:r w:rsidRPr="00D35368">
        <w:rPr>
          <w:bCs/>
          <w:iCs/>
          <w:sz w:val="24"/>
          <w:szCs w:val="24"/>
        </w:rPr>
        <w:t>Author</w:t>
      </w:r>
      <w:proofErr w:type="spellEnd"/>
      <w:r w:rsidRPr="00D35368">
        <w:rPr>
          <w:bCs/>
          <w:iCs/>
          <w:sz w:val="24"/>
          <w:szCs w:val="24"/>
        </w:rPr>
        <w:t xml:space="preserve">(s): </w:t>
      </w:r>
      <w:proofErr w:type="spellStart"/>
      <w:r w:rsidRPr="00D35368">
        <w:rPr>
          <w:bCs/>
          <w:iCs/>
          <w:sz w:val="24"/>
          <w:szCs w:val="24"/>
        </w:rPr>
        <w:t>Encarnação</w:t>
      </w:r>
      <w:proofErr w:type="spellEnd"/>
      <w:r w:rsidRPr="00D35368">
        <w:rPr>
          <w:bCs/>
          <w:iCs/>
          <w:sz w:val="24"/>
          <w:szCs w:val="24"/>
        </w:rPr>
        <w:t>, P., Ray-Kaeser, S., Bianquin, N.</w:t>
      </w:r>
    </w:p>
    <w:p w:rsidR="00D35368" w:rsidRPr="00D35368" w:rsidRDefault="00D35368" w:rsidP="00D35368">
      <w:pPr>
        <w:spacing w:before="120" w:after="120"/>
        <w:ind w:left="720"/>
        <w:rPr>
          <w:bCs/>
          <w:iCs/>
          <w:sz w:val="24"/>
          <w:szCs w:val="24"/>
        </w:rPr>
      </w:pPr>
      <w:r w:rsidRPr="00D35368">
        <w:rPr>
          <w:bCs/>
          <w:iCs/>
          <w:sz w:val="24"/>
          <w:szCs w:val="24"/>
        </w:rPr>
        <w:t>Publisher(s): De Gruyter</w:t>
      </w:r>
    </w:p>
    <w:p w:rsidR="00D35368" w:rsidRPr="00D35368" w:rsidRDefault="00A554DC" w:rsidP="00D35368">
      <w:pPr>
        <w:spacing w:before="240" w:after="120"/>
        <w:rPr>
          <w:bCs/>
          <w:iCs/>
          <w:sz w:val="24"/>
          <w:szCs w:val="24"/>
        </w:rPr>
      </w:pPr>
      <w:hyperlink r:id="rId70" w:history="1">
        <w:r w:rsidR="00D35368" w:rsidRPr="00D35368">
          <w:rPr>
            <w:rStyle w:val="Hyperlink"/>
            <w:bCs/>
            <w:iCs/>
            <w:sz w:val="24"/>
            <w:szCs w:val="24"/>
          </w:rPr>
          <w:t>https://www.degruyter.com/viewbooktoc/product/507228?rskey=Te34SV&amp;result=1</w:t>
        </w:r>
      </w:hyperlink>
    </w:p>
    <w:p w:rsidR="00D35368" w:rsidRPr="00D35368" w:rsidRDefault="00D35368" w:rsidP="00D35368">
      <w:pPr>
        <w:spacing w:before="240" w:after="120"/>
        <w:rPr>
          <w:bCs/>
          <w:iCs/>
          <w:sz w:val="24"/>
          <w:szCs w:val="24"/>
        </w:rPr>
      </w:pPr>
      <w:r w:rsidRPr="00D35368">
        <w:rPr>
          <w:bCs/>
          <w:iCs/>
          <w:sz w:val="24"/>
          <w:szCs w:val="24"/>
        </w:rPr>
        <w:t xml:space="preserve">Play for the sake of play, without any secondary goals, if of </w:t>
      </w:r>
      <w:proofErr w:type="spellStart"/>
      <w:r w:rsidRPr="00D35368">
        <w:rPr>
          <w:bCs/>
          <w:iCs/>
          <w:sz w:val="24"/>
          <w:szCs w:val="24"/>
        </w:rPr>
        <w:t>utmost</w:t>
      </w:r>
      <w:proofErr w:type="spellEnd"/>
      <w:r w:rsidRPr="00D35368">
        <w:rPr>
          <w:bCs/>
          <w:iCs/>
          <w:sz w:val="24"/>
          <w:szCs w:val="24"/>
        </w:rPr>
        <w:t xml:space="preserve"> </w:t>
      </w:r>
      <w:proofErr w:type="spellStart"/>
      <w:r w:rsidRPr="00D35368">
        <w:rPr>
          <w:bCs/>
          <w:iCs/>
          <w:sz w:val="24"/>
          <w:szCs w:val="24"/>
        </w:rPr>
        <w:t>importance</w:t>
      </w:r>
      <w:proofErr w:type="spellEnd"/>
      <w:r w:rsidRPr="00D35368">
        <w:rPr>
          <w:bCs/>
          <w:iCs/>
          <w:sz w:val="24"/>
          <w:szCs w:val="24"/>
        </w:rPr>
        <w:t xml:space="preserve"> </w:t>
      </w:r>
      <w:proofErr w:type="spellStart"/>
      <w:r w:rsidRPr="00D35368">
        <w:rPr>
          <w:bCs/>
          <w:iCs/>
          <w:sz w:val="24"/>
          <w:szCs w:val="24"/>
        </w:rPr>
        <w:t>for</w:t>
      </w:r>
      <w:proofErr w:type="spellEnd"/>
      <w:r w:rsidRPr="00D35368">
        <w:rPr>
          <w:bCs/>
          <w:iCs/>
          <w:sz w:val="24"/>
          <w:szCs w:val="24"/>
        </w:rPr>
        <w:t xml:space="preserve"> </w:t>
      </w:r>
      <w:proofErr w:type="spellStart"/>
      <w:r w:rsidRPr="00D35368">
        <w:rPr>
          <w:bCs/>
          <w:iCs/>
          <w:sz w:val="24"/>
          <w:szCs w:val="24"/>
        </w:rPr>
        <w:t>children’s</w:t>
      </w:r>
      <w:proofErr w:type="spellEnd"/>
      <w:r w:rsidRPr="00D35368">
        <w:rPr>
          <w:bCs/>
          <w:iCs/>
          <w:sz w:val="24"/>
          <w:szCs w:val="24"/>
        </w:rPr>
        <w:t xml:space="preserve"> </w:t>
      </w:r>
      <w:proofErr w:type="spellStart"/>
      <w:r w:rsidRPr="00D35368">
        <w:rPr>
          <w:bCs/>
          <w:iCs/>
          <w:sz w:val="24"/>
          <w:szCs w:val="24"/>
        </w:rPr>
        <w:t>wellbeing</w:t>
      </w:r>
      <w:proofErr w:type="spellEnd"/>
      <w:r w:rsidRPr="00D35368">
        <w:rPr>
          <w:bCs/>
          <w:iCs/>
          <w:sz w:val="24"/>
          <w:szCs w:val="24"/>
        </w:rPr>
        <w:t xml:space="preserve"> </w:t>
      </w:r>
      <w:proofErr w:type="spellStart"/>
      <w:r w:rsidRPr="00D35368">
        <w:rPr>
          <w:bCs/>
          <w:iCs/>
          <w:sz w:val="24"/>
          <w:szCs w:val="24"/>
        </w:rPr>
        <w:t>and</w:t>
      </w:r>
      <w:proofErr w:type="spellEnd"/>
      <w:r w:rsidRPr="00D35368">
        <w:rPr>
          <w:bCs/>
          <w:iCs/>
          <w:sz w:val="24"/>
          <w:szCs w:val="24"/>
        </w:rPr>
        <w:t xml:space="preserve"> </w:t>
      </w:r>
      <w:proofErr w:type="spellStart"/>
      <w:r w:rsidRPr="00D35368">
        <w:rPr>
          <w:bCs/>
          <w:iCs/>
          <w:sz w:val="24"/>
          <w:szCs w:val="24"/>
        </w:rPr>
        <w:t>development</w:t>
      </w:r>
      <w:proofErr w:type="spellEnd"/>
      <w:r w:rsidRPr="00D35368">
        <w:rPr>
          <w:bCs/>
          <w:iCs/>
          <w:sz w:val="24"/>
          <w:szCs w:val="24"/>
        </w:rPr>
        <w:t xml:space="preserve">. </w:t>
      </w:r>
      <w:proofErr w:type="spellStart"/>
      <w:r w:rsidRPr="00D35368">
        <w:rPr>
          <w:bCs/>
          <w:iCs/>
          <w:sz w:val="24"/>
          <w:szCs w:val="24"/>
        </w:rPr>
        <w:t>In</w:t>
      </w:r>
      <w:proofErr w:type="spellEnd"/>
      <w:r w:rsidRPr="00D35368">
        <w:rPr>
          <w:bCs/>
          <w:iCs/>
          <w:sz w:val="24"/>
          <w:szCs w:val="24"/>
        </w:rPr>
        <w:t xml:space="preserve"> </w:t>
      </w:r>
      <w:proofErr w:type="spellStart"/>
      <w:r w:rsidRPr="00D35368">
        <w:rPr>
          <w:bCs/>
          <w:iCs/>
          <w:sz w:val="24"/>
          <w:szCs w:val="24"/>
        </w:rPr>
        <w:t>this</w:t>
      </w:r>
      <w:proofErr w:type="spellEnd"/>
      <w:r w:rsidRPr="00D35368">
        <w:rPr>
          <w:bCs/>
          <w:iCs/>
          <w:sz w:val="24"/>
          <w:szCs w:val="24"/>
        </w:rPr>
        <w:t xml:space="preserve"> </w:t>
      </w:r>
      <w:proofErr w:type="spellStart"/>
      <w:r w:rsidRPr="00D35368">
        <w:rPr>
          <w:bCs/>
          <w:iCs/>
          <w:sz w:val="24"/>
          <w:szCs w:val="24"/>
        </w:rPr>
        <w:t>book</w:t>
      </w:r>
      <w:proofErr w:type="spellEnd"/>
      <w:r w:rsidRPr="00D35368">
        <w:rPr>
          <w:bCs/>
          <w:iCs/>
          <w:sz w:val="24"/>
          <w:szCs w:val="24"/>
        </w:rPr>
        <w:t xml:space="preserve">, </w:t>
      </w:r>
      <w:proofErr w:type="spellStart"/>
      <w:r w:rsidRPr="00D35368">
        <w:rPr>
          <w:bCs/>
          <w:iCs/>
          <w:sz w:val="24"/>
          <w:szCs w:val="24"/>
        </w:rPr>
        <w:t>you’ll</w:t>
      </w:r>
      <w:proofErr w:type="spellEnd"/>
      <w:r w:rsidRPr="00D35368">
        <w:rPr>
          <w:bCs/>
          <w:iCs/>
          <w:sz w:val="24"/>
          <w:szCs w:val="24"/>
        </w:rPr>
        <w:t xml:space="preserve"> </w:t>
      </w:r>
      <w:proofErr w:type="spellStart"/>
      <w:r w:rsidRPr="00D35368">
        <w:rPr>
          <w:bCs/>
          <w:iCs/>
          <w:sz w:val="24"/>
          <w:szCs w:val="24"/>
        </w:rPr>
        <w:t>find</w:t>
      </w:r>
      <w:proofErr w:type="spellEnd"/>
      <w:r w:rsidRPr="00D35368">
        <w:rPr>
          <w:bCs/>
          <w:iCs/>
          <w:sz w:val="24"/>
          <w:szCs w:val="24"/>
        </w:rPr>
        <w:t xml:space="preserve"> </w:t>
      </w:r>
      <w:proofErr w:type="spellStart"/>
      <w:r w:rsidRPr="00D35368">
        <w:rPr>
          <w:bCs/>
          <w:iCs/>
          <w:sz w:val="24"/>
          <w:szCs w:val="24"/>
        </w:rPr>
        <w:t>guidelines</w:t>
      </w:r>
      <w:proofErr w:type="spellEnd"/>
      <w:r w:rsidRPr="00D35368">
        <w:rPr>
          <w:bCs/>
          <w:iCs/>
          <w:sz w:val="24"/>
          <w:szCs w:val="24"/>
        </w:rPr>
        <w:t xml:space="preserve"> </w:t>
      </w:r>
      <w:proofErr w:type="spellStart"/>
      <w:r w:rsidRPr="00D35368">
        <w:rPr>
          <w:bCs/>
          <w:iCs/>
          <w:sz w:val="24"/>
          <w:szCs w:val="24"/>
        </w:rPr>
        <w:t>to</w:t>
      </w:r>
      <w:proofErr w:type="spellEnd"/>
      <w:r w:rsidRPr="00D35368">
        <w:rPr>
          <w:bCs/>
          <w:iCs/>
          <w:sz w:val="24"/>
          <w:szCs w:val="24"/>
        </w:rPr>
        <w:t xml:space="preserve"> </w:t>
      </w:r>
      <w:proofErr w:type="spellStart"/>
      <w:r w:rsidRPr="00D35368">
        <w:rPr>
          <w:bCs/>
          <w:iCs/>
          <w:sz w:val="24"/>
          <w:szCs w:val="24"/>
        </w:rPr>
        <w:t>support</w:t>
      </w:r>
      <w:proofErr w:type="spellEnd"/>
      <w:r w:rsidRPr="00D35368">
        <w:rPr>
          <w:bCs/>
          <w:iCs/>
          <w:sz w:val="24"/>
          <w:szCs w:val="24"/>
        </w:rPr>
        <w:t xml:space="preserve"> </w:t>
      </w:r>
      <w:proofErr w:type="spellStart"/>
      <w:r w:rsidRPr="00D35368">
        <w:rPr>
          <w:bCs/>
          <w:iCs/>
          <w:sz w:val="24"/>
          <w:szCs w:val="24"/>
        </w:rPr>
        <w:t>children</w:t>
      </w:r>
      <w:proofErr w:type="spellEnd"/>
      <w:r w:rsidRPr="00D35368">
        <w:rPr>
          <w:bCs/>
          <w:iCs/>
          <w:sz w:val="24"/>
          <w:szCs w:val="24"/>
        </w:rPr>
        <w:t xml:space="preserve"> </w:t>
      </w:r>
      <w:proofErr w:type="spellStart"/>
      <w:r w:rsidRPr="00D35368">
        <w:rPr>
          <w:bCs/>
          <w:iCs/>
          <w:sz w:val="24"/>
          <w:szCs w:val="24"/>
        </w:rPr>
        <w:t>with</w:t>
      </w:r>
      <w:proofErr w:type="spellEnd"/>
      <w:r w:rsidRPr="00D35368">
        <w:rPr>
          <w:bCs/>
          <w:iCs/>
          <w:sz w:val="24"/>
          <w:szCs w:val="24"/>
        </w:rPr>
        <w:t xml:space="preserve"> </w:t>
      </w:r>
      <w:proofErr w:type="spellStart"/>
      <w:r w:rsidRPr="00D35368">
        <w:rPr>
          <w:bCs/>
          <w:iCs/>
          <w:sz w:val="24"/>
          <w:szCs w:val="24"/>
        </w:rPr>
        <w:t>disabilities</w:t>
      </w:r>
      <w:proofErr w:type="spellEnd"/>
      <w:r w:rsidRPr="00D35368">
        <w:rPr>
          <w:bCs/>
          <w:iCs/>
          <w:sz w:val="24"/>
          <w:szCs w:val="24"/>
        </w:rPr>
        <w:t xml:space="preserve">’ </w:t>
      </w:r>
      <w:proofErr w:type="spellStart"/>
      <w:r w:rsidRPr="00D35368">
        <w:rPr>
          <w:bCs/>
          <w:iCs/>
          <w:sz w:val="24"/>
          <w:szCs w:val="24"/>
        </w:rPr>
        <w:t>play</w:t>
      </w:r>
      <w:proofErr w:type="spellEnd"/>
      <w:r w:rsidRPr="00D35368">
        <w:rPr>
          <w:bCs/>
          <w:iCs/>
          <w:sz w:val="24"/>
          <w:szCs w:val="24"/>
        </w:rPr>
        <w:t>. Providing ready-to-use information in a lay-person language, this book is for parents, teachers, rehabilitation professionals, toy manufacturers, policymakers and all persons interested in the topic of play for children with disabilities.</w:t>
      </w:r>
    </w:p>
    <w:p w:rsidR="00F65FD0" w:rsidRPr="00F65FD0" w:rsidRDefault="004F281C" w:rsidP="00557E17">
      <w:pPr>
        <w:pStyle w:val="Heading2"/>
        <w:ind w:left="426"/>
        <w:rPr>
          <w:lang w:val="en-GB"/>
        </w:rPr>
      </w:pPr>
      <w:bookmarkStart w:id="29" w:name="_Toc529797584"/>
      <w:r>
        <w:rPr>
          <w:lang w:val="en-GB"/>
        </w:rPr>
        <w:t xml:space="preserve">European University Association: </w:t>
      </w:r>
      <w:hyperlink r:id="rId71" w:history="1">
        <w:r w:rsidR="00F65FD0" w:rsidRPr="00F65FD0">
          <w:rPr>
            <w:rStyle w:val="Hyperlink"/>
            <w:iCs/>
            <w:szCs w:val="24"/>
            <w:lang w:val="en-GB"/>
          </w:rPr>
          <w:t>Trends 2018: Learning and teaching in the European Higher Education Area</w:t>
        </w:r>
        <w:bookmarkEnd w:id="29"/>
      </w:hyperlink>
    </w:p>
    <w:p w:rsidR="00F65FD0" w:rsidRPr="00F65FD0" w:rsidRDefault="00F65FD0" w:rsidP="00F65FD0">
      <w:pPr>
        <w:spacing w:before="240" w:after="120"/>
        <w:rPr>
          <w:bCs/>
          <w:iCs/>
          <w:sz w:val="24"/>
          <w:szCs w:val="24"/>
          <w:lang w:val="en-GB"/>
        </w:rPr>
      </w:pPr>
      <w:r w:rsidRPr="00F65FD0">
        <w:rPr>
          <w:bCs/>
          <w:iCs/>
          <w:sz w:val="24"/>
          <w:szCs w:val="24"/>
          <w:lang w:val="en-GB"/>
        </w:rPr>
        <w:t>Trends 2018 examines how learning and teaching at European higher education institutions evolves in the context of changing demands, technological and societal development, and European- and national-level policies and reforms. This EUA flagship report gathers data from more than 300 higher education institutions in 48 European countries.</w:t>
      </w:r>
    </w:p>
    <w:p w:rsidR="00F65FD0" w:rsidRPr="00F65FD0" w:rsidRDefault="00F65FD0" w:rsidP="00F65FD0">
      <w:pPr>
        <w:spacing w:before="240" w:after="120"/>
        <w:rPr>
          <w:bCs/>
          <w:iCs/>
          <w:sz w:val="24"/>
          <w:szCs w:val="24"/>
          <w:lang w:val="en-GB"/>
        </w:rPr>
      </w:pPr>
    </w:p>
    <w:p w:rsidR="00F65FD0" w:rsidRPr="00F65FD0" w:rsidRDefault="00F65FD0" w:rsidP="00F65FD0">
      <w:pPr>
        <w:spacing w:before="240" w:after="120"/>
        <w:rPr>
          <w:bCs/>
          <w:iCs/>
          <w:sz w:val="24"/>
          <w:szCs w:val="24"/>
          <w:lang w:val="en-GB"/>
        </w:rPr>
      </w:pPr>
      <w:r w:rsidRPr="00F65FD0">
        <w:rPr>
          <w:bCs/>
          <w:iCs/>
          <w:sz w:val="24"/>
          <w:szCs w:val="24"/>
          <w:lang w:val="en-GB"/>
        </w:rPr>
        <w:lastRenderedPageBreak/>
        <w:t>With dozens of figures and tables, complemented by an in-depth analysis, Trends 2018 offers a wide mapping of the developments in learning and teaching across Europe. It also frames the discussion on this topic and why it is becoming ever more present in higher education institutions and in policy debates across Europe.</w:t>
      </w:r>
    </w:p>
    <w:p w:rsidR="00FC4AE6" w:rsidRPr="00FC4AE6" w:rsidRDefault="00FC4AE6" w:rsidP="00FC4AE6">
      <w:pPr>
        <w:pStyle w:val="Heading2"/>
        <w:ind w:left="426"/>
      </w:pPr>
      <w:bookmarkStart w:id="30" w:name="_Toc529797585"/>
      <w:r w:rsidRPr="00FC4AE6">
        <w:t>Autonomous Control for a Reliable Internet of Services: Methods, Models, Approaches, Techniques, Algorithms, and Tools</w:t>
      </w:r>
      <w:bookmarkEnd w:id="30"/>
    </w:p>
    <w:p w:rsidR="00FC4AE6" w:rsidRPr="00FC4AE6" w:rsidRDefault="00FC4AE6" w:rsidP="00FC4AE6">
      <w:pPr>
        <w:spacing w:before="240" w:after="120"/>
        <w:rPr>
          <w:b/>
          <w:bCs/>
          <w:iCs/>
          <w:sz w:val="24"/>
          <w:szCs w:val="24"/>
        </w:rPr>
      </w:pPr>
      <w:r w:rsidRPr="00FC4AE6">
        <w:rPr>
          <w:bCs/>
          <w:iCs/>
          <w:noProof/>
          <w:sz w:val="24"/>
          <w:szCs w:val="24"/>
          <w:lang w:eastAsia="bg-BG"/>
        </w:rPr>
        <w:drawing>
          <wp:anchor distT="0" distB="0" distL="114300" distR="114300" simplePos="0" relativeHeight="251702272" behindDoc="1" locked="0" layoutInCell="1" allowOverlap="1">
            <wp:simplePos x="0" y="0"/>
            <wp:positionH relativeFrom="column">
              <wp:posOffset>13335</wp:posOffset>
            </wp:positionH>
            <wp:positionV relativeFrom="paragraph">
              <wp:posOffset>169545</wp:posOffset>
            </wp:positionV>
            <wp:extent cx="1169670" cy="1774190"/>
            <wp:effectExtent l="0" t="0" r="0" b="0"/>
            <wp:wrapThrough wrapText="bothSides">
              <wp:wrapPolygon edited="0">
                <wp:start x="0" y="0"/>
                <wp:lineTo x="0" y="21337"/>
                <wp:lineTo x="21107" y="21337"/>
                <wp:lineTo x="21107" y="0"/>
                <wp:lineTo x="0" y="0"/>
              </wp:wrapPolygon>
            </wp:wrapThrough>
            <wp:docPr id="19" name="Picture 19" descr="http://www.cost.eu/var/ezwebin_site/storage/images/medialib/images/library/publications/autonomous-control-for-a-reliable-internet-of-services/1932617-1-eng-GB/Autonomous-Control-for-a-Reliable-Internet-of-Services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autonomous-control-for-a-reliable-internet-of-services/1932617-1-eng-GB/Autonomous-Control-for-a-Reliable-Internet-of-Services_publication.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69670" cy="1774190"/>
                    </a:xfrm>
                    <a:prstGeom prst="rect">
                      <a:avLst/>
                    </a:prstGeom>
                    <a:noFill/>
                    <a:ln>
                      <a:noFill/>
                    </a:ln>
                  </pic:spPr>
                </pic:pic>
              </a:graphicData>
            </a:graphic>
          </wp:anchor>
        </w:drawing>
      </w: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Pr="00FC4AE6" w:rsidRDefault="00FC4AE6" w:rsidP="00FC4AE6">
      <w:pPr>
        <w:spacing w:before="240" w:after="120"/>
        <w:ind w:left="720"/>
        <w:rPr>
          <w:bCs/>
          <w:iCs/>
          <w:sz w:val="24"/>
          <w:szCs w:val="24"/>
        </w:rPr>
      </w:pPr>
      <w:r w:rsidRPr="00FC4AE6">
        <w:rPr>
          <w:bCs/>
          <w:iCs/>
          <w:sz w:val="24"/>
          <w:szCs w:val="24"/>
        </w:rPr>
        <w:t>Author(s): Ganchev, I., Van der Mei, R.D., Van den Berg, H. (Eds.)</w:t>
      </w:r>
    </w:p>
    <w:p w:rsidR="00FC4AE6" w:rsidRPr="00FC4AE6" w:rsidRDefault="00FC4AE6" w:rsidP="00FC4AE6">
      <w:pPr>
        <w:spacing w:before="240" w:after="120"/>
        <w:ind w:left="720"/>
        <w:rPr>
          <w:bCs/>
          <w:iCs/>
          <w:sz w:val="24"/>
          <w:szCs w:val="24"/>
        </w:rPr>
      </w:pPr>
      <w:r w:rsidRPr="00FC4AE6">
        <w:rPr>
          <w:bCs/>
          <w:iCs/>
          <w:sz w:val="24"/>
          <w:szCs w:val="24"/>
        </w:rPr>
        <w:t>Publisher(s): Springer</w:t>
      </w:r>
    </w:p>
    <w:p w:rsidR="00FC4AE6" w:rsidRPr="00FC4AE6" w:rsidRDefault="00A554DC" w:rsidP="00FC4AE6">
      <w:pPr>
        <w:spacing w:before="240" w:after="120"/>
        <w:rPr>
          <w:bCs/>
          <w:iCs/>
          <w:sz w:val="24"/>
          <w:szCs w:val="24"/>
        </w:rPr>
      </w:pPr>
      <w:hyperlink r:id="rId73" w:anchor="about" w:history="1">
        <w:r w:rsidR="00FC4AE6" w:rsidRPr="00FC4AE6">
          <w:rPr>
            <w:rStyle w:val="Hyperlink"/>
            <w:bCs/>
            <w:iCs/>
            <w:sz w:val="24"/>
            <w:szCs w:val="24"/>
          </w:rPr>
          <w:t>https://link.springer.com/book/10.1007/978-3-319-90415-3#about</w:t>
        </w:r>
      </w:hyperlink>
    </w:p>
    <w:p w:rsidR="00FC4AE6" w:rsidRPr="00FC4AE6" w:rsidRDefault="00FC4AE6" w:rsidP="00FC4AE6">
      <w:pPr>
        <w:spacing w:before="240" w:after="120"/>
        <w:rPr>
          <w:bCs/>
          <w:iCs/>
          <w:sz w:val="24"/>
          <w:szCs w:val="24"/>
        </w:rPr>
      </w:pPr>
      <w:r w:rsidRPr="00FC4AE6">
        <w:rPr>
          <w:bCs/>
          <w:iCs/>
          <w:sz w:val="24"/>
          <w:szCs w:val="24"/>
        </w:rPr>
        <w:t>This book was prepared to play the role of a publication and dissemination platform of the technical aspects of the Final Report of the COST Action IC1304 “Autonomous Control for a Reliable Internet of Services (ACROSS)” that has run for four years, from Fall 2013 until Fall 2017. In particular, the main goal of the COST Action ACROSS was to create a European network of experts, aiming at the development of monitoring and autonomous control methods for a reliable and quality-aware future Internet of Services (IoS). </w:t>
      </w:r>
    </w:p>
    <w:p w:rsidR="00FC4AE6" w:rsidRPr="00FC4AE6" w:rsidRDefault="00FC4AE6" w:rsidP="00FC4AE6">
      <w:pPr>
        <w:spacing w:before="240" w:after="120"/>
        <w:rPr>
          <w:bCs/>
          <w:iCs/>
          <w:sz w:val="24"/>
          <w:szCs w:val="24"/>
        </w:rPr>
      </w:pPr>
      <w:r w:rsidRPr="00FC4AE6">
        <w:rPr>
          <w:bCs/>
          <w:iCs/>
          <w:sz w:val="24"/>
          <w:szCs w:val="24"/>
        </w:rPr>
        <w:t>This book contains chapters written by various groups of co-authors that cover a broad range of research challenges and topics addressed by them during the course of the Action. We emphasize that the range of topics is based on the preferences and research interests of the members of these different groups.</w:t>
      </w:r>
    </w:p>
    <w:p w:rsidR="00B11011" w:rsidRDefault="00B11011" w:rsidP="00B11011">
      <w:pPr>
        <w:pStyle w:val="Heading2"/>
        <w:ind w:left="426"/>
        <w:rPr>
          <w:lang w:val="en-GB"/>
        </w:rPr>
      </w:pPr>
      <w:bookmarkStart w:id="31" w:name="_Toc529797586"/>
      <w:r w:rsidRPr="00025E65">
        <w:rPr>
          <w:lang w:val="en-GB"/>
        </w:rPr>
        <w:t>CERN Courier</w:t>
      </w:r>
      <w:bookmarkEnd w:id="31"/>
    </w:p>
    <w:p w:rsidR="00FA0030" w:rsidRPr="006317F0" w:rsidRDefault="0065010A" w:rsidP="00025E65">
      <w:pPr>
        <w:spacing w:after="480"/>
        <w:rPr>
          <w:noProof/>
          <w:sz w:val="24"/>
          <w:szCs w:val="24"/>
          <w:lang w:eastAsia="bg-BG"/>
        </w:rPr>
      </w:pPr>
      <w:r>
        <w:rPr>
          <w:rFonts w:ascii="Merriweather" w:hAnsi="Merriweather" w:cs="Segoe UI"/>
          <w:noProof/>
          <w:color w:val="333333"/>
          <w:sz w:val="20"/>
          <w:szCs w:val="20"/>
          <w:lang w:eastAsia="bg-BG"/>
        </w:rPr>
        <w:drawing>
          <wp:inline distT="0" distB="0" distL="0" distR="0" wp14:anchorId="1D80B487" wp14:editId="179848AA">
            <wp:extent cx="1141200" cy="1504800"/>
            <wp:effectExtent l="0" t="0" r="1905" b="635"/>
            <wp:docPr id="13" name="Picture 13" descr="https://cerncourier.com/wp-content/uploads/2018/10/CCNov18_pOFC-digital-151x200.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8/10/CCNov18_pOFC-digital-151x200.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1200" cy="1504800"/>
                    </a:xfrm>
                    <a:prstGeom prst="rect">
                      <a:avLst/>
                    </a:prstGeom>
                    <a:noFill/>
                    <a:ln>
                      <a:noFill/>
                    </a:ln>
                  </pic:spPr>
                </pic:pic>
              </a:graphicData>
            </a:graphic>
          </wp:inline>
        </w:drawing>
      </w:r>
      <w:r>
        <w:rPr>
          <w:b/>
          <w:noProof/>
          <w:sz w:val="24"/>
          <w:szCs w:val="24"/>
          <w:lang w:val="en-US" w:eastAsia="bg-BG"/>
        </w:rPr>
        <w:t>November</w:t>
      </w:r>
      <w:r w:rsidR="00B11011" w:rsidRPr="00FA0030">
        <w:rPr>
          <w:b/>
          <w:noProof/>
          <w:sz w:val="24"/>
          <w:szCs w:val="24"/>
          <w:lang w:val="en-US" w:eastAsia="bg-BG"/>
        </w:rPr>
        <w:t xml:space="preserve"> 2018</w:t>
      </w:r>
    </w:p>
    <w:sectPr w:rsidR="00FA0030" w:rsidRPr="006317F0" w:rsidSect="002852EF">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4DC" w:rsidRDefault="00A554DC" w:rsidP="003B2D94">
      <w:pPr>
        <w:spacing w:after="0" w:line="240" w:lineRule="auto"/>
      </w:pPr>
      <w:r>
        <w:separator/>
      </w:r>
    </w:p>
  </w:endnote>
  <w:endnote w:type="continuationSeparator" w:id="0">
    <w:p w:rsidR="00A554DC" w:rsidRDefault="00A554D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erriweather">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872C2">
      <w:tc>
        <w:tcPr>
          <w:tcW w:w="4500" w:type="pct"/>
          <w:tcBorders>
            <w:top w:val="single" w:sz="4" w:space="0" w:color="000000" w:themeColor="text1"/>
          </w:tcBorders>
        </w:tcPr>
        <w:p w:rsidR="006872C2" w:rsidRPr="00D22505" w:rsidRDefault="006872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872C2" w:rsidRDefault="006872C2">
          <w:pPr>
            <w:pStyle w:val="Header"/>
            <w:rPr>
              <w:color w:val="FFFFFF" w:themeColor="background1"/>
            </w:rPr>
          </w:pPr>
          <w:r>
            <w:fldChar w:fldCharType="begin"/>
          </w:r>
          <w:r>
            <w:instrText xml:space="preserve"> PAGE   \* MERGEFORMAT </w:instrText>
          </w:r>
          <w:r>
            <w:fldChar w:fldCharType="separate"/>
          </w:r>
          <w:r w:rsidR="00563EB1" w:rsidRPr="00563EB1">
            <w:rPr>
              <w:noProof/>
              <w:color w:val="FFFFFF" w:themeColor="background1"/>
            </w:rPr>
            <w:t>2</w:t>
          </w:r>
          <w:r>
            <w:rPr>
              <w:noProof/>
              <w:color w:val="FFFFFF" w:themeColor="background1"/>
            </w:rPr>
            <w:fldChar w:fldCharType="end"/>
          </w:r>
        </w:p>
      </w:tc>
    </w:tr>
  </w:tbl>
  <w:p w:rsidR="006872C2" w:rsidRDefault="0068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6872C2">
      <w:tc>
        <w:tcPr>
          <w:tcW w:w="4500" w:type="pct"/>
          <w:tcBorders>
            <w:top w:val="single" w:sz="4" w:space="0" w:color="000000" w:themeColor="text1"/>
          </w:tcBorders>
        </w:tcPr>
        <w:p w:rsidR="006872C2" w:rsidRPr="00D22505" w:rsidRDefault="006872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872C2" w:rsidRDefault="006872C2">
          <w:pPr>
            <w:pStyle w:val="Header"/>
            <w:rPr>
              <w:color w:val="FFFFFF" w:themeColor="background1"/>
            </w:rPr>
          </w:pPr>
          <w:r>
            <w:fldChar w:fldCharType="begin"/>
          </w:r>
          <w:r>
            <w:instrText xml:space="preserve"> PAGE   \* MERGEFORMAT </w:instrText>
          </w:r>
          <w:r>
            <w:fldChar w:fldCharType="separate"/>
          </w:r>
          <w:r w:rsidR="00563EB1" w:rsidRPr="00563EB1">
            <w:rPr>
              <w:noProof/>
              <w:color w:val="FFFFFF" w:themeColor="background1"/>
            </w:rPr>
            <w:t>8</w:t>
          </w:r>
          <w:r>
            <w:rPr>
              <w:noProof/>
              <w:color w:val="FFFFFF" w:themeColor="background1"/>
            </w:rPr>
            <w:fldChar w:fldCharType="end"/>
          </w:r>
        </w:p>
      </w:tc>
    </w:tr>
  </w:tbl>
  <w:p w:rsidR="006872C2" w:rsidRDefault="0068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6872C2" w:rsidTr="00D22505">
      <w:tc>
        <w:tcPr>
          <w:tcW w:w="4500" w:type="pct"/>
          <w:tcBorders>
            <w:top w:val="single" w:sz="4" w:space="0" w:color="000000" w:themeColor="text1"/>
          </w:tcBorders>
        </w:tcPr>
        <w:p w:rsidR="006872C2" w:rsidRPr="00D22505" w:rsidRDefault="006872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6872C2" w:rsidRDefault="006872C2">
          <w:pPr>
            <w:pStyle w:val="Header"/>
            <w:rPr>
              <w:color w:val="FFFFFF" w:themeColor="background1"/>
            </w:rPr>
          </w:pPr>
          <w:r>
            <w:fldChar w:fldCharType="begin"/>
          </w:r>
          <w:r>
            <w:instrText xml:space="preserve"> PAGE   \* MERGEFORMAT </w:instrText>
          </w:r>
          <w:r>
            <w:fldChar w:fldCharType="separate"/>
          </w:r>
          <w:r w:rsidR="00563EB1" w:rsidRPr="00563EB1">
            <w:rPr>
              <w:noProof/>
              <w:color w:val="FFFFFF" w:themeColor="background1"/>
            </w:rPr>
            <w:t>20</w:t>
          </w:r>
          <w:r>
            <w:rPr>
              <w:noProof/>
              <w:color w:val="FFFFFF" w:themeColor="background1"/>
            </w:rPr>
            <w:fldChar w:fldCharType="end"/>
          </w:r>
        </w:p>
      </w:tc>
    </w:tr>
  </w:tbl>
  <w:p w:rsidR="006872C2" w:rsidRDefault="006872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872C2" w:rsidTr="00D22505">
      <w:tc>
        <w:tcPr>
          <w:tcW w:w="4500" w:type="pct"/>
          <w:tcBorders>
            <w:top w:val="single" w:sz="4" w:space="0" w:color="000000" w:themeColor="text1"/>
          </w:tcBorders>
        </w:tcPr>
        <w:p w:rsidR="006872C2" w:rsidRPr="00D22505" w:rsidRDefault="006872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872C2" w:rsidRDefault="006872C2">
          <w:pPr>
            <w:pStyle w:val="Header"/>
            <w:rPr>
              <w:color w:val="FFFFFF" w:themeColor="background1"/>
            </w:rPr>
          </w:pPr>
          <w:r>
            <w:fldChar w:fldCharType="begin"/>
          </w:r>
          <w:r>
            <w:instrText xml:space="preserve"> PAGE   \* MERGEFORMAT </w:instrText>
          </w:r>
          <w:r>
            <w:fldChar w:fldCharType="separate"/>
          </w:r>
          <w:r w:rsidR="00563EB1" w:rsidRPr="00563EB1">
            <w:rPr>
              <w:noProof/>
              <w:color w:val="FFFFFF" w:themeColor="background1"/>
            </w:rPr>
            <w:t>24</w:t>
          </w:r>
          <w:r>
            <w:rPr>
              <w:noProof/>
              <w:color w:val="FFFFFF" w:themeColor="background1"/>
            </w:rPr>
            <w:fldChar w:fldCharType="end"/>
          </w:r>
        </w:p>
      </w:tc>
    </w:tr>
  </w:tbl>
  <w:p w:rsidR="006872C2" w:rsidRDefault="006872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872C2" w:rsidTr="00413D6F">
      <w:tc>
        <w:tcPr>
          <w:tcW w:w="4500" w:type="pct"/>
          <w:tcBorders>
            <w:top w:val="single" w:sz="4" w:space="0" w:color="000000" w:themeColor="text1"/>
          </w:tcBorders>
        </w:tcPr>
        <w:p w:rsidR="006872C2" w:rsidRPr="00D22505" w:rsidRDefault="006872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872C2" w:rsidRDefault="006872C2">
          <w:pPr>
            <w:pStyle w:val="Header"/>
            <w:rPr>
              <w:color w:val="FFFFFF" w:themeColor="background1"/>
            </w:rPr>
          </w:pPr>
          <w:r>
            <w:fldChar w:fldCharType="begin"/>
          </w:r>
          <w:r>
            <w:instrText xml:space="preserve"> PAGE   \* MERGEFORMAT </w:instrText>
          </w:r>
          <w:r>
            <w:fldChar w:fldCharType="separate"/>
          </w:r>
          <w:r w:rsidR="00563EB1" w:rsidRPr="00563EB1">
            <w:rPr>
              <w:noProof/>
              <w:color w:val="FFFFFF" w:themeColor="background1"/>
            </w:rPr>
            <w:t>27</w:t>
          </w:r>
          <w:r>
            <w:rPr>
              <w:noProof/>
              <w:color w:val="FFFFFF" w:themeColor="background1"/>
            </w:rPr>
            <w:fldChar w:fldCharType="end"/>
          </w:r>
        </w:p>
      </w:tc>
    </w:tr>
  </w:tbl>
  <w:p w:rsidR="006872C2" w:rsidRDefault="0068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4DC" w:rsidRDefault="00A554DC" w:rsidP="003B2D94">
      <w:pPr>
        <w:spacing w:after="0" w:line="240" w:lineRule="auto"/>
      </w:pPr>
      <w:r>
        <w:separator/>
      </w:r>
    </w:p>
  </w:footnote>
  <w:footnote w:type="continuationSeparator" w:id="0">
    <w:p w:rsidR="00A554DC" w:rsidRDefault="00A554DC"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24AD2"/>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3" w15:restartNumberingAfterBreak="0">
    <w:nsid w:val="20B15361"/>
    <w:multiLevelType w:val="multilevel"/>
    <w:tmpl w:val="EE2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B0"/>
    <w:multiLevelType w:val="hybridMultilevel"/>
    <w:tmpl w:val="E79AA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95B0B"/>
    <w:multiLevelType w:val="hybridMultilevel"/>
    <w:tmpl w:val="05A62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52443"/>
    <w:multiLevelType w:val="multilevel"/>
    <w:tmpl w:val="CFF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50D96"/>
    <w:multiLevelType w:val="multilevel"/>
    <w:tmpl w:val="BF4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20A2C"/>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C631D6"/>
    <w:multiLevelType w:val="hybridMultilevel"/>
    <w:tmpl w:val="3856CD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0FC2896"/>
    <w:multiLevelType w:val="multilevel"/>
    <w:tmpl w:val="7B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B0CFB"/>
    <w:multiLevelType w:val="multilevel"/>
    <w:tmpl w:val="75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253A1"/>
    <w:multiLevelType w:val="hybridMultilevel"/>
    <w:tmpl w:val="29D65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B511992"/>
    <w:multiLevelType w:val="hybridMultilevel"/>
    <w:tmpl w:val="5588B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7C3600B1"/>
    <w:multiLevelType w:val="multilevel"/>
    <w:tmpl w:val="849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0"/>
  </w:num>
  <w:num w:numId="4">
    <w:abstractNumId w:val="9"/>
  </w:num>
  <w:num w:numId="5">
    <w:abstractNumId w:val="11"/>
  </w:num>
  <w:num w:numId="6">
    <w:abstractNumId w:val="15"/>
  </w:num>
  <w:num w:numId="7">
    <w:abstractNumId w:val="16"/>
  </w:num>
  <w:num w:numId="8">
    <w:abstractNumId w:val="6"/>
  </w:num>
  <w:num w:numId="9">
    <w:abstractNumId w:val="4"/>
  </w:num>
  <w:num w:numId="10">
    <w:abstractNumId w:val="8"/>
  </w:num>
  <w:num w:numId="11">
    <w:abstractNumId w:val="13"/>
  </w:num>
  <w:num w:numId="12">
    <w:abstractNumId w:val="3"/>
  </w:num>
  <w:num w:numId="13">
    <w:abstractNumId w:val="17"/>
  </w:num>
  <w:num w:numId="14">
    <w:abstractNumId w:val="1"/>
  </w:num>
  <w:num w:numId="15">
    <w:abstractNumId w:val="14"/>
  </w:num>
  <w:num w:numId="16">
    <w:abstractNumId w:val="7"/>
  </w:num>
  <w:num w:numId="17">
    <w:abstractNumId w:val="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308"/>
    <w:rsid w:val="00351650"/>
    <w:rsid w:val="003517B6"/>
    <w:rsid w:val="00352615"/>
    <w:rsid w:val="003528C3"/>
    <w:rsid w:val="00352E8E"/>
    <w:rsid w:val="003530BB"/>
    <w:rsid w:val="003537D2"/>
    <w:rsid w:val="00353D98"/>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378"/>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281F"/>
    <w:rsid w:val="006335D4"/>
    <w:rsid w:val="00633CCE"/>
    <w:rsid w:val="00633F01"/>
    <w:rsid w:val="006348D2"/>
    <w:rsid w:val="00634A3F"/>
    <w:rsid w:val="006355E1"/>
    <w:rsid w:val="0063585E"/>
    <w:rsid w:val="00635897"/>
    <w:rsid w:val="006364DB"/>
    <w:rsid w:val="006366CD"/>
    <w:rsid w:val="00636A45"/>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774"/>
    <w:rsid w:val="00920889"/>
    <w:rsid w:val="009208F1"/>
    <w:rsid w:val="0092091A"/>
    <w:rsid w:val="009215F5"/>
    <w:rsid w:val="00921D8A"/>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4DC"/>
    <w:rsid w:val="00A5551F"/>
    <w:rsid w:val="00A55BE7"/>
    <w:rsid w:val="00A55DC9"/>
    <w:rsid w:val="00A56243"/>
    <w:rsid w:val="00A56419"/>
    <w:rsid w:val="00A5663D"/>
    <w:rsid w:val="00A56C40"/>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006"/>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6D19"/>
    <w:rsid w:val="00B470A8"/>
    <w:rsid w:val="00B473FB"/>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2B19"/>
    <w:rsid w:val="00C332A6"/>
    <w:rsid w:val="00C33508"/>
    <w:rsid w:val="00C335BB"/>
    <w:rsid w:val="00C34B22"/>
    <w:rsid w:val="00C34EA6"/>
    <w:rsid w:val="00C3563C"/>
    <w:rsid w:val="00C3571D"/>
    <w:rsid w:val="00C36139"/>
    <w:rsid w:val="00C36A11"/>
    <w:rsid w:val="00C36CD1"/>
    <w:rsid w:val="00C36D68"/>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4E67"/>
    <w:rsid w:val="00C950B8"/>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8266A-2034-4509-B2A7-5F47B3C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bu.de/2431.html" TargetMode="External"/><Relationship Id="rId18" Type="http://schemas.openxmlformats.org/officeDocument/2006/relationships/hyperlink" Target="https://erecruitment.wto.org/public/hrd-cl-vac-view.asp?jobinfo_uid_c=3475&amp;vaclng=en" TargetMode="External"/><Relationship Id="rId26" Type="http://schemas.openxmlformats.org/officeDocument/2006/relationships/hyperlink" Target="https://careers.hpe.com/job/Hewlett-Packard-Enterprise-Sofia-/50726664" TargetMode="External"/><Relationship Id="rId39" Type="http://schemas.openxmlformats.org/officeDocument/2006/relationships/hyperlink" Target="http://emits.sso.esa.int/emits/owa/emits.main" TargetMode="External"/><Relationship Id="rId21" Type="http://schemas.openxmlformats.org/officeDocument/2006/relationships/hyperlink" Target="http://www.fao.org/employment/opportunities-for-young-talents/internship-programme/en/" TargetMode="External"/><Relationship Id="rId34" Type="http://schemas.openxmlformats.org/officeDocument/2006/relationships/hyperlink" Target="http://www.chistera.eu/call-2018-announcement" TargetMode="External"/><Relationship Id="rId42" Type="http://schemas.openxmlformats.org/officeDocument/2006/relationships/hyperlink" Target="https://www.fni.bg/?q=node/527" TargetMode="External"/><Relationship Id="rId47" Type="http://schemas.openxmlformats.org/officeDocument/2006/relationships/footer" Target="footer3.xml"/><Relationship Id="rId50" Type="http://schemas.openxmlformats.org/officeDocument/2006/relationships/hyperlink" Target="http://www.europarl.europa.eu/news/en/headlines/eu-affairs/20180920STO14023/conference-the-impact-of-eu-research-and-innovation-on-your-daily-life" TargetMode="External"/><Relationship Id="rId55" Type="http://schemas.openxmlformats.org/officeDocument/2006/relationships/hyperlink" Target="https://euraxess.ec.europa.eu/euraxess/events/2019-info-day-ensuring-excellent-research-investing-researchers-talents-skills" TargetMode="External"/><Relationship Id="rId63" Type="http://schemas.openxmlformats.org/officeDocument/2006/relationships/hyperlink" Target="https://academic.oup.com/ndt/article/33/suppl_2/ii1/5078405" TargetMode="External"/><Relationship Id="rId68" Type="http://schemas.openxmlformats.org/officeDocument/2006/relationships/hyperlink" Target="https://academic.oup.com/ndt/article/33/suppl_2/ii41/5078406" TargetMode="External"/><Relationship Id="rId76"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s://eua.eu/downloads/publications/trends-2018-learning-and-teaching-in-the-european-higher-education-area.pdf" TargetMode="External"/><Relationship Id="rId2" Type="http://schemas.openxmlformats.org/officeDocument/2006/relationships/customXml" Target="../customXml/item2.xml"/><Relationship Id="rId16" Type="http://schemas.openxmlformats.org/officeDocument/2006/relationships/hyperlink" Target="http://www.mon.bg/upload/17521/DGIST_promo.pdf" TargetMode="External"/><Relationship Id="rId29" Type="http://schemas.openxmlformats.org/officeDocument/2006/relationships/hyperlink" Target="https://www.telerikacademy.com/alpha" TargetMode="External"/><Relationship Id="rId11" Type="http://schemas.openxmlformats.org/officeDocument/2006/relationships/hyperlink" Target="http://www.acfe.com/scholarship.aspx" TargetMode="External"/><Relationship Id="rId24" Type="http://schemas.openxmlformats.org/officeDocument/2006/relationships/hyperlink" Target="https://www.legaldl.com/careers/" TargetMode="External"/><Relationship Id="rId32" Type="http://schemas.openxmlformats.org/officeDocument/2006/relationships/hyperlink" Target="http://www.fni.bg" TargetMode="External"/><Relationship Id="rId37" Type="http://schemas.openxmlformats.org/officeDocument/2006/relationships/hyperlink" Target="https://www.fni.bg/sites/default/files/competition/10_2018/Dokumenti%20kum%20nacionalnite%20iziskvania.zip" TargetMode="External"/><Relationship Id="rId40" Type="http://schemas.openxmlformats.org/officeDocument/2006/relationships/hyperlink" Target="javascript:%20internSendMess('p.piperkova@mi.government.bg')" TargetMode="External"/><Relationship Id="rId45" Type="http://schemas.openxmlformats.org/officeDocument/2006/relationships/hyperlink" Target="http://ec.europa.eu/research/participants/portal/desktop/en/opportunities/h2020/" TargetMode="External"/><Relationship Id="rId53" Type="http://schemas.openxmlformats.org/officeDocument/2006/relationships/hyperlink" Target="https://foe.efficy.com/public/guest?app=mde&amp;page=MDE_onLineReg/form.htm&amp;publ=8713&amp;TypeForm=Participant" TargetMode="External"/><Relationship Id="rId58" Type="http://schemas.openxmlformats.org/officeDocument/2006/relationships/hyperlink" Target="https://molecularimmunology.conferenceseries.com/registration.php" TargetMode="External"/><Relationship Id="rId66" Type="http://schemas.openxmlformats.org/officeDocument/2006/relationships/hyperlink" Target="https://academic.oup.com/ndt/article/33/suppl_2/ii22/5078402" TargetMode="External"/><Relationship Id="rId74" Type="http://schemas.openxmlformats.org/officeDocument/2006/relationships/hyperlink" Target="http://iopp.fileburst.com/ccr/archive/CERNCourier2018Nov-digitaledition.pdf" TargetMode="External"/><Relationship Id="rId5" Type="http://schemas.openxmlformats.org/officeDocument/2006/relationships/settings" Target="settings.xml"/><Relationship Id="rId15" Type="http://schemas.openxmlformats.org/officeDocument/2006/relationships/hyperlink" Target="https://www.dbu.de/2606.html" TargetMode="External"/><Relationship Id="rId23" Type="http://schemas.openxmlformats.org/officeDocument/2006/relationships/hyperlink" Target="mailto:jobs@www.legaldl.com" TargetMode="External"/><Relationship Id="rId28" Type="http://schemas.openxmlformats.org/officeDocument/2006/relationships/hyperlink" Target="https://www.telerikacademy.com/alpha" TargetMode="External"/><Relationship Id="rId36" Type="http://schemas.openxmlformats.org/officeDocument/2006/relationships/hyperlink" Target="https://www.fni.bg/sites/default/files/competition/10_2018/Nacionalni%20iziskvania%20i%20uslovia%20za%20dopustimost.pdf" TargetMode="External"/><Relationship Id="rId49" Type="http://schemas.openxmlformats.org/officeDocument/2006/relationships/hyperlink" Target="http://www.europarl.europa.eu/resources/library/media/20180928RES14606/20180928RES14606.pdf" TargetMode="External"/><Relationship Id="rId57" Type="http://schemas.openxmlformats.org/officeDocument/2006/relationships/hyperlink" Target="https://eua.eu/events/24-2019-european-learning-teaching-forum.html" TargetMode="External"/><Relationship Id="rId61" Type="http://schemas.openxmlformats.org/officeDocument/2006/relationships/hyperlink" Target="https://cordis.europa.eu/article/id/401107-mental-health-an-undercover-epidemic_en.html" TargetMode="External"/><Relationship Id="rId10" Type="http://schemas.openxmlformats.org/officeDocument/2006/relationships/footer" Target="footer1.xml"/><Relationship Id="rId19" Type="http://schemas.openxmlformats.org/officeDocument/2006/relationships/hyperlink" Target="http://www.unicreditbulbank.bg/bg/index.htm" TargetMode="External"/><Relationship Id="rId31" Type="http://schemas.openxmlformats.org/officeDocument/2006/relationships/footer" Target="footer2.xml"/><Relationship Id="rId44" Type="http://schemas.openxmlformats.org/officeDocument/2006/relationships/hyperlink" Target="mailto:fni-konkursi@mon.bg" TargetMode="External"/><Relationship Id="rId52" Type="http://schemas.openxmlformats.org/officeDocument/2006/relationships/hyperlink" Target="https://goo.gl/ypLXRn" TargetMode="External"/><Relationship Id="rId60" Type="http://schemas.openxmlformats.org/officeDocument/2006/relationships/image" Target="media/image2.jpeg"/><Relationship Id="rId65" Type="http://schemas.openxmlformats.org/officeDocument/2006/relationships/hyperlink" Target="https://academic.oup.com/ndt/article/33/suppl_2/ii15/5078404" TargetMode="External"/><Relationship Id="rId73" Type="http://schemas.openxmlformats.org/officeDocument/2006/relationships/hyperlink" Target="https://link.springer.com/book/10.1007/978-3-319-90415-3"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dbu.de/2547.html" TargetMode="External"/><Relationship Id="rId22" Type="http://schemas.openxmlformats.org/officeDocument/2006/relationships/hyperlink" Target="http://www.nurembergacademy.org/about-us/job-offers/detail/3-months-internship-14/" TargetMode="External"/><Relationship Id="rId27" Type="http://schemas.openxmlformats.org/officeDocument/2006/relationships/hyperlink" Target="http://studentnagodinata.eu/" TargetMode="External"/><Relationship Id="rId30" Type="http://schemas.openxmlformats.org/officeDocument/2006/relationships/hyperlink" Target="http://telerikacademy.com/" TargetMode="External"/><Relationship Id="rId35" Type="http://schemas.openxmlformats.org/officeDocument/2006/relationships/hyperlink" Target="http://www.chistera.eu/node/add/call-2018-eoi"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ec.europa.eu/eusurvey/runner/HLCResearch" TargetMode="External"/><Relationship Id="rId56" Type="http://schemas.openxmlformats.org/officeDocument/2006/relationships/hyperlink" Target="https://education.humanbrainproject.eu/web/3rd-hbp-student-conference" TargetMode="External"/><Relationship Id="rId64" Type="http://schemas.openxmlformats.org/officeDocument/2006/relationships/hyperlink" Target="https://academic.oup.com/ndt/article/33/suppl_2/ii4/5078407" TargetMode="External"/><Relationship Id="rId69" Type="http://schemas.openxmlformats.org/officeDocument/2006/relationships/image" Target="media/image4.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efmc.eu/trainings/about-training/" TargetMode="External"/><Relationship Id="rId72" Type="http://schemas.openxmlformats.org/officeDocument/2006/relationships/image" Target="media/image5.png"/><Relationship Id="rId3" Type="http://schemas.openxmlformats.org/officeDocument/2006/relationships/numbering" Target="numbering.xml"/><Relationship Id="rId12" Type="http://schemas.openxmlformats.org/officeDocument/2006/relationships/hyperlink" Target="https://www.dbu.de/2603.html" TargetMode="External"/><Relationship Id="rId17" Type="http://schemas.openxmlformats.org/officeDocument/2006/relationships/hyperlink" Target="http://admission.dgist.ac.kr/site/dgist_admission/menu/431.do" TargetMode="External"/><Relationship Id="rId25" Type="http://schemas.openxmlformats.org/officeDocument/2006/relationships/hyperlink" Target="https://hpe.wd5.myworkdayjobs.com/Jobsathpe/login?redirect=%2FJobsathpe%2Fjob%2FSOV03---Sofia-Kambanite-SOV03%2FProject-Support-Intern_1032246-2%2Fapply%2F%3Fsource%3DLoop" TargetMode="External"/><Relationship Id="rId33" Type="http://schemas.openxmlformats.org/officeDocument/2006/relationships/hyperlink" Target="http://www.chistera.eu/" TargetMode="External"/><Relationship Id="rId38" Type="http://schemas.openxmlformats.org/officeDocument/2006/relationships/hyperlink" Target="mailto:aleksandrova@mon.bg" TargetMode="External"/><Relationship Id="rId46" Type="http://schemas.openxmlformats.org/officeDocument/2006/relationships/hyperlink" Target="http://www.kaowarsom.be/" TargetMode="External"/><Relationship Id="rId59" Type="http://schemas.openxmlformats.org/officeDocument/2006/relationships/footer" Target="footer4.xml"/><Relationship Id="rId67" Type="http://schemas.openxmlformats.org/officeDocument/2006/relationships/hyperlink" Target="https://academic.oup.com/ndt/article/33/suppl_2/ii29/5078403" TargetMode="External"/><Relationship Id="rId20" Type="http://schemas.openxmlformats.org/officeDocument/2006/relationships/hyperlink" Target="mailto:internship@unicreditgroup.bg" TargetMode="External"/><Relationship Id="rId41" Type="http://schemas.openxmlformats.org/officeDocument/2006/relationships/hyperlink" Target="https://www.neaa.government.bg/" TargetMode="External"/><Relationship Id="rId54" Type="http://schemas.openxmlformats.org/officeDocument/2006/relationships/hyperlink" Target="https://friendsofeurope.org/sites/default/files/media-files/2018-11/SHAPE%20ENERGY%20Conference%20programme.pdf" TargetMode="External"/><Relationship Id="rId62" Type="http://schemas.openxmlformats.org/officeDocument/2006/relationships/image" Target="media/image3.png"/><Relationship Id="rId70" Type="http://schemas.openxmlformats.org/officeDocument/2006/relationships/hyperlink" Target="https://www.degruyter.com/viewbooktoc/product/507228?rskey=Te34SV&amp;result=1" TargetMode="External"/><Relationship Id="rId75"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47767-F3D2-409E-BFCA-7A77815F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8993</Words>
  <Characters>51262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2018-11-15T06:40:00Z</dcterms:created>
  <dcterms:modified xsi:type="dcterms:W3CDTF">2018-11-15T06:40:00Z</dcterms:modified>
</cp:coreProperties>
</file>