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F8DD1" w14:textId="77777777" w:rsidR="007D0952" w:rsidRPr="00DC58A3" w:rsidRDefault="00AC75D6" w:rsidP="00DC58A3">
      <w:pPr>
        <w:jc w:val="left"/>
        <w:rPr>
          <w:rFonts w:ascii="Comic Sans MS" w:hAnsi="Comic Sans MS"/>
          <w:b/>
          <w:color w:val="FF0000"/>
          <w:sz w:val="28"/>
          <w:szCs w:val="28"/>
          <w:lang w:val="en-US"/>
        </w:rPr>
      </w:pPr>
      <w:bookmarkStart w:id="0" w:name="_GoBack"/>
      <w:bookmarkEnd w:id="0"/>
      <w:r>
        <w:rPr>
          <w:b/>
          <w:color w:val="FF0000"/>
        </w:rPr>
        <w:t xml:space="preserve">  </w:t>
      </w: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6CFEFEA8" wp14:editId="0D7C57D0">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19C2235" w14:textId="77777777" w:rsidR="00B249DA" w:rsidRPr="00015B3F" w:rsidRDefault="00B249D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409302D2" w14:textId="77777777" w:rsidR="00B249DA" w:rsidRPr="00015B3F" w:rsidRDefault="00B249D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62DFFBF1" w14:textId="77777777" w:rsidR="00B249DA" w:rsidRPr="00015B3F" w:rsidRDefault="00B249DA">
                                  <w:pPr>
                                    <w:pStyle w:val="NoSpacing"/>
                                    <w:spacing w:line="360" w:lineRule="auto"/>
                                    <w:rPr>
                                      <w:color w:val="FFFFFF" w:themeColor="background1"/>
                                      <w:sz w:val="28"/>
                                      <w:szCs w:val="28"/>
                                    </w:rPr>
                                  </w:pPr>
                                </w:p>
                                <w:p w14:paraId="45D13B98" w14:textId="77777777" w:rsidR="00B249DA" w:rsidRPr="00015B3F" w:rsidRDefault="00B249DA">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14:paraId="10D69473" w14:textId="77777777" w:rsidR="00B249DA" w:rsidRPr="00D00941" w:rsidRDefault="00B249D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CFEFEA8"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XvkC7SwQAAFkRAAAOAAAAAAAAAAAAAAAAAC4CAABkcnMvZTJvRG9jLnhtbFBLAQItABQABgAI&#10;AAAAIQAWEcHt4wAAAA8BAAAPAAAAAAAAAAAAAAAAAKUGAABkcnMvZG93bnJldi54bWxQSwUGAAAA&#10;AAQABADzAAAAt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19C2235" w14:textId="77777777" w:rsidR="00B249DA" w:rsidRPr="00015B3F" w:rsidRDefault="00B249D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409302D2" w14:textId="77777777" w:rsidR="00B249DA" w:rsidRPr="00015B3F" w:rsidRDefault="00B249D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62DFFBF1" w14:textId="77777777" w:rsidR="00B249DA" w:rsidRPr="00015B3F" w:rsidRDefault="00B249DA">
                            <w:pPr>
                              <w:pStyle w:val="NoSpacing"/>
                              <w:spacing w:line="360" w:lineRule="auto"/>
                              <w:rPr>
                                <w:color w:val="FFFFFF" w:themeColor="background1"/>
                                <w:sz w:val="28"/>
                                <w:szCs w:val="28"/>
                              </w:rPr>
                            </w:pPr>
                          </w:p>
                          <w:p w14:paraId="45D13B98" w14:textId="77777777" w:rsidR="00B249DA" w:rsidRPr="00015B3F" w:rsidRDefault="00B249DA">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14:paraId="10D69473" w14:textId="77777777" w:rsidR="00B249DA" w:rsidRPr="00D00941" w:rsidRDefault="00B249D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7303A82" w14:textId="77777777" w:rsidR="006D7E8D" w:rsidRDefault="006D7E8D" w:rsidP="00E848D9">
      <w:pPr>
        <w:tabs>
          <w:tab w:val="left" w:pos="1452"/>
        </w:tabs>
        <w:rPr>
          <w:sz w:val="28"/>
          <w:szCs w:val="28"/>
        </w:rPr>
      </w:pPr>
    </w:p>
    <w:p w14:paraId="50414DD0" w14:textId="77777777" w:rsidR="006D7E8D" w:rsidRDefault="006D7E8D" w:rsidP="00E848D9">
      <w:pPr>
        <w:tabs>
          <w:tab w:val="left" w:pos="1452"/>
        </w:tabs>
        <w:rPr>
          <w:sz w:val="28"/>
          <w:szCs w:val="28"/>
        </w:rPr>
      </w:pPr>
    </w:p>
    <w:p w14:paraId="7453146D" w14:textId="77777777" w:rsidR="006D7E8D" w:rsidRDefault="006D7E8D" w:rsidP="00E848D9">
      <w:pPr>
        <w:tabs>
          <w:tab w:val="left" w:pos="1452"/>
        </w:tabs>
        <w:rPr>
          <w:sz w:val="28"/>
          <w:szCs w:val="28"/>
        </w:rPr>
      </w:pPr>
    </w:p>
    <w:p w14:paraId="3243A112" w14:textId="77777777" w:rsidR="006D7E8D" w:rsidRDefault="006D7E8D" w:rsidP="00E848D9">
      <w:pPr>
        <w:tabs>
          <w:tab w:val="left" w:pos="1452"/>
        </w:tabs>
        <w:rPr>
          <w:sz w:val="28"/>
          <w:szCs w:val="28"/>
        </w:rPr>
      </w:pPr>
    </w:p>
    <w:p w14:paraId="6786F299" w14:textId="77777777" w:rsidR="006D7E8D" w:rsidRDefault="006D7E8D" w:rsidP="00E848D9">
      <w:pPr>
        <w:tabs>
          <w:tab w:val="left" w:pos="1452"/>
        </w:tabs>
        <w:rPr>
          <w:sz w:val="28"/>
          <w:szCs w:val="28"/>
        </w:rPr>
      </w:pPr>
    </w:p>
    <w:p w14:paraId="3F15C73A" w14:textId="77777777"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14:paraId="4188C846" w14:textId="77777777" w:rsidR="006D7E8D" w:rsidRDefault="006D7E8D" w:rsidP="00E848D9">
      <w:pPr>
        <w:tabs>
          <w:tab w:val="left" w:pos="1452"/>
        </w:tabs>
        <w:rPr>
          <w:sz w:val="28"/>
          <w:szCs w:val="28"/>
        </w:rPr>
      </w:pPr>
    </w:p>
    <w:p w14:paraId="3777F4DB" w14:textId="77777777"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14:paraId="0FF93DB8"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7C16C3F" w14:textId="77777777" w:rsidR="003711B0"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24369169" w:history="1">
            <w:r w:rsidR="003711B0" w:rsidRPr="00B7541D">
              <w:rPr>
                <w:rStyle w:val="Hyperlink"/>
                <w:rFonts w:cs="Times New Roman"/>
                <w:noProof/>
              </w:rPr>
              <w:t>КОНКУРСИ, СТИПЕНДИИ, СТАЖОВЕ</w:t>
            </w:r>
            <w:r w:rsidR="003711B0">
              <w:rPr>
                <w:noProof/>
                <w:webHidden/>
              </w:rPr>
              <w:tab/>
            </w:r>
            <w:r w:rsidR="003711B0">
              <w:rPr>
                <w:noProof/>
                <w:webHidden/>
              </w:rPr>
              <w:fldChar w:fldCharType="begin"/>
            </w:r>
            <w:r w:rsidR="003711B0">
              <w:rPr>
                <w:noProof/>
                <w:webHidden/>
              </w:rPr>
              <w:instrText xml:space="preserve"> PAGEREF _Toc24369169 \h </w:instrText>
            </w:r>
            <w:r w:rsidR="003711B0">
              <w:rPr>
                <w:noProof/>
                <w:webHidden/>
              </w:rPr>
            </w:r>
            <w:r w:rsidR="003711B0">
              <w:rPr>
                <w:noProof/>
                <w:webHidden/>
              </w:rPr>
              <w:fldChar w:fldCharType="separate"/>
            </w:r>
            <w:r w:rsidR="003711B0">
              <w:rPr>
                <w:noProof/>
                <w:webHidden/>
              </w:rPr>
              <w:t>3</w:t>
            </w:r>
            <w:r w:rsidR="003711B0">
              <w:rPr>
                <w:noProof/>
                <w:webHidden/>
              </w:rPr>
              <w:fldChar w:fldCharType="end"/>
            </w:r>
          </w:hyperlink>
        </w:p>
        <w:p w14:paraId="026293C4"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0"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rPr>
              <w:t>Конкурс за стипендии на БНБ</w:t>
            </w:r>
            <w:r w:rsidR="003711B0">
              <w:rPr>
                <w:noProof/>
                <w:webHidden/>
              </w:rPr>
              <w:tab/>
            </w:r>
            <w:r w:rsidR="003711B0">
              <w:rPr>
                <w:noProof/>
                <w:webHidden/>
              </w:rPr>
              <w:fldChar w:fldCharType="begin"/>
            </w:r>
            <w:r w:rsidR="003711B0">
              <w:rPr>
                <w:noProof/>
                <w:webHidden/>
              </w:rPr>
              <w:instrText xml:space="preserve"> PAGEREF _Toc24369170 \h </w:instrText>
            </w:r>
            <w:r w:rsidR="003711B0">
              <w:rPr>
                <w:noProof/>
                <w:webHidden/>
              </w:rPr>
            </w:r>
            <w:r w:rsidR="003711B0">
              <w:rPr>
                <w:noProof/>
                <w:webHidden/>
              </w:rPr>
              <w:fldChar w:fldCharType="separate"/>
            </w:r>
            <w:r w:rsidR="003711B0">
              <w:rPr>
                <w:noProof/>
                <w:webHidden/>
              </w:rPr>
              <w:t>3</w:t>
            </w:r>
            <w:r w:rsidR="003711B0">
              <w:rPr>
                <w:noProof/>
                <w:webHidden/>
              </w:rPr>
              <w:fldChar w:fldCharType="end"/>
            </w:r>
          </w:hyperlink>
        </w:p>
        <w:p w14:paraId="1ACB88BE"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1" w:history="1">
            <w:r w:rsidR="003711B0" w:rsidRPr="00B7541D">
              <w:rPr>
                <w:rStyle w:val="Hyperlink"/>
                <w:rFonts w:ascii="Wingdings" w:eastAsia="Times New Roman" w:hAnsi="Wingdings"/>
                <w:noProof/>
                <w:lang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eastAsia="bg-BG"/>
              </w:rPr>
              <w:t>Конкурс за докторантска стипендия на Фондация "Карол Знание"</w:t>
            </w:r>
            <w:r w:rsidR="003711B0">
              <w:rPr>
                <w:noProof/>
                <w:webHidden/>
              </w:rPr>
              <w:tab/>
            </w:r>
            <w:r w:rsidR="003711B0">
              <w:rPr>
                <w:noProof/>
                <w:webHidden/>
              </w:rPr>
              <w:fldChar w:fldCharType="begin"/>
            </w:r>
            <w:r w:rsidR="003711B0">
              <w:rPr>
                <w:noProof/>
                <w:webHidden/>
              </w:rPr>
              <w:instrText xml:space="preserve"> PAGEREF _Toc24369171 \h </w:instrText>
            </w:r>
            <w:r w:rsidR="003711B0">
              <w:rPr>
                <w:noProof/>
                <w:webHidden/>
              </w:rPr>
            </w:r>
            <w:r w:rsidR="003711B0">
              <w:rPr>
                <w:noProof/>
                <w:webHidden/>
              </w:rPr>
              <w:fldChar w:fldCharType="separate"/>
            </w:r>
            <w:r w:rsidR="003711B0">
              <w:rPr>
                <w:noProof/>
                <w:webHidden/>
              </w:rPr>
              <w:t>3</w:t>
            </w:r>
            <w:r w:rsidR="003711B0">
              <w:rPr>
                <w:noProof/>
                <w:webHidden/>
              </w:rPr>
              <w:fldChar w:fldCharType="end"/>
            </w:r>
          </w:hyperlink>
        </w:p>
        <w:p w14:paraId="0D499FE5"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2" w:history="1">
            <w:r w:rsidR="003711B0" w:rsidRPr="00B7541D">
              <w:rPr>
                <w:rStyle w:val="Hyperlink"/>
                <w:rFonts w:ascii="Wingdings" w:eastAsia="Times New Roman" w:hAnsi="Wingdings"/>
                <w:noProof/>
                <w:lang w:val="ru-RU"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val="ru-RU" w:eastAsia="bg-BG"/>
              </w:rPr>
              <w:t>Конкурс за стипендии “Форцхаймер”за утвърдени български учени</w:t>
            </w:r>
            <w:r w:rsidR="003711B0">
              <w:rPr>
                <w:noProof/>
                <w:webHidden/>
              </w:rPr>
              <w:tab/>
            </w:r>
            <w:r w:rsidR="003711B0">
              <w:rPr>
                <w:noProof/>
                <w:webHidden/>
              </w:rPr>
              <w:fldChar w:fldCharType="begin"/>
            </w:r>
            <w:r w:rsidR="003711B0">
              <w:rPr>
                <w:noProof/>
                <w:webHidden/>
              </w:rPr>
              <w:instrText xml:space="preserve"> PAGEREF _Toc24369172 \h </w:instrText>
            </w:r>
            <w:r w:rsidR="003711B0">
              <w:rPr>
                <w:noProof/>
                <w:webHidden/>
              </w:rPr>
            </w:r>
            <w:r w:rsidR="003711B0">
              <w:rPr>
                <w:noProof/>
                <w:webHidden/>
              </w:rPr>
              <w:fldChar w:fldCharType="separate"/>
            </w:r>
            <w:r w:rsidR="003711B0">
              <w:rPr>
                <w:noProof/>
                <w:webHidden/>
              </w:rPr>
              <w:t>4</w:t>
            </w:r>
            <w:r w:rsidR="003711B0">
              <w:rPr>
                <w:noProof/>
                <w:webHidden/>
              </w:rPr>
              <w:fldChar w:fldCharType="end"/>
            </w:r>
          </w:hyperlink>
        </w:p>
        <w:p w14:paraId="5C87C784"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3" w:history="1">
            <w:r w:rsidR="003711B0" w:rsidRPr="00B7541D">
              <w:rPr>
                <w:rStyle w:val="Hyperlink"/>
                <w:rFonts w:ascii="Wingdings" w:eastAsia="Times New Roman" w:hAnsi="Wingdings"/>
                <w:noProof/>
                <w:lang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eastAsia="bg-BG"/>
              </w:rPr>
              <w:t>Грантова програма на Reuters за млади фотожурналисти</w:t>
            </w:r>
            <w:r w:rsidR="003711B0">
              <w:rPr>
                <w:noProof/>
                <w:webHidden/>
              </w:rPr>
              <w:tab/>
            </w:r>
            <w:r w:rsidR="003711B0">
              <w:rPr>
                <w:noProof/>
                <w:webHidden/>
              </w:rPr>
              <w:fldChar w:fldCharType="begin"/>
            </w:r>
            <w:r w:rsidR="003711B0">
              <w:rPr>
                <w:noProof/>
                <w:webHidden/>
              </w:rPr>
              <w:instrText xml:space="preserve"> PAGEREF _Toc24369173 \h </w:instrText>
            </w:r>
            <w:r w:rsidR="003711B0">
              <w:rPr>
                <w:noProof/>
                <w:webHidden/>
              </w:rPr>
            </w:r>
            <w:r w:rsidR="003711B0">
              <w:rPr>
                <w:noProof/>
                <w:webHidden/>
              </w:rPr>
              <w:fldChar w:fldCharType="separate"/>
            </w:r>
            <w:r w:rsidR="003711B0">
              <w:rPr>
                <w:noProof/>
                <w:webHidden/>
              </w:rPr>
              <w:t>5</w:t>
            </w:r>
            <w:r w:rsidR="003711B0">
              <w:rPr>
                <w:noProof/>
                <w:webHidden/>
              </w:rPr>
              <w:fldChar w:fldCharType="end"/>
            </w:r>
          </w:hyperlink>
        </w:p>
        <w:p w14:paraId="5FFDFD0D"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4" w:history="1">
            <w:r w:rsidR="003711B0" w:rsidRPr="00B7541D">
              <w:rPr>
                <w:rStyle w:val="Hyperlink"/>
                <w:rFonts w:ascii="Wingdings" w:eastAsia="Times New Roman" w:hAnsi="Wingdings"/>
                <w:noProof/>
                <w:lang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eastAsia="bg-BG"/>
              </w:rPr>
              <w:t>Стажове в Европейския парламент в Брюксел</w:t>
            </w:r>
            <w:r w:rsidR="003711B0">
              <w:rPr>
                <w:noProof/>
                <w:webHidden/>
              </w:rPr>
              <w:tab/>
            </w:r>
            <w:r w:rsidR="003711B0">
              <w:rPr>
                <w:noProof/>
                <w:webHidden/>
              </w:rPr>
              <w:fldChar w:fldCharType="begin"/>
            </w:r>
            <w:r w:rsidR="003711B0">
              <w:rPr>
                <w:noProof/>
                <w:webHidden/>
              </w:rPr>
              <w:instrText xml:space="preserve"> PAGEREF _Toc24369174 \h </w:instrText>
            </w:r>
            <w:r w:rsidR="003711B0">
              <w:rPr>
                <w:noProof/>
                <w:webHidden/>
              </w:rPr>
            </w:r>
            <w:r w:rsidR="003711B0">
              <w:rPr>
                <w:noProof/>
                <w:webHidden/>
              </w:rPr>
              <w:fldChar w:fldCharType="separate"/>
            </w:r>
            <w:r w:rsidR="003711B0">
              <w:rPr>
                <w:noProof/>
                <w:webHidden/>
              </w:rPr>
              <w:t>6</w:t>
            </w:r>
            <w:r w:rsidR="003711B0">
              <w:rPr>
                <w:noProof/>
                <w:webHidden/>
              </w:rPr>
              <w:fldChar w:fldCharType="end"/>
            </w:r>
          </w:hyperlink>
        </w:p>
        <w:p w14:paraId="2DE1BD5B"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5"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rPr>
              <w:t>Конкурс за студентски реферати по правозащитна тема</w:t>
            </w:r>
            <w:r w:rsidR="003711B0">
              <w:rPr>
                <w:noProof/>
                <w:webHidden/>
              </w:rPr>
              <w:tab/>
            </w:r>
            <w:r w:rsidR="003711B0">
              <w:rPr>
                <w:noProof/>
                <w:webHidden/>
              </w:rPr>
              <w:fldChar w:fldCharType="begin"/>
            </w:r>
            <w:r w:rsidR="003711B0">
              <w:rPr>
                <w:noProof/>
                <w:webHidden/>
              </w:rPr>
              <w:instrText xml:space="preserve"> PAGEREF _Toc24369175 \h </w:instrText>
            </w:r>
            <w:r w:rsidR="003711B0">
              <w:rPr>
                <w:noProof/>
                <w:webHidden/>
              </w:rPr>
            </w:r>
            <w:r w:rsidR="003711B0">
              <w:rPr>
                <w:noProof/>
                <w:webHidden/>
              </w:rPr>
              <w:fldChar w:fldCharType="separate"/>
            </w:r>
            <w:r w:rsidR="003711B0">
              <w:rPr>
                <w:noProof/>
                <w:webHidden/>
              </w:rPr>
              <w:t>6</w:t>
            </w:r>
            <w:r w:rsidR="003711B0">
              <w:rPr>
                <w:noProof/>
                <w:webHidden/>
              </w:rPr>
              <w:fldChar w:fldCharType="end"/>
            </w:r>
          </w:hyperlink>
        </w:p>
        <w:p w14:paraId="482A1989" w14:textId="77777777" w:rsidR="003711B0" w:rsidRDefault="0030675B">
          <w:pPr>
            <w:pStyle w:val="TOC1"/>
            <w:tabs>
              <w:tab w:val="right" w:leader="dot" w:pos="9062"/>
            </w:tabs>
            <w:rPr>
              <w:rFonts w:asciiTheme="minorHAnsi" w:eastAsiaTheme="minorEastAsia" w:hAnsiTheme="minorHAnsi"/>
              <w:noProof/>
              <w:lang w:eastAsia="bg-BG"/>
            </w:rPr>
          </w:pPr>
          <w:hyperlink w:anchor="_Toc24369176" w:history="1">
            <w:r w:rsidR="003711B0" w:rsidRPr="00B7541D">
              <w:rPr>
                <w:rStyle w:val="Hyperlink"/>
                <w:noProof/>
              </w:rPr>
              <w:t>ПРОГРАМИ</w:t>
            </w:r>
            <w:r w:rsidR="003711B0">
              <w:rPr>
                <w:noProof/>
                <w:webHidden/>
              </w:rPr>
              <w:tab/>
            </w:r>
            <w:r w:rsidR="003711B0">
              <w:rPr>
                <w:noProof/>
                <w:webHidden/>
              </w:rPr>
              <w:fldChar w:fldCharType="begin"/>
            </w:r>
            <w:r w:rsidR="003711B0">
              <w:rPr>
                <w:noProof/>
                <w:webHidden/>
              </w:rPr>
              <w:instrText xml:space="preserve"> PAGEREF _Toc24369176 \h </w:instrText>
            </w:r>
            <w:r w:rsidR="003711B0">
              <w:rPr>
                <w:noProof/>
                <w:webHidden/>
              </w:rPr>
            </w:r>
            <w:r w:rsidR="003711B0">
              <w:rPr>
                <w:noProof/>
                <w:webHidden/>
              </w:rPr>
              <w:fldChar w:fldCharType="separate"/>
            </w:r>
            <w:r w:rsidR="003711B0">
              <w:rPr>
                <w:noProof/>
                <w:webHidden/>
              </w:rPr>
              <w:t>8</w:t>
            </w:r>
            <w:r w:rsidR="003711B0">
              <w:rPr>
                <w:noProof/>
                <w:webHidden/>
              </w:rPr>
              <w:fldChar w:fldCharType="end"/>
            </w:r>
          </w:hyperlink>
        </w:p>
        <w:p w14:paraId="12226F92"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7"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rPr>
              <w:t>Покана за участие в конкурс по Програма ERA NET RUS PLUS</w:t>
            </w:r>
            <w:r w:rsidR="003711B0">
              <w:rPr>
                <w:noProof/>
                <w:webHidden/>
              </w:rPr>
              <w:tab/>
            </w:r>
            <w:r w:rsidR="003711B0">
              <w:rPr>
                <w:noProof/>
                <w:webHidden/>
              </w:rPr>
              <w:fldChar w:fldCharType="begin"/>
            </w:r>
            <w:r w:rsidR="003711B0">
              <w:rPr>
                <w:noProof/>
                <w:webHidden/>
              </w:rPr>
              <w:instrText xml:space="preserve"> PAGEREF _Toc24369177 \h </w:instrText>
            </w:r>
            <w:r w:rsidR="003711B0">
              <w:rPr>
                <w:noProof/>
                <w:webHidden/>
              </w:rPr>
            </w:r>
            <w:r w:rsidR="003711B0">
              <w:rPr>
                <w:noProof/>
                <w:webHidden/>
              </w:rPr>
              <w:fldChar w:fldCharType="separate"/>
            </w:r>
            <w:r w:rsidR="003711B0">
              <w:rPr>
                <w:noProof/>
                <w:webHidden/>
              </w:rPr>
              <w:t>8</w:t>
            </w:r>
            <w:r w:rsidR="003711B0">
              <w:rPr>
                <w:noProof/>
                <w:webHidden/>
              </w:rPr>
              <w:fldChar w:fldCharType="end"/>
            </w:r>
          </w:hyperlink>
        </w:p>
        <w:p w14:paraId="4E1EDC80"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8" w:history="1">
            <w:r w:rsidR="003711B0" w:rsidRPr="00B7541D">
              <w:rPr>
                <w:rStyle w:val="Hyperlink"/>
                <w:rFonts w:ascii="Wingdings" w:eastAsia="Times New Roman" w:hAnsi="Wingdings"/>
                <w:noProof/>
                <w:lang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eastAsia="bg-BG"/>
              </w:rPr>
              <w:t>Подкрепа на международни научни форуми, провеждани в Република България</w:t>
            </w:r>
            <w:r w:rsidR="003711B0">
              <w:rPr>
                <w:noProof/>
                <w:webHidden/>
              </w:rPr>
              <w:tab/>
            </w:r>
            <w:r w:rsidR="003711B0">
              <w:rPr>
                <w:noProof/>
                <w:webHidden/>
              </w:rPr>
              <w:fldChar w:fldCharType="begin"/>
            </w:r>
            <w:r w:rsidR="003711B0">
              <w:rPr>
                <w:noProof/>
                <w:webHidden/>
              </w:rPr>
              <w:instrText xml:space="preserve"> PAGEREF _Toc24369178 \h </w:instrText>
            </w:r>
            <w:r w:rsidR="003711B0">
              <w:rPr>
                <w:noProof/>
                <w:webHidden/>
              </w:rPr>
            </w:r>
            <w:r w:rsidR="003711B0">
              <w:rPr>
                <w:noProof/>
                <w:webHidden/>
              </w:rPr>
              <w:fldChar w:fldCharType="separate"/>
            </w:r>
            <w:r w:rsidR="003711B0">
              <w:rPr>
                <w:noProof/>
                <w:webHidden/>
              </w:rPr>
              <w:t>9</w:t>
            </w:r>
            <w:r w:rsidR="003711B0">
              <w:rPr>
                <w:noProof/>
                <w:webHidden/>
              </w:rPr>
              <w:fldChar w:fldCharType="end"/>
            </w:r>
          </w:hyperlink>
        </w:p>
        <w:p w14:paraId="10FDF7A4"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79" w:history="1">
            <w:r w:rsidR="003711B0" w:rsidRPr="00B7541D">
              <w:rPr>
                <w:rStyle w:val="Hyperlink"/>
                <w:rFonts w:ascii="Wingdings" w:eastAsia="Times New Roman" w:hAnsi="Wingdings"/>
                <w:noProof/>
                <w:lang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eastAsia="bg-BG"/>
              </w:rPr>
              <w:t>Национално съфинансиране за участие на български колективи в утвърдени проекти по COST</w:t>
            </w:r>
            <w:r w:rsidR="003711B0">
              <w:rPr>
                <w:noProof/>
                <w:webHidden/>
              </w:rPr>
              <w:tab/>
            </w:r>
            <w:r w:rsidR="003711B0">
              <w:rPr>
                <w:noProof/>
                <w:webHidden/>
              </w:rPr>
              <w:fldChar w:fldCharType="begin"/>
            </w:r>
            <w:r w:rsidR="003711B0">
              <w:rPr>
                <w:noProof/>
                <w:webHidden/>
              </w:rPr>
              <w:instrText xml:space="preserve"> PAGEREF _Toc24369179 \h </w:instrText>
            </w:r>
            <w:r w:rsidR="003711B0">
              <w:rPr>
                <w:noProof/>
                <w:webHidden/>
              </w:rPr>
            </w:r>
            <w:r w:rsidR="003711B0">
              <w:rPr>
                <w:noProof/>
                <w:webHidden/>
              </w:rPr>
              <w:fldChar w:fldCharType="separate"/>
            </w:r>
            <w:r w:rsidR="003711B0">
              <w:rPr>
                <w:noProof/>
                <w:webHidden/>
              </w:rPr>
              <w:t>11</w:t>
            </w:r>
            <w:r w:rsidR="003711B0">
              <w:rPr>
                <w:noProof/>
                <w:webHidden/>
              </w:rPr>
              <w:fldChar w:fldCharType="end"/>
            </w:r>
          </w:hyperlink>
        </w:p>
        <w:p w14:paraId="7A11F995"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0"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rPr>
              <w:t>Програма: „Америка за България”</w:t>
            </w:r>
            <w:r w:rsidR="003711B0">
              <w:rPr>
                <w:noProof/>
                <w:webHidden/>
              </w:rPr>
              <w:tab/>
            </w:r>
            <w:r w:rsidR="003711B0">
              <w:rPr>
                <w:noProof/>
                <w:webHidden/>
              </w:rPr>
              <w:fldChar w:fldCharType="begin"/>
            </w:r>
            <w:r w:rsidR="003711B0">
              <w:rPr>
                <w:noProof/>
                <w:webHidden/>
              </w:rPr>
              <w:instrText xml:space="preserve"> PAGEREF _Toc24369180 \h </w:instrText>
            </w:r>
            <w:r w:rsidR="003711B0">
              <w:rPr>
                <w:noProof/>
                <w:webHidden/>
              </w:rPr>
            </w:r>
            <w:r w:rsidR="003711B0">
              <w:rPr>
                <w:noProof/>
                <w:webHidden/>
              </w:rPr>
              <w:fldChar w:fldCharType="separate"/>
            </w:r>
            <w:r w:rsidR="003711B0">
              <w:rPr>
                <w:noProof/>
                <w:webHidden/>
              </w:rPr>
              <w:t>12</w:t>
            </w:r>
            <w:r w:rsidR="003711B0">
              <w:rPr>
                <w:noProof/>
                <w:webHidden/>
              </w:rPr>
              <w:fldChar w:fldCharType="end"/>
            </w:r>
          </w:hyperlink>
        </w:p>
        <w:p w14:paraId="1EA0D360" w14:textId="77777777" w:rsidR="003711B0" w:rsidRDefault="0030675B">
          <w:pPr>
            <w:pStyle w:val="TOC1"/>
            <w:tabs>
              <w:tab w:val="right" w:leader="dot" w:pos="9062"/>
            </w:tabs>
            <w:rPr>
              <w:rFonts w:asciiTheme="minorHAnsi" w:eastAsiaTheme="minorEastAsia" w:hAnsiTheme="minorHAnsi"/>
              <w:noProof/>
              <w:lang w:eastAsia="bg-BG"/>
            </w:rPr>
          </w:pPr>
          <w:hyperlink w:anchor="_Toc24369181" w:history="1">
            <w:r w:rsidR="003711B0" w:rsidRPr="00B7541D">
              <w:rPr>
                <w:rStyle w:val="Hyperlink"/>
                <w:noProof/>
              </w:rPr>
              <w:t>СЪБИТИЯ</w:t>
            </w:r>
            <w:r w:rsidR="003711B0">
              <w:rPr>
                <w:noProof/>
                <w:webHidden/>
              </w:rPr>
              <w:tab/>
            </w:r>
            <w:r w:rsidR="003711B0">
              <w:rPr>
                <w:noProof/>
                <w:webHidden/>
              </w:rPr>
              <w:fldChar w:fldCharType="begin"/>
            </w:r>
            <w:r w:rsidR="003711B0">
              <w:rPr>
                <w:noProof/>
                <w:webHidden/>
              </w:rPr>
              <w:instrText xml:space="preserve"> PAGEREF _Toc24369181 \h </w:instrText>
            </w:r>
            <w:r w:rsidR="003711B0">
              <w:rPr>
                <w:noProof/>
                <w:webHidden/>
              </w:rPr>
            </w:r>
            <w:r w:rsidR="003711B0">
              <w:rPr>
                <w:noProof/>
                <w:webHidden/>
              </w:rPr>
              <w:fldChar w:fldCharType="separate"/>
            </w:r>
            <w:r w:rsidR="003711B0">
              <w:rPr>
                <w:noProof/>
                <w:webHidden/>
              </w:rPr>
              <w:t>13</w:t>
            </w:r>
            <w:r w:rsidR="003711B0">
              <w:rPr>
                <w:noProof/>
                <w:webHidden/>
              </w:rPr>
              <w:fldChar w:fldCharType="end"/>
            </w:r>
          </w:hyperlink>
        </w:p>
        <w:p w14:paraId="1AD9C24C" w14:textId="77777777" w:rsidR="003711B0" w:rsidRDefault="0030675B">
          <w:pPr>
            <w:pStyle w:val="TOC1"/>
            <w:tabs>
              <w:tab w:val="right" w:leader="dot" w:pos="9062"/>
            </w:tabs>
            <w:rPr>
              <w:rFonts w:asciiTheme="minorHAnsi" w:eastAsiaTheme="minorEastAsia" w:hAnsiTheme="minorHAnsi"/>
              <w:noProof/>
              <w:lang w:eastAsia="bg-BG"/>
            </w:rPr>
          </w:pPr>
          <w:hyperlink w:anchor="_Toc24369182" w:history="1">
            <w:r w:rsidR="003711B0" w:rsidRPr="00B7541D">
              <w:rPr>
                <w:rStyle w:val="Hyperlink"/>
                <w:noProof/>
              </w:rPr>
              <w:t>ПУБЛИКАЦИИ</w:t>
            </w:r>
            <w:r w:rsidR="003711B0">
              <w:rPr>
                <w:noProof/>
                <w:webHidden/>
              </w:rPr>
              <w:tab/>
            </w:r>
            <w:r w:rsidR="003711B0">
              <w:rPr>
                <w:noProof/>
                <w:webHidden/>
              </w:rPr>
              <w:fldChar w:fldCharType="begin"/>
            </w:r>
            <w:r w:rsidR="003711B0">
              <w:rPr>
                <w:noProof/>
                <w:webHidden/>
              </w:rPr>
              <w:instrText xml:space="preserve"> PAGEREF _Toc24369182 \h </w:instrText>
            </w:r>
            <w:r w:rsidR="003711B0">
              <w:rPr>
                <w:noProof/>
                <w:webHidden/>
              </w:rPr>
            </w:r>
            <w:r w:rsidR="003711B0">
              <w:rPr>
                <w:noProof/>
                <w:webHidden/>
              </w:rPr>
              <w:fldChar w:fldCharType="separate"/>
            </w:r>
            <w:r w:rsidR="003711B0">
              <w:rPr>
                <w:noProof/>
                <w:webHidden/>
              </w:rPr>
              <w:t>17</w:t>
            </w:r>
            <w:r w:rsidR="003711B0">
              <w:rPr>
                <w:noProof/>
                <w:webHidden/>
              </w:rPr>
              <w:fldChar w:fldCharType="end"/>
            </w:r>
          </w:hyperlink>
        </w:p>
        <w:p w14:paraId="2EFFAED5"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3"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rPr>
              <w:t>SINE2020 Sustainability Report</w:t>
            </w:r>
            <w:r w:rsidR="003711B0">
              <w:rPr>
                <w:noProof/>
                <w:webHidden/>
              </w:rPr>
              <w:tab/>
            </w:r>
            <w:r w:rsidR="003711B0">
              <w:rPr>
                <w:noProof/>
                <w:webHidden/>
              </w:rPr>
              <w:fldChar w:fldCharType="begin"/>
            </w:r>
            <w:r w:rsidR="003711B0">
              <w:rPr>
                <w:noProof/>
                <w:webHidden/>
              </w:rPr>
              <w:instrText xml:space="preserve"> PAGEREF _Toc24369183 \h </w:instrText>
            </w:r>
            <w:r w:rsidR="003711B0">
              <w:rPr>
                <w:noProof/>
                <w:webHidden/>
              </w:rPr>
            </w:r>
            <w:r w:rsidR="003711B0">
              <w:rPr>
                <w:noProof/>
                <w:webHidden/>
              </w:rPr>
              <w:fldChar w:fldCharType="separate"/>
            </w:r>
            <w:r w:rsidR="003711B0">
              <w:rPr>
                <w:noProof/>
                <w:webHidden/>
              </w:rPr>
              <w:t>17</w:t>
            </w:r>
            <w:r w:rsidR="003711B0">
              <w:rPr>
                <w:noProof/>
                <w:webHidden/>
              </w:rPr>
              <w:fldChar w:fldCharType="end"/>
            </w:r>
          </w:hyperlink>
        </w:p>
        <w:p w14:paraId="21E2F753"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4"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lang w:val="en-GB"/>
              </w:rPr>
              <w:t>Bioimage Data Analysis Workflows</w:t>
            </w:r>
            <w:r w:rsidR="003711B0">
              <w:rPr>
                <w:noProof/>
                <w:webHidden/>
              </w:rPr>
              <w:tab/>
            </w:r>
            <w:r w:rsidR="003711B0">
              <w:rPr>
                <w:noProof/>
                <w:webHidden/>
              </w:rPr>
              <w:fldChar w:fldCharType="begin"/>
            </w:r>
            <w:r w:rsidR="003711B0">
              <w:rPr>
                <w:noProof/>
                <w:webHidden/>
              </w:rPr>
              <w:instrText xml:space="preserve"> PAGEREF _Toc24369184 \h </w:instrText>
            </w:r>
            <w:r w:rsidR="003711B0">
              <w:rPr>
                <w:noProof/>
                <w:webHidden/>
              </w:rPr>
            </w:r>
            <w:r w:rsidR="003711B0">
              <w:rPr>
                <w:noProof/>
                <w:webHidden/>
              </w:rPr>
              <w:fldChar w:fldCharType="separate"/>
            </w:r>
            <w:r w:rsidR="003711B0">
              <w:rPr>
                <w:noProof/>
                <w:webHidden/>
              </w:rPr>
              <w:t>17</w:t>
            </w:r>
            <w:r w:rsidR="003711B0">
              <w:rPr>
                <w:noProof/>
                <w:webHidden/>
              </w:rPr>
              <w:fldChar w:fldCharType="end"/>
            </w:r>
          </w:hyperlink>
        </w:p>
        <w:p w14:paraId="1B36EBBE"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5" w:history="1">
            <w:r w:rsidR="003711B0" w:rsidRPr="00B7541D">
              <w:rPr>
                <w:rStyle w:val="Hyperlink"/>
                <w:rFonts w:ascii="Wingdings" w:hAnsi="Wingdings"/>
                <w:noProof/>
                <w:lang w:val="en-GB"/>
              </w:rPr>
              <w:t></w:t>
            </w:r>
            <w:r w:rsidR="003711B0">
              <w:rPr>
                <w:rFonts w:asciiTheme="minorHAnsi" w:eastAsiaTheme="minorEastAsia" w:hAnsiTheme="minorHAnsi"/>
                <w:noProof/>
                <w:lang w:eastAsia="bg-BG"/>
              </w:rPr>
              <w:tab/>
            </w:r>
            <w:r w:rsidR="003711B0" w:rsidRPr="00B7541D">
              <w:rPr>
                <w:rStyle w:val="Hyperlink"/>
                <w:noProof/>
                <w:lang w:val="en-GB"/>
              </w:rPr>
              <w:t>State of the Art Report for Smart Habitat for Older Persons</w:t>
            </w:r>
            <w:r w:rsidR="003711B0">
              <w:rPr>
                <w:noProof/>
                <w:webHidden/>
              </w:rPr>
              <w:tab/>
            </w:r>
            <w:r w:rsidR="003711B0">
              <w:rPr>
                <w:noProof/>
                <w:webHidden/>
              </w:rPr>
              <w:fldChar w:fldCharType="begin"/>
            </w:r>
            <w:r w:rsidR="003711B0">
              <w:rPr>
                <w:noProof/>
                <w:webHidden/>
              </w:rPr>
              <w:instrText xml:space="preserve"> PAGEREF _Toc24369185 \h </w:instrText>
            </w:r>
            <w:r w:rsidR="003711B0">
              <w:rPr>
                <w:noProof/>
                <w:webHidden/>
              </w:rPr>
            </w:r>
            <w:r w:rsidR="003711B0">
              <w:rPr>
                <w:noProof/>
                <w:webHidden/>
              </w:rPr>
              <w:fldChar w:fldCharType="separate"/>
            </w:r>
            <w:r w:rsidR="003711B0">
              <w:rPr>
                <w:noProof/>
                <w:webHidden/>
              </w:rPr>
              <w:t>18</w:t>
            </w:r>
            <w:r w:rsidR="003711B0">
              <w:rPr>
                <w:noProof/>
                <w:webHidden/>
              </w:rPr>
              <w:fldChar w:fldCharType="end"/>
            </w:r>
          </w:hyperlink>
        </w:p>
        <w:p w14:paraId="24FEA188"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6" w:history="1">
            <w:r w:rsidR="003711B0" w:rsidRPr="00B7541D">
              <w:rPr>
                <w:rStyle w:val="Hyperlink"/>
                <w:rFonts w:ascii="Wingdings" w:hAnsi="Wingdings"/>
                <w:noProof/>
                <w:lang w:val="en-GB"/>
              </w:rPr>
              <w:t></w:t>
            </w:r>
            <w:r w:rsidR="003711B0">
              <w:rPr>
                <w:rFonts w:asciiTheme="minorHAnsi" w:eastAsiaTheme="minorEastAsia" w:hAnsiTheme="minorHAnsi"/>
                <w:noProof/>
                <w:lang w:eastAsia="bg-BG"/>
              </w:rPr>
              <w:tab/>
            </w:r>
            <w:r w:rsidR="003711B0" w:rsidRPr="00B7541D">
              <w:rPr>
                <w:rStyle w:val="Hyperlink"/>
                <w:noProof/>
                <w:lang w:val="en-GB"/>
              </w:rPr>
              <w:t>RESEARCH EU</w:t>
            </w:r>
            <w:r w:rsidR="003711B0">
              <w:rPr>
                <w:noProof/>
                <w:webHidden/>
              </w:rPr>
              <w:tab/>
            </w:r>
            <w:r w:rsidR="003711B0">
              <w:rPr>
                <w:noProof/>
                <w:webHidden/>
              </w:rPr>
              <w:fldChar w:fldCharType="begin"/>
            </w:r>
            <w:r w:rsidR="003711B0">
              <w:rPr>
                <w:noProof/>
                <w:webHidden/>
              </w:rPr>
              <w:instrText xml:space="preserve"> PAGEREF _Toc24369186 \h </w:instrText>
            </w:r>
            <w:r w:rsidR="003711B0">
              <w:rPr>
                <w:noProof/>
                <w:webHidden/>
              </w:rPr>
            </w:r>
            <w:r w:rsidR="003711B0">
              <w:rPr>
                <w:noProof/>
                <w:webHidden/>
              </w:rPr>
              <w:fldChar w:fldCharType="separate"/>
            </w:r>
            <w:r w:rsidR="003711B0">
              <w:rPr>
                <w:noProof/>
                <w:webHidden/>
              </w:rPr>
              <w:t>19</w:t>
            </w:r>
            <w:r w:rsidR="003711B0">
              <w:rPr>
                <w:noProof/>
                <w:webHidden/>
              </w:rPr>
              <w:fldChar w:fldCharType="end"/>
            </w:r>
          </w:hyperlink>
        </w:p>
        <w:p w14:paraId="57879926"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7" w:history="1">
            <w:r w:rsidR="003711B0" w:rsidRPr="00B7541D">
              <w:rPr>
                <w:rStyle w:val="Hyperlink"/>
                <w:rFonts w:ascii="Wingdings" w:hAnsi="Wingdings"/>
                <w:noProof/>
              </w:rPr>
              <w:t></w:t>
            </w:r>
            <w:r w:rsidR="003711B0">
              <w:rPr>
                <w:rFonts w:asciiTheme="minorHAnsi" w:eastAsiaTheme="minorEastAsia" w:hAnsiTheme="minorHAnsi"/>
                <w:noProof/>
                <w:lang w:eastAsia="bg-BG"/>
              </w:rPr>
              <w:tab/>
            </w:r>
            <w:r w:rsidR="003711B0" w:rsidRPr="00B7541D">
              <w:rPr>
                <w:rStyle w:val="Hyperlink"/>
                <w:noProof/>
              </w:rPr>
              <w:t>European University Association: Student-centred learning: approaches to quality assurance</w:t>
            </w:r>
            <w:r w:rsidR="003711B0">
              <w:rPr>
                <w:noProof/>
                <w:webHidden/>
              </w:rPr>
              <w:tab/>
            </w:r>
            <w:r w:rsidR="003711B0">
              <w:rPr>
                <w:noProof/>
                <w:webHidden/>
              </w:rPr>
              <w:fldChar w:fldCharType="begin"/>
            </w:r>
            <w:r w:rsidR="003711B0">
              <w:rPr>
                <w:noProof/>
                <w:webHidden/>
              </w:rPr>
              <w:instrText xml:space="preserve"> PAGEREF _Toc24369187 \h </w:instrText>
            </w:r>
            <w:r w:rsidR="003711B0">
              <w:rPr>
                <w:noProof/>
                <w:webHidden/>
              </w:rPr>
            </w:r>
            <w:r w:rsidR="003711B0">
              <w:rPr>
                <w:noProof/>
                <w:webHidden/>
              </w:rPr>
              <w:fldChar w:fldCharType="separate"/>
            </w:r>
            <w:r w:rsidR="003711B0">
              <w:rPr>
                <w:noProof/>
                <w:webHidden/>
              </w:rPr>
              <w:t>19</w:t>
            </w:r>
            <w:r w:rsidR="003711B0">
              <w:rPr>
                <w:noProof/>
                <w:webHidden/>
              </w:rPr>
              <w:fldChar w:fldCharType="end"/>
            </w:r>
          </w:hyperlink>
        </w:p>
        <w:p w14:paraId="080B303C"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8" w:history="1">
            <w:r w:rsidR="003711B0" w:rsidRPr="00B7541D">
              <w:rPr>
                <w:rStyle w:val="Hyperlink"/>
                <w:rFonts w:ascii="Wingdings" w:eastAsia="Times New Roman" w:hAnsi="Wingdings"/>
                <w:noProof/>
                <w:lang w:val="en-GB" w:eastAsia="bg-BG"/>
              </w:rPr>
              <w:t></w:t>
            </w:r>
            <w:r w:rsidR="003711B0">
              <w:rPr>
                <w:rFonts w:asciiTheme="minorHAnsi" w:eastAsiaTheme="minorEastAsia" w:hAnsiTheme="minorHAnsi"/>
                <w:noProof/>
                <w:lang w:eastAsia="bg-BG"/>
              </w:rPr>
              <w:tab/>
            </w:r>
            <w:r w:rsidR="003711B0" w:rsidRPr="00B7541D">
              <w:rPr>
                <w:rStyle w:val="Hyperlink"/>
                <w:rFonts w:eastAsia="Times New Roman"/>
                <w:noProof/>
                <w:lang w:val="en-GB" w:eastAsia="bg-BG"/>
              </w:rPr>
              <w:t>European University Association: Reflections on University Research Assessment: key concepts, issues and actors</w:t>
            </w:r>
            <w:r w:rsidR="003711B0">
              <w:rPr>
                <w:noProof/>
                <w:webHidden/>
              </w:rPr>
              <w:tab/>
            </w:r>
            <w:r w:rsidR="003711B0">
              <w:rPr>
                <w:noProof/>
                <w:webHidden/>
              </w:rPr>
              <w:fldChar w:fldCharType="begin"/>
            </w:r>
            <w:r w:rsidR="003711B0">
              <w:rPr>
                <w:noProof/>
                <w:webHidden/>
              </w:rPr>
              <w:instrText xml:space="preserve"> PAGEREF _Toc24369188 \h </w:instrText>
            </w:r>
            <w:r w:rsidR="003711B0">
              <w:rPr>
                <w:noProof/>
                <w:webHidden/>
              </w:rPr>
            </w:r>
            <w:r w:rsidR="003711B0">
              <w:rPr>
                <w:noProof/>
                <w:webHidden/>
              </w:rPr>
              <w:fldChar w:fldCharType="separate"/>
            </w:r>
            <w:r w:rsidR="003711B0">
              <w:rPr>
                <w:noProof/>
                <w:webHidden/>
              </w:rPr>
              <w:t>19</w:t>
            </w:r>
            <w:r w:rsidR="003711B0">
              <w:rPr>
                <w:noProof/>
                <w:webHidden/>
              </w:rPr>
              <w:fldChar w:fldCharType="end"/>
            </w:r>
          </w:hyperlink>
        </w:p>
        <w:p w14:paraId="304610B7"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89" w:history="1">
            <w:r w:rsidR="003711B0" w:rsidRPr="00B7541D">
              <w:rPr>
                <w:rStyle w:val="Hyperlink"/>
                <w:rFonts w:ascii="Wingdings" w:hAnsi="Wingdings"/>
                <w:noProof/>
                <w:lang w:val="en-GB"/>
              </w:rPr>
              <w:t></w:t>
            </w:r>
            <w:r w:rsidR="003711B0">
              <w:rPr>
                <w:rFonts w:asciiTheme="minorHAnsi" w:eastAsiaTheme="minorEastAsia" w:hAnsiTheme="minorHAnsi"/>
                <w:noProof/>
                <w:lang w:eastAsia="bg-BG"/>
              </w:rPr>
              <w:tab/>
            </w:r>
            <w:r w:rsidR="003711B0" w:rsidRPr="00B7541D">
              <w:rPr>
                <w:rStyle w:val="Hyperlink"/>
                <w:noProof/>
              </w:rPr>
              <w:t>European University Association</w:t>
            </w:r>
            <w:r w:rsidR="003711B0" w:rsidRPr="00B7541D">
              <w:rPr>
                <w:rStyle w:val="Hyperlink"/>
                <w:noProof/>
                <w:lang w:val="en-US"/>
              </w:rPr>
              <w:t xml:space="preserve"> Study: </w:t>
            </w:r>
            <w:r w:rsidR="003711B0" w:rsidRPr="00B7541D">
              <w:rPr>
                <w:rStyle w:val="Hyperlink"/>
                <w:noProof/>
                <w:lang w:val="en-GB"/>
              </w:rPr>
              <w:t>The Role of Universities in Regional Innovation Ecosystems</w:t>
            </w:r>
            <w:r w:rsidR="003711B0">
              <w:rPr>
                <w:noProof/>
                <w:webHidden/>
              </w:rPr>
              <w:tab/>
            </w:r>
            <w:r w:rsidR="003711B0">
              <w:rPr>
                <w:noProof/>
                <w:webHidden/>
              </w:rPr>
              <w:fldChar w:fldCharType="begin"/>
            </w:r>
            <w:r w:rsidR="003711B0">
              <w:rPr>
                <w:noProof/>
                <w:webHidden/>
              </w:rPr>
              <w:instrText xml:space="preserve"> PAGEREF _Toc24369189 \h </w:instrText>
            </w:r>
            <w:r w:rsidR="003711B0">
              <w:rPr>
                <w:noProof/>
                <w:webHidden/>
              </w:rPr>
            </w:r>
            <w:r w:rsidR="003711B0">
              <w:rPr>
                <w:noProof/>
                <w:webHidden/>
              </w:rPr>
              <w:fldChar w:fldCharType="separate"/>
            </w:r>
            <w:r w:rsidR="003711B0">
              <w:rPr>
                <w:noProof/>
                <w:webHidden/>
              </w:rPr>
              <w:t>20</w:t>
            </w:r>
            <w:r w:rsidR="003711B0">
              <w:rPr>
                <w:noProof/>
                <w:webHidden/>
              </w:rPr>
              <w:fldChar w:fldCharType="end"/>
            </w:r>
          </w:hyperlink>
        </w:p>
        <w:p w14:paraId="0AFC08B0" w14:textId="77777777" w:rsidR="003711B0" w:rsidRDefault="0030675B">
          <w:pPr>
            <w:pStyle w:val="TOC2"/>
            <w:tabs>
              <w:tab w:val="left" w:pos="660"/>
              <w:tab w:val="right" w:leader="dot" w:pos="9062"/>
            </w:tabs>
            <w:rPr>
              <w:rFonts w:asciiTheme="minorHAnsi" w:eastAsiaTheme="minorEastAsia" w:hAnsiTheme="minorHAnsi"/>
              <w:noProof/>
              <w:lang w:eastAsia="bg-BG"/>
            </w:rPr>
          </w:pPr>
          <w:hyperlink w:anchor="_Toc24369190" w:history="1">
            <w:r w:rsidR="003711B0" w:rsidRPr="00B7541D">
              <w:rPr>
                <w:rStyle w:val="Hyperlink"/>
                <w:rFonts w:ascii="Wingdings" w:hAnsi="Wingdings"/>
                <w:noProof/>
                <w:lang w:val="en-GB"/>
              </w:rPr>
              <w:t></w:t>
            </w:r>
            <w:r w:rsidR="003711B0">
              <w:rPr>
                <w:rFonts w:asciiTheme="minorHAnsi" w:eastAsiaTheme="minorEastAsia" w:hAnsiTheme="minorHAnsi"/>
                <w:noProof/>
                <w:lang w:eastAsia="bg-BG"/>
              </w:rPr>
              <w:tab/>
            </w:r>
            <w:r w:rsidR="003711B0" w:rsidRPr="00B7541D">
              <w:rPr>
                <w:rStyle w:val="Hyperlink"/>
                <w:noProof/>
                <w:lang w:val="en-GB"/>
              </w:rPr>
              <w:t>Research Assessment in the Transition to Open Science</w:t>
            </w:r>
            <w:r w:rsidR="003711B0">
              <w:rPr>
                <w:noProof/>
                <w:webHidden/>
              </w:rPr>
              <w:tab/>
            </w:r>
            <w:r w:rsidR="003711B0">
              <w:rPr>
                <w:noProof/>
                <w:webHidden/>
              </w:rPr>
              <w:fldChar w:fldCharType="begin"/>
            </w:r>
            <w:r w:rsidR="003711B0">
              <w:rPr>
                <w:noProof/>
                <w:webHidden/>
              </w:rPr>
              <w:instrText xml:space="preserve"> PAGEREF _Toc24369190 \h </w:instrText>
            </w:r>
            <w:r w:rsidR="003711B0">
              <w:rPr>
                <w:noProof/>
                <w:webHidden/>
              </w:rPr>
            </w:r>
            <w:r w:rsidR="003711B0">
              <w:rPr>
                <w:noProof/>
                <w:webHidden/>
              </w:rPr>
              <w:fldChar w:fldCharType="separate"/>
            </w:r>
            <w:r w:rsidR="003711B0">
              <w:rPr>
                <w:noProof/>
                <w:webHidden/>
              </w:rPr>
              <w:t>20</w:t>
            </w:r>
            <w:r w:rsidR="003711B0">
              <w:rPr>
                <w:noProof/>
                <w:webHidden/>
              </w:rPr>
              <w:fldChar w:fldCharType="end"/>
            </w:r>
          </w:hyperlink>
        </w:p>
        <w:p w14:paraId="01E5F101"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6D5B5527" w14:textId="77777777" w:rsidR="00A1024F" w:rsidRPr="00E3073C" w:rsidRDefault="001126B8" w:rsidP="00703403">
      <w:pPr>
        <w:pStyle w:val="Master-scholarship-internship"/>
        <w:rPr>
          <w:rFonts w:ascii="Times New Roman" w:hAnsi="Times New Roman" w:cs="Times New Roman"/>
        </w:rPr>
      </w:pPr>
      <w:bookmarkStart w:id="1" w:name="_Toc24369169"/>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14:paraId="63DEB64C" w14:textId="77777777" w:rsidR="0050539F" w:rsidRPr="004331F3" w:rsidRDefault="004331F3" w:rsidP="004331F3">
      <w:pPr>
        <w:pStyle w:val="Heading2"/>
      </w:pPr>
      <w:bookmarkStart w:id="2" w:name="_Toc24369170"/>
      <w:r w:rsidRPr="004331F3">
        <w:t>Конкурс за стипендии на БНБ</w:t>
      </w:r>
      <w:bookmarkEnd w:id="2"/>
    </w:p>
    <w:p w14:paraId="72047F90" w14:textId="77777777" w:rsidR="004331F3" w:rsidRDefault="0050539F" w:rsidP="00665D2B">
      <w:pPr>
        <w:spacing w:before="120" w:after="120"/>
        <w:rPr>
          <w:bCs/>
          <w:sz w:val="24"/>
          <w:szCs w:val="24"/>
        </w:rPr>
      </w:pPr>
      <w:r w:rsidRPr="0050539F">
        <w:rPr>
          <w:bCs/>
          <w:sz w:val="24"/>
          <w:szCs w:val="24"/>
        </w:rPr>
        <w:t xml:space="preserve">БНБ обявява конкурс за стипендианти за 2020 година. Ще бъдат раздадени две стипендии по 600 лв. месечно за студенти, обучаващи се за придобиване на образователно-квалификационна степен (ОКС) "магистър" и една стипендия от 800 лв. месечно за лица, обучаващи се за придобиване на образователна и научна степен (ОНС) "доктор" (докторанти). Стипендиите се изплащат 9 месеца. </w:t>
      </w:r>
    </w:p>
    <w:p w14:paraId="319E9E1E" w14:textId="77777777" w:rsidR="004331F3" w:rsidRDefault="0050539F" w:rsidP="00665D2B">
      <w:pPr>
        <w:spacing w:before="120" w:after="120"/>
        <w:rPr>
          <w:bCs/>
          <w:sz w:val="24"/>
          <w:szCs w:val="24"/>
        </w:rPr>
      </w:pPr>
      <w:r w:rsidRPr="0050539F">
        <w:rPr>
          <w:bCs/>
          <w:sz w:val="24"/>
          <w:szCs w:val="24"/>
        </w:rPr>
        <w:t xml:space="preserve">Изисквания към кандидатите: </w:t>
      </w:r>
    </w:p>
    <w:p w14:paraId="2D24A078" w14:textId="77777777" w:rsidR="004331F3" w:rsidRPr="004331F3" w:rsidRDefault="0050539F" w:rsidP="004331F3">
      <w:pPr>
        <w:pStyle w:val="ListParagraph"/>
        <w:numPr>
          <w:ilvl w:val="0"/>
          <w:numId w:val="47"/>
        </w:numPr>
        <w:spacing w:before="120" w:after="120"/>
        <w:rPr>
          <w:bCs/>
          <w:sz w:val="24"/>
          <w:szCs w:val="24"/>
        </w:rPr>
      </w:pPr>
      <w:r w:rsidRPr="004331F3">
        <w:rPr>
          <w:bCs/>
          <w:sz w:val="24"/>
          <w:szCs w:val="24"/>
        </w:rPr>
        <w:t xml:space="preserve">да са български граждани, </w:t>
      </w:r>
    </w:p>
    <w:p w14:paraId="712CDE94" w14:textId="77777777" w:rsidR="004331F3" w:rsidRPr="004331F3" w:rsidRDefault="0050539F" w:rsidP="004331F3">
      <w:pPr>
        <w:pStyle w:val="ListParagraph"/>
        <w:numPr>
          <w:ilvl w:val="0"/>
          <w:numId w:val="47"/>
        </w:numPr>
        <w:spacing w:before="120" w:after="120"/>
        <w:rPr>
          <w:bCs/>
          <w:sz w:val="24"/>
          <w:szCs w:val="24"/>
        </w:rPr>
      </w:pPr>
      <w:r w:rsidRPr="004331F3">
        <w:rPr>
          <w:bCs/>
          <w:sz w:val="24"/>
          <w:szCs w:val="24"/>
        </w:rPr>
        <w:t xml:space="preserve">към датата на кандидатстването за стипендия да са докторанти в редовна форма на обучение или студенти, обучаващи се в редовна форма за придобиване на "магистър", в акредитирани висши училища или академични институти в страната или чужбина, с подходящи за БНБ специалности. </w:t>
      </w:r>
    </w:p>
    <w:p w14:paraId="6163BC70" w14:textId="77777777" w:rsidR="004331F3" w:rsidRDefault="0050539F" w:rsidP="00665D2B">
      <w:pPr>
        <w:spacing w:before="120" w:after="120"/>
        <w:rPr>
          <w:bCs/>
          <w:sz w:val="24"/>
          <w:szCs w:val="24"/>
        </w:rPr>
      </w:pPr>
      <w:r w:rsidRPr="0050539F">
        <w:rPr>
          <w:bCs/>
          <w:sz w:val="24"/>
          <w:szCs w:val="24"/>
        </w:rPr>
        <w:t xml:space="preserve">Нужно е кандидатите да не са служители на БНБ, да не са роднини по права линия, съпрузи, роднини по съребрена линия до четвърта степен или роднини по сватовство до втора степен и да не са във фактическо съжителство с членове на Комисията за подбор и работа със стипендианти на БНБ или с членове на управителния съвет на БНБ. </w:t>
      </w:r>
    </w:p>
    <w:p w14:paraId="4A410B73" w14:textId="77777777" w:rsidR="0050539F" w:rsidRPr="0050539F" w:rsidRDefault="0050539F" w:rsidP="00665D2B">
      <w:pPr>
        <w:spacing w:before="120" w:after="120"/>
        <w:rPr>
          <w:bCs/>
          <w:sz w:val="24"/>
          <w:szCs w:val="24"/>
          <w:lang w:val="ru-RU"/>
        </w:rPr>
      </w:pPr>
      <w:r w:rsidRPr="0050539F">
        <w:rPr>
          <w:bCs/>
          <w:sz w:val="24"/>
          <w:szCs w:val="24"/>
        </w:rPr>
        <w:t xml:space="preserve">Лице, което е било стипендиант на БНБ, няма право да кандидатства отново за стипендия на БНБ, освен ако е получавало стипендия на БНБ за студент редовно обучение, обучаващ се за придобиване на ОКС "магистър" и кандидатства за стипендия като обучаващ се за придобиване на ОНС "доктор.. Пълните изисквания, начините за кандидатстване и повече информация може да намерите </w:t>
      </w:r>
      <w:hyperlink r:id="rId11" w:tgtFrame="_blank" w:history="1">
        <w:r w:rsidRPr="0050539F">
          <w:rPr>
            <w:rStyle w:val="Hyperlink"/>
            <w:bCs/>
            <w:sz w:val="24"/>
            <w:szCs w:val="24"/>
          </w:rPr>
          <w:t>тук</w:t>
        </w:r>
      </w:hyperlink>
      <w:r w:rsidRPr="0050539F">
        <w:rPr>
          <w:bCs/>
          <w:sz w:val="24"/>
          <w:szCs w:val="24"/>
        </w:rPr>
        <w:t>.</w:t>
      </w:r>
    </w:p>
    <w:p w14:paraId="3C6110CC" w14:textId="77777777" w:rsidR="0050539F" w:rsidRPr="004331F3" w:rsidRDefault="004331F3" w:rsidP="004331F3">
      <w:pPr>
        <w:spacing w:before="120" w:after="600"/>
        <w:rPr>
          <w:b/>
          <w:bCs/>
          <w:sz w:val="24"/>
          <w:szCs w:val="24"/>
          <w:lang w:val="ru-RU"/>
        </w:rPr>
      </w:pPr>
      <w:r w:rsidRPr="004331F3">
        <w:rPr>
          <w:b/>
          <w:bCs/>
          <w:sz w:val="24"/>
          <w:szCs w:val="24"/>
        </w:rPr>
        <w:t>Краен срок: 9 декември 2019</w:t>
      </w:r>
      <w:r>
        <w:rPr>
          <w:b/>
          <w:bCs/>
          <w:sz w:val="24"/>
          <w:szCs w:val="24"/>
        </w:rPr>
        <w:t xml:space="preserve"> г.</w:t>
      </w:r>
    </w:p>
    <w:p w14:paraId="72CE29AA" w14:textId="77777777" w:rsidR="00133C89" w:rsidRPr="00133C89" w:rsidRDefault="00133C89" w:rsidP="00780B9D">
      <w:pPr>
        <w:pStyle w:val="Heading2"/>
        <w:rPr>
          <w:rFonts w:eastAsia="Times New Roman"/>
          <w:lang w:eastAsia="bg-BG"/>
        </w:rPr>
      </w:pPr>
      <w:bookmarkStart w:id="3" w:name="_Toc24369171"/>
      <w:r w:rsidRPr="00133C89">
        <w:rPr>
          <w:rFonts w:eastAsia="Times New Roman"/>
          <w:lang w:eastAsia="bg-BG"/>
        </w:rPr>
        <w:t>Конкурс за докторантска стипендия на Фондация "Карол Знание"</w:t>
      </w:r>
      <w:bookmarkEnd w:id="3"/>
      <w:r w:rsidRPr="00133C89">
        <w:rPr>
          <w:rFonts w:eastAsia="Times New Roman"/>
          <w:lang w:eastAsia="bg-BG"/>
        </w:rPr>
        <w:t xml:space="preserve"> </w:t>
      </w:r>
    </w:p>
    <w:p w14:paraId="6A214A81" w14:textId="77777777"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Фондация Карол Знание обяви конкурса за докторантска стипендия в размер на 8000 лв.</w:t>
      </w:r>
    </w:p>
    <w:p w14:paraId="1A34187F" w14:textId="77777777"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Годишна докторантска стипендия в размер на 8000 лв. предоставя всяка година фондация Карол Знание. Конкурсът е отворен от началото на октомври до 22 ноември. Могат да кандидатстват редовни докторанти, които не са последна година на обучението си и работят в една от следните области: Природни науки, Инженерни науки, Разработване на нови технологии и материали или Изкуствен интелект.</w:t>
      </w:r>
    </w:p>
    <w:p w14:paraId="5B9C8D9C" w14:textId="77777777" w:rsidR="00133C89" w:rsidRPr="00133C89" w:rsidRDefault="00780B9D" w:rsidP="00133C89">
      <w:pPr>
        <w:spacing w:before="120" w:after="120"/>
        <w:rPr>
          <w:rFonts w:eastAsia="Times New Roman" w:cs="Times New Roman"/>
          <w:bCs/>
          <w:sz w:val="24"/>
          <w:szCs w:val="24"/>
          <w:lang w:eastAsia="bg-BG"/>
        </w:rPr>
      </w:pPr>
      <w:r>
        <w:rPr>
          <w:rFonts w:eastAsia="Times New Roman" w:cs="Times New Roman"/>
          <w:bCs/>
          <w:sz w:val="24"/>
          <w:szCs w:val="24"/>
          <w:lang w:eastAsia="bg-BG"/>
        </w:rPr>
        <w:t>Жури, с представител</w:t>
      </w:r>
      <w:r w:rsidR="00133C89" w:rsidRPr="00133C89">
        <w:rPr>
          <w:rFonts w:eastAsia="Times New Roman" w:cs="Times New Roman"/>
          <w:bCs/>
          <w:sz w:val="24"/>
          <w:szCs w:val="24"/>
          <w:lang w:eastAsia="bg-BG"/>
        </w:rPr>
        <w:t>и на различни научни сфери, селектира кандидатурите. Трима финалисти презентират през декември и тогава се определя кой ще спечели финансова подкрепа за 2020 г.</w:t>
      </w:r>
    </w:p>
    <w:p w14:paraId="1FF192D5" w14:textId="77777777"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lastRenderedPageBreak/>
        <w:t xml:space="preserve">Докторантската стипендия е персонална и се връчва на изявен докторант от 2012 година от името на финансова група </w:t>
      </w:r>
      <w:r w:rsidR="00780B9D">
        <w:rPr>
          <w:rFonts w:eastAsia="Times New Roman" w:cs="Times New Roman"/>
          <w:bCs/>
          <w:sz w:val="24"/>
          <w:szCs w:val="24"/>
          <w:lang w:eastAsia="bg-BG"/>
        </w:rPr>
        <w:t>„</w:t>
      </w:r>
      <w:r w:rsidRPr="00133C89">
        <w:rPr>
          <w:rFonts w:eastAsia="Times New Roman" w:cs="Times New Roman"/>
          <w:bCs/>
          <w:sz w:val="24"/>
          <w:szCs w:val="24"/>
          <w:lang w:eastAsia="bg-BG"/>
        </w:rPr>
        <w:t>Карол</w:t>
      </w:r>
      <w:r w:rsidR="00780B9D">
        <w:rPr>
          <w:rFonts w:eastAsia="Times New Roman" w:cs="Times New Roman"/>
          <w:bCs/>
          <w:sz w:val="24"/>
          <w:szCs w:val="24"/>
          <w:lang w:eastAsia="bg-BG"/>
        </w:rPr>
        <w:t>“</w:t>
      </w:r>
      <w:r w:rsidRPr="00133C89">
        <w:rPr>
          <w:rFonts w:eastAsia="Times New Roman" w:cs="Times New Roman"/>
          <w:bCs/>
          <w:sz w:val="24"/>
          <w:szCs w:val="24"/>
          <w:lang w:eastAsia="bg-BG"/>
        </w:rPr>
        <w:t xml:space="preserve">. След учредяването на фондация </w:t>
      </w:r>
      <w:r w:rsidR="00780B9D">
        <w:rPr>
          <w:rFonts w:eastAsia="Times New Roman" w:cs="Times New Roman"/>
          <w:bCs/>
          <w:sz w:val="24"/>
          <w:szCs w:val="24"/>
          <w:lang w:eastAsia="bg-BG"/>
        </w:rPr>
        <w:t>„</w:t>
      </w:r>
      <w:r w:rsidRPr="00133C89">
        <w:rPr>
          <w:rFonts w:eastAsia="Times New Roman" w:cs="Times New Roman"/>
          <w:bCs/>
          <w:sz w:val="24"/>
          <w:szCs w:val="24"/>
          <w:lang w:eastAsia="bg-BG"/>
        </w:rPr>
        <w:t>Карол Знание</w:t>
      </w:r>
      <w:r w:rsidR="00780B9D">
        <w:rPr>
          <w:rFonts w:eastAsia="Times New Roman" w:cs="Times New Roman"/>
          <w:bCs/>
          <w:sz w:val="24"/>
          <w:szCs w:val="24"/>
          <w:lang w:eastAsia="bg-BG"/>
        </w:rPr>
        <w:t>“</w:t>
      </w:r>
      <w:r w:rsidRPr="00133C89">
        <w:rPr>
          <w:rFonts w:eastAsia="Times New Roman" w:cs="Times New Roman"/>
          <w:bCs/>
          <w:sz w:val="24"/>
          <w:szCs w:val="24"/>
          <w:lang w:eastAsia="bg-BG"/>
        </w:rPr>
        <w:t xml:space="preserve"> стипендията се предоставя от името на фондацията. </w:t>
      </w:r>
    </w:p>
    <w:p w14:paraId="119AC435" w14:textId="77777777" w:rsidR="00133C89" w:rsidRP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Носител на стипендията за 2019 г. е инж. Галина Соколова, редовен докторант в УАСГ, катедра „Масивни конструкции“. От отличените млади учени досега, най-много са докторантите на СУ „Св. Климент Охридски“ – трима, двама са от УАСГ и по един от Техническия университет в София и Медицинския университет в София.</w:t>
      </w:r>
    </w:p>
    <w:p w14:paraId="7965DC06" w14:textId="77777777" w:rsidR="00133C89" w:rsidRDefault="00133C89" w:rsidP="00133C89">
      <w:pPr>
        <w:spacing w:before="120" w:after="120"/>
        <w:rPr>
          <w:rFonts w:eastAsia="Times New Roman" w:cs="Times New Roman"/>
          <w:bCs/>
          <w:sz w:val="24"/>
          <w:szCs w:val="24"/>
          <w:lang w:eastAsia="bg-BG"/>
        </w:rPr>
      </w:pPr>
      <w:r w:rsidRPr="00133C89">
        <w:rPr>
          <w:rFonts w:eastAsia="Times New Roman" w:cs="Times New Roman"/>
          <w:bCs/>
          <w:sz w:val="24"/>
          <w:szCs w:val="24"/>
          <w:lang w:eastAsia="bg-BG"/>
        </w:rPr>
        <w:t xml:space="preserve">Още подробности и как да кандидатствате, вижте </w:t>
      </w:r>
      <w:hyperlink r:id="rId12" w:tgtFrame="_blank" w:history="1">
        <w:r w:rsidRPr="00133C89">
          <w:rPr>
            <w:rStyle w:val="Hyperlink"/>
            <w:rFonts w:eastAsia="Times New Roman" w:cs="Times New Roman"/>
            <w:bCs/>
            <w:sz w:val="24"/>
            <w:szCs w:val="24"/>
            <w:lang w:eastAsia="bg-BG"/>
          </w:rPr>
          <w:t>тук</w:t>
        </w:r>
      </w:hyperlink>
      <w:r w:rsidRPr="00133C89">
        <w:rPr>
          <w:rFonts w:eastAsia="Times New Roman" w:cs="Times New Roman"/>
          <w:bCs/>
          <w:sz w:val="24"/>
          <w:szCs w:val="24"/>
          <w:lang w:eastAsia="bg-BG"/>
        </w:rPr>
        <w:t>.</w:t>
      </w:r>
    </w:p>
    <w:p w14:paraId="53B6C9EA" w14:textId="77777777" w:rsidR="00780B9D" w:rsidRPr="003473BD" w:rsidRDefault="00780B9D" w:rsidP="00780B9D">
      <w:pPr>
        <w:spacing w:before="120" w:after="480"/>
        <w:rPr>
          <w:rFonts w:eastAsia="Times New Roman" w:cs="Times New Roman"/>
          <w:b/>
          <w:bCs/>
          <w:sz w:val="24"/>
          <w:szCs w:val="24"/>
          <w:lang w:val="ru-RU" w:eastAsia="bg-BG"/>
        </w:rPr>
      </w:pPr>
      <w:r w:rsidRPr="00780B9D">
        <w:rPr>
          <w:rFonts w:eastAsia="Times New Roman" w:cs="Times New Roman"/>
          <w:b/>
          <w:bCs/>
          <w:sz w:val="24"/>
          <w:szCs w:val="24"/>
          <w:lang w:eastAsia="bg-BG"/>
        </w:rPr>
        <w:t>Краен срок: 22 ноември 2019 г.</w:t>
      </w:r>
    </w:p>
    <w:p w14:paraId="266CFA0A" w14:textId="77777777" w:rsidR="00524771" w:rsidRPr="00524771" w:rsidRDefault="00556D80" w:rsidP="00556D80">
      <w:pPr>
        <w:pStyle w:val="Heading2"/>
        <w:rPr>
          <w:rFonts w:eastAsia="Times New Roman"/>
          <w:lang w:val="ru-RU" w:eastAsia="bg-BG"/>
        </w:rPr>
      </w:pPr>
      <w:bookmarkStart w:id="4" w:name="_Toc24369172"/>
      <w:r>
        <w:rPr>
          <w:rFonts w:eastAsia="Times New Roman"/>
          <w:lang w:val="ru-RU" w:eastAsia="bg-BG"/>
        </w:rPr>
        <w:t>Конкурс за стипендии “Форцхаймер”за утвърдени български у</w:t>
      </w:r>
      <w:r w:rsidRPr="00524771">
        <w:rPr>
          <w:rFonts w:eastAsia="Times New Roman"/>
          <w:lang w:val="ru-RU" w:eastAsia="bg-BG"/>
        </w:rPr>
        <w:t>чени</w:t>
      </w:r>
      <w:bookmarkEnd w:id="4"/>
      <w:r w:rsidRPr="00524771">
        <w:rPr>
          <w:rFonts w:eastAsia="Times New Roman"/>
          <w:lang w:val="ru-RU" w:eastAsia="bg-BG"/>
        </w:rPr>
        <w:t xml:space="preserve"> </w:t>
      </w:r>
    </w:p>
    <w:p w14:paraId="3DC117EA" w14:textId="77777777" w:rsidR="00556D80" w:rsidRPr="00556D80" w:rsidRDefault="00556D80" w:rsidP="003E252D">
      <w:pPr>
        <w:spacing w:before="120" w:after="120"/>
        <w:rPr>
          <w:rFonts w:eastAsia="Times New Roman" w:cs="Times New Roman"/>
          <w:bCs/>
          <w:sz w:val="24"/>
          <w:szCs w:val="24"/>
          <w:lang w:val="ru-RU" w:eastAsia="bg-BG"/>
        </w:rPr>
      </w:pPr>
      <w:r>
        <w:rPr>
          <w:rFonts w:eastAsia="Times New Roman" w:cs="Times New Roman"/>
          <w:bCs/>
          <w:sz w:val="24"/>
          <w:szCs w:val="24"/>
          <w:lang w:val="ru-RU" w:eastAsia="bg-BG"/>
        </w:rPr>
        <w:t xml:space="preserve">Конкурсът е към програма </w:t>
      </w:r>
      <w:r w:rsidR="00524771" w:rsidRPr="00524771">
        <w:rPr>
          <w:rFonts w:eastAsia="Times New Roman" w:cs="Times New Roman"/>
          <w:bCs/>
          <w:i/>
          <w:iCs/>
          <w:sz w:val="24"/>
          <w:szCs w:val="24"/>
          <w:lang w:val="en" w:eastAsia="bg-BG"/>
        </w:rPr>
        <w:t>ADVANCED</w:t>
      </w:r>
      <w:r w:rsidR="00524771" w:rsidRPr="00524771">
        <w:rPr>
          <w:rFonts w:eastAsia="Times New Roman" w:cs="Times New Roman"/>
          <w:bCs/>
          <w:i/>
          <w:iCs/>
          <w:sz w:val="24"/>
          <w:szCs w:val="24"/>
          <w:lang w:val="ru-RU" w:eastAsia="bg-BG"/>
        </w:rPr>
        <w:t xml:space="preserve"> </w:t>
      </w:r>
      <w:r w:rsidR="00524771" w:rsidRPr="00524771">
        <w:rPr>
          <w:rFonts w:eastAsia="Times New Roman" w:cs="Times New Roman"/>
          <w:bCs/>
          <w:i/>
          <w:iCs/>
          <w:sz w:val="24"/>
          <w:szCs w:val="24"/>
          <w:lang w:val="en" w:eastAsia="bg-BG"/>
        </w:rPr>
        <w:t>ACADEMIA</w:t>
      </w:r>
      <w:r w:rsidR="00524771" w:rsidRPr="00524771">
        <w:rPr>
          <w:rFonts w:eastAsia="Times New Roman" w:cs="Times New Roman"/>
          <w:bCs/>
          <w:sz w:val="24"/>
          <w:szCs w:val="24"/>
          <w:lang w:val="ru-RU" w:eastAsia="bg-BG"/>
        </w:rPr>
        <w:t xml:space="preserve"> </w:t>
      </w:r>
      <w:r>
        <w:rPr>
          <w:rFonts w:eastAsia="Times New Roman" w:cs="Times New Roman"/>
          <w:bCs/>
          <w:sz w:val="24"/>
          <w:szCs w:val="24"/>
          <w:lang w:val="ru-RU" w:eastAsia="bg-BG"/>
        </w:rPr>
        <w:t>на Ц</w:t>
      </w:r>
      <w:r w:rsidRPr="00524771">
        <w:rPr>
          <w:rFonts w:eastAsia="Times New Roman" w:cs="Times New Roman"/>
          <w:bCs/>
          <w:sz w:val="24"/>
          <w:szCs w:val="24"/>
          <w:lang w:val="ru-RU" w:eastAsia="bg-BG"/>
        </w:rPr>
        <w:t>ентър</w:t>
      </w:r>
      <w:r>
        <w:rPr>
          <w:rFonts w:eastAsia="Times New Roman" w:cs="Times New Roman"/>
          <w:bCs/>
          <w:sz w:val="24"/>
          <w:szCs w:val="24"/>
          <w:lang w:val="ru-RU" w:eastAsia="bg-BG"/>
        </w:rPr>
        <w:t>а</w:t>
      </w:r>
      <w:r w:rsidRPr="00524771">
        <w:rPr>
          <w:rFonts w:eastAsia="Times New Roman" w:cs="Times New Roman"/>
          <w:bCs/>
          <w:sz w:val="24"/>
          <w:szCs w:val="24"/>
          <w:lang w:val="ru-RU" w:eastAsia="bg-BG"/>
        </w:rPr>
        <w:t xml:space="preserve"> за академични изследвания </w:t>
      </w:r>
      <w:r w:rsidR="00524771" w:rsidRPr="00524771">
        <w:rPr>
          <w:rFonts w:eastAsia="Times New Roman" w:cs="Times New Roman"/>
          <w:bCs/>
          <w:sz w:val="24"/>
          <w:szCs w:val="24"/>
          <w:lang w:val="ru-RU" w:eastAsia="bg-BG"/>
        </w:rPr>
        <w:t xml:space="preserve">в областта на хуманитарните и социалните науки </w:t>
      </w:r>
      <w:r w:rsidRPr="00556D80">
        <w:rPr>
          <w:rFonts w:eastAsia="Times New Roman" w:cs="Times New Roman"/>
          <w:bCs/>
          <w:sz w:val="24"/>
          <w:szCs w:val="24"/>
          <w:lang w:val="ru-RU" w:eastAsia="bg-BG"/>
        </w:rPr>
        <w:t>(</w:t>
      </w:r>
      <w:r w:rsidR="00524771" w:rsidRPr="00524771">
        <w:rPr>
          <w:rFonts w:eastAsia="Times New Roman" w:cs="Times New Roman"/>
          <w:bCs/>
          <w:sz w:val="24"/>
          <w:szCs w:val="24"/>
          <w:lang w:val="en" w:eastAsia="bg-BG"/>
        </w:rPr>
        <w:t>PFORZHEIMER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SENIOR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FELLOWSHIPS</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IN</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ADVANCED</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ACADEMIA</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PROGRAM</w:t>
      </w:r>
      <w:r w:rsidRPr="00556D80">
        <w:rPr>
          <w:rFonts w:eastAsia="Times New Roman" w:cs="Times New Roman"/>
          <w:bCs/>
          <w:sz w:val="24"/>
          <w:szCs w:val="24"/>
          <w:lang w:val="ru-RU" w:eastAsia="bg-BG"/>
        </w:rPr>
        <w:t>)</w:t>
      </w:r>
    </w:p>
    <w:p w14:paraId="33BF5462" w14:textId="77777777"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556D80">
        <w:rPr>
          <w:rFonts w:eastAsia="Times New Roman" w:cs="Times New Roman"/>
          <w:bCs/>
          <w:sz w:val="24"/>
          <w:szCs w:val="24"/>
          <w:lang w:val="ru-RU" w:eastAsia="bg-BG"/>
        </w:rPr>
        <w:t>области</w:t>
      </w:r>
      <w:r w:rsidRPr="00524771">
        <w:rPr>
          <w:rFonts w:eastAsia="Times New Roman" w:cs="Times New Roman"/>
          <w:bCs/>
          <w:sz w:val="24"/>
          <w:szCs w:val="24"/>
          <w:lang w:val="ru-RU" w:eastAsia="bg-BG"/>
        </w:rPr>
        <w:t>.</w:t>
      </w:r>
    </w:p>
    <w:p w14:paraId="4E150E6A" w14:textId="77777777"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r w:rsidR="00556D80">
        <w:rPr>
          <w:rFonts w:eastAsia="Times New Roman" w:cs="Times New Roman"/>
          <w:bCs/>
          <w:sz w:val="24"/>
          <w:szCs w:val="24"/>
          <w:lang w:val="ru-RU" w:eastAsia="bg-BG"/>
        </w:rPr>
        <w:t xml:space="preserve"> </w:t>
      </w:r>
      <w:r w:rsidRPr="00524771">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14:paraId="18D6D80B" w14:textId="77777777" w:rsidR="00524771" w:rsidRP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Стипендиите за утвърдени български учени (</w:t>
      </w:r>
      <w:r w:rsidRPr="00524771">
        <w:rPr>
          <w:rFonts w:eastAsia="Times New Roman" w:cs="Times New Roman"/>
          <w:bCs/>
          <w:sz w:val="24"/>
          <w:szCs w:val="24"/>
          <w:lang w:val="en" w:eastAsia="bg-BG"/>
        </w:rPr>
        <w:t>Pforzheimer</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Senior</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Fellowships</w:t>
      </w:r>
      <w:r w:rsidRPr="00524771">
        <w:rPr>
          <w:rFonts w:eastAsia="Times New Roman" w:cs="Times New Roman"/>
          <w:bCs/>
          <w:sz w:val="24"/>
          <w:szCs w:val="24"/>
          <w:lang w:val="ru-RU" w:eastAsia="bg-BG"/>
        </w:rPr>
        <w:t xml:space="preserve">) се финансират и носят името на американския филантроп г-н Карл </w:t>
      </w:r>
      <w:r w:rsidRPr="00524771">
        <w:rPr>
          <w:rFonts w:eastAsia="Times New Roman" w:cs="Times New Roman"/>
          <w:bCs/>
          <w:sz w:val="24"/>
          <w:szCs w:val="24"/>
          <w:lang w:val="en" w:eastAsia="bg-BG"/>
        </w:rPr>
        <w:t>X</w:t>
      </w:r>
      <w:r w:rsidRPr="00524771">
        <w:rPr>
          <w:rFonts w:eastAsia="Times New Roman" w:cs="Times New Roman"/>
          <w:bCs/>
          <w:sz w:val="24"/>
          <w:szCs w:val="24"/>
          <w:lang w:val="ru-RU" w:eastAsia="bg-BG"/>
        </w:rPr>
        <w:t xml:space="preserve">. Форцхаймер </w:t>
      </w:r>
      <w:r w:rsidRPr="00524771">
        <w:rPr>
          <w:rFonts w:eastAsia="Times New Roman" w:cs="Times New Roman"/>
          <w:bCs/>
          <w:sz w:val="24"/>
          <w:szCs w:val="24"/>
          <w:lang w:val="en" w:eastAsia="bg-BG"/>
        </w:rPr>
        <w:t>III</w:t>
      </w:r>
      <w:r w:rsidRPr="00524771">
        <w:rPr>
          <w:rFonts w:eastAsia="Times New Roman" w:cs="Times New Roman"/>
          <w:bCs/>
          <w:sz w:val="24"/>
          <w:szCs w:val="24"/>
          <w:lang w:val="ru-RU" w:eastAsia="bg-BG"/>
        </w:rPr>
        <w:t xml:space="preserve">, библиофил и спомоществовател на Центъра за академични изследвания София. </w:t>
      </w:r>
      <w:r w:rsidRPr="00556D80">
        <w:rPr>
          <w:rFonts w:eastAsia="Times New Roman" w:cs="Times New Roman"/>
          <w:bCs/>
          <w:sz w:val="24"/>
          <w:szCs w:val="24"/>
          <w:lang w:val="ru-RU" w:eastAsia="bg-BG"/>
        </w:rPr>
        <w:t xml:space="preserve">Центърът предоставя: </w:t>
      </w:r>
    </w:p>
    <w:p w14:paraId="052AE82E" w14:textId="77777777" w:rsidR="00524771" w:rsidRPr="00524771" w:rsidRDefault="00524771" w:rsidP="003E252D">
      <w:pPr>
        <w:numPr>
          <w:ilvl w:val="0"/>
          <w:numId w:val="39"/>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Три 5-месечни стипендии на утвърдени български изследователи и преподаватели в размер на 1000 евро месечно;</w:t>
      </w:r>
    </w:p>
    <w:p w14:paraId="5A19D971" w14:textId="77777777" w:rsidR="00524771" w:rsidRPr="00524771" w:rsidRDefault="00524771" w:rsidP="003E252D">
      <w:pPr>
        <w:numPr>
          <w:ilvl w:val="0"/>
          <w:numId w:val="39"/>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Стипендията се предоставя за периода от 1 октомври 2020 до 28 февруари 2021 г. или от 1 март 2021 до 30 юли 2021 г. </w:t>
      </w:r>
    </w:p>
    <w:p w14:paraId="2CB7AEC0" w14:textId="77777777"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 </w:t>
      </w:r>
    </w:p>
    <w:p w14:paraId="1DB7C867"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УСЛОВИЯ ЗА УЧАСТИЕ:</w:t>
      </w:r>
    </w:p>
    <w:p w14:paraId="2E8FEA4A" w14:textId="77777777" w:rsidR="00524771" w:rsidRPr="00524771" w:rsidRDefault="00524771" w:rsidP="003E252D">
      <w:pPr>
        <w:numPr>
          <w:ilvl w:val="0"/>
          <w:numId w:val="40"/>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lastRenderedPageBreak/>
        <w:t>Кандидатите да са български граждани и да имат защитена докторска дисертация;</w:t>
      </w:r>
    </w:p>
    <w:p w14:paraId="621BEEAD" w14:textId="77777777" w:rsidR="00524771" w:rsidRPr="00524771" w:rsidRDefault="00524771" w:rsidP="003E252D">
      <w:pPr>
        <w:numPr>
          <w:ilvl w:val="0"/>
          <w:numId w:val="40"/>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са доценти или професори с научен стаж над 12 години след защита на докторската дисертация;</w:t>
      </w:r>
    </w:p>
    <w:p w14:paraId="64A03BDC" w14:textId="77777777" w:rsidR="00524771" w:rsidRPr="00524771" w:rsidRDefault="00524771" w:rsidP="003E252D">
      <w:pPr>
        <w:numPr>
          <w:ilvl w:val="0"/>
          <w:numId w:val="40"/>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имат публикувани поне две авторски монографии;</w:t>
      </w:r>
    </w:p>
    <w:p w14:paraId="72255F07" w14:textId="77777777" w:rsidR="00524771" w:rsidRPr="00524771" w:rsidRDefault="00524771" w:rsidP="003E252D">
      <w:pPr>
        <w:numPr>
          <w:ilvl w:val="0"/>
          <w:numId w:val="40"/>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владеят отлично английски език;</w:t>
      </w:r>
    </w:p>
    <w:p w14:paraId="1EBB9644" w14:textId="77777777" w:rsidR="00524771" w:rsidRPr="00524771" w:rsidRDefault="00524771" w:rsidP="003E252D">
      <w:pPr>
        <w:numPr>
          <w:ilvl w:val="0"/>
          <w:numId w:val="40"/>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14:paraId="1D8078F6" w14:textId="77777777"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 </w:t>
      </w:r>
    </w:p>
    <w:p w14:paraId="64AD2911"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 xml:space="preserve">Документи за кандидатстване: </w:t>
      </w:r>
    </w:p>
    <w:p w14:paraId="620D57C0" w14:textId="77777777" w:rsidR="00524771" w:rsidRPr="00524771" w:rsidRDefault="0030675B" w:rsidP="003E252D">
      <w:pPr>
        <w:numPr>
          <w:ilvl w:val="0"/>
          <w:numId w:val="41"/>
        </w:numPr>
        <w:spacing w:before="120" w:after="120"/>
        <w:rPr>
          <w:rFonts w:eastAsia="Times New Roman" w:cs="Times New Roman"/>
          <w:bCs/>
          <w:sz w:val="24"/>
          <w:szCs w:val="24"/>
          <w:lang w:val="en" w:eastAsia="bg-BG"/>
        </w:rPr>
      </w:pPr>
      <w:hyperlink r:id="rId13" w:history="1">
        <w:r w:rsidR="00524771" w:rsidRPr="00524771">
          <w:rPr>
            <w:rStyle w:val="Hyperlink"/>
            <w:rFonts w:eastAsia="Times New Roman" w:cs="Times New Roman"/>
            <w:bCs/>
            <w:sz w:val="24"/>
            <w:szCs w:val="24"/>
            <w:lang w:val="en" w:eastAsia="bg-BG"/>
          </w:rPr>
          <w:t>Формуляр за кандидатстване</w:t>
        </w:r>
      </w:hyperlink>
      <w:r w:rsidR="00524771" w:rsidRPr="00524771">
        <w:rPr>
          <w:rFonts w:eastAsia="Times New Roman" w:cs="Times New Roman"/>
          <w:bCs/>
          <w:sz w:val="24"/>
          <w:szCs w:val="24"/>
          <w:lang w:val="en" w:eastAsia="bg-BG"/>
        </w:rPr>
        <w:t>;</w:t>
      </w:r>
    </w:p>
    <w:p w14:paraId="34EC5424" w14:textId="77777777" w:rsidR="00524771" w:rsidRPr="00524771" w:rsidRDefault="0030675B" w:rsidP="003E252D">
      <w:pPr>
        <w:numPr>
          <w:ilvl w:val="0"/>
          <w:numId w:val="41"/>
        </w:numPr>
        <w:spacing w:before="120" w:after="120"/>
        <w:rPr>
          <w:rFonts w:eastAsia="Times New Roman" w:cs="Times New Roman"/>
          <w:bCs/>
          <w:sz w:val="24"/>
          <w:szCs w:val="24"/>
          <w:lang w:val="ru-RU" w:eastAsia="bg-BG"/>
        </w:rPr>
      </w:pPr>
      <w:hyperlink r:id="rId14" w:history="1">
        <w:r w:rsidR="00524771" w:rsidRPr="00524771">
          <w:rPr>
            <w:rStyle w:val="Hyperlink"/>
            <w:rFonts w:eastAsia="Times New Roman" w:cs="Times New Roman"/>
            <w:bCs/>
            <w:sz w:val="24"/>
            <w:szCs w:val="24"/>
            <w:lang w:val="ru-RU" w:eastAsia="bg-BG"/>
          </w:rPr>
          <w:t>Препоръки при изготвянето на изследователския проект</w:t>
        </w:r>
      </w:hyperlink>
      <w:r w:rsidR="00524771" w:rsidRPr="00524771">
        <w:rPr>
          <w:rFonts w:eastAsia="Times New Roman" w:cs="Times New Roman"/>
          <w:bCs/>
          <w:sz w:val="24"/>
          <w:szCs w:val="24"/>
          <w:lang w:val="ru-RU" w:eastAsia="bg-BG"/>
        </w:rPr>
        <w:t>;</w:t>
      </w:r>
    </w:p>
    <w:p w14:paraId="6964B86D" w14:textId="77777777" w:rsidR="00524771" w:rsidRPr="00524771" w:rsidRDefault="0030675B" w:rsidP="003E252D">
      <w:pPr>
        <w:numPr>
          <w:ilvl w:val="0"/>
          <w:numId w:val="41"/>
        </w:numPr>
        <w:spacing w:before="120" w:after="120"/>
        <w:rPr>
          <w:rFonts w:eastAsia="Times New Roman" w:cs="Times New Roman"/>
          <w:bCs/>
          <w:sz w:val="24"/>
          <w:szCs w:val="24"/>
          <w:lang w:val="en" w:eastAsia="bg-BG"/>
        </w:rPr>
      </w:pPr>
      <w:hyperlink r:id="rId15" w:history="1">
        <w:r w:rsidR="00524771" w:rsidRPr="00524771">
          <w:rPr>
            <w:rStyle w:val="Hyperlink"/>
            <w:rFonts w:eastAsia="Times New Roman" w:cs="Times New Roman"/>
            <w:bCs/>
            <w:sz w:val="24"/>
            <w:szCs w:val="24"/>
            <w:lang w:val="en" w:eastAsia="bg-BG"/>
          </w:rPr>
          <w:t>Check-list</w:t>
        </w:r>
      </w:hyperlink>
      <w:r w:rsidR="00524771" w:rsidRPr="00524771">
        <w:rPr>
          <w:rFonts w:eastAsia="Times New Roman" w:cs="Times New Roman"/>
          <w:bCs/>
          <w:sz w:val="24"/>
          <w:szCs w:val="24"/>
          <w:lang w:val="en" w:eastAsia="bg-BG"/>
        </w:rPr>
        <w:t xml:space="preserve"> .</w:t>
      </w:r>
    </w:p>
    <w:p w14:paraId="58041526" w14:textId="77777777" w:rsidR="003E252D" w:rsidRDefault="00524771" w:rsidP="003E252D">
      <w:pPr>
        <w:spacing w:before="120" w:after="120"/>
        <w:rPr>
          <w:rFonts w:eastAsia="Times New Roman" w:cs="Times New Roman"/>
          <w:bCs/>
          <w:sz w:val="24"/>
          <w:szCs w:val="24"/>
          <w:lang w:eastAsia="bg-BG"/>
        </w:rPr>
      </w:pPr>
      <w:r w:rsidRPr="00524771">
        <w:rPr>
          <w:rFonts w:eastAsia="Times New Roman" w:cs="Times New Roman"/>
          <w:bCs/>
          <w:sz w:val="24"/>
          <w:szCs w:val="24"/>
          <w:lang w:val="ru-RU" w:eastAsia="bg-BG"/>
        </w:rPr>
        <w:t xml:space="preserve">Те трябва да бъдат попълнени на английски език. Изпращат се по електронна поща на адрес: </w:t>
      </w:r>
      <w:hyperlink r:id="rId16" w:history="1">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bg</w:t>
        </w:r>
      </w:hyperlink>
      <w:r w:rsidRPr="00524771">
        <w:rPr>
          <w:rFonts w:eastAsia="Times New Roman" w:cs="Times New Roman"/>
          <w:bCs/>
          <w:sz w:val="24"/>
          <w:szCs w:val="24"/>
          <w:lang w:val="ru-RU" w:eastAsia="bg-BG"/>
        </w:rPr>
        <w:t xml:space="preserve"> с тема на съобщението: </w:t>
      </w:r>
      <w:r w:rsidRPr="00524771">
        <w:rPr>
          <w:rFonts w:eastAsia="Times New Roman" w:cs="Times New Roman"/>
          <w:bCs/>
          <w:sz w:val="24"/>
          <w:szCs w:val="24"/>
          <w:lang w:val="en" w:eastAsia="bg-BG"/>
        </w:rPr>
        <w:t>Advanced</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Academia</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w:t>
      </w:r>
      <w:r w:rsidRPr="00524771">
        <w:rPr>
          <w:rFonts w:eastAsia="Times New Roman" w:cs="Times New Roman"/>
          <w:bCs/>
          <w:sz w:val="24"/>
          <w:szCs w:val="24"/>
          <w:lang w:val="ru-RU" w:eastAsia="bg-BG"/>
        </w:rPr>
        <w:br/>
      </w:r>
    </w:p>
    <w:p w14:paraId="2FAC2DB2"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КРИТЕРИИ ЗА ОЦЕНКА:</w:t>
      </w:r>
    </w:p>
    <w:p w14:paraId="7B61C5CD" w14:textId="77777777" w:rsidR="00524771" w:rsidRPr="00556D80" w:rsidRDefault="00524771" w:rsidP="00556D80">
      <w:pPr>
        <w:pStyle w:val="ListParagraph"/>
        <w:numPr>
          <w:ilvl w:val="0"/>
          <w:numId w:val="48"/>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високо качество на академичното портфолио и публикациите на кандидата; участие в международни проекти;</w:t>
      </w:r>
    </w:p>
    <w:p w14:paraId="70EE35E4" w14:textId="77777777" w:rsidR="00524771" w:rsidRPr="00556D80" w:rsidRDefault="00524771" w:rsidP="00556D80">
      <w:pPr>
        <w:pStyle w:val="ListParagraph"/>
        <w:numPr>
          <w:ilvl w:val="0"/>
          <w:numId w:val="48"/>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оригинален и иновативен изследователски проект със съществен принос;</w:t>
      </w:r>
    </w:p>
    <w:p w14:paraId="7D9665BC" w14:textId="77777777" w:rsidR="00524771" w:rsidRPr="00556D80" w:rsidRDefault="00524771" w:rsidP="00556D80">
      <w:pPr>
        <w:pStyle w:val="ListParagraph"/>
        <w:numPr>
          <w:ilvl w:val="0"/>
          <w:numId w:val="48"/>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 xml:space="preserve">предимство имат проекти с интердисциплинарен и/или сравнителен подход.. </w:t>
      </w:r>
    </w:p>
    <w:p w14:paraId="0DC9CB85" w14:textId="77777777" w:rsidR="00DE35ED" w:rsidRPr="00DE35ED" w:rsidRDefault="00DE35ED" w:rsidP="003E252D">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и кандидатстване </w:t>
      </w:r>
      <w:hyperlink r:id="rId17" w:history="1">
        <w:r w:rsidRPr="00DE35ED">
          <w:rPr>
            <w:rStyle w:val="Hyperlink"/>
            <w:rFonts w:eastAsia="Times New Roman" w:cs="Times New Roman"/>
            <w:bCs/>
            <w:sz w:val="24"/>
            <w:szCs w:val="24"/>
            <w:lang w:eastAsia="bg-BG"/>
          </w:rPr>
          <w:t>ТУК</w:t>
        </w:r>
      </w:hyperlink>
    </w:p>
    <w:p w14:paraId="1191684A" w14:textId="77777777" w:rsidR="00524771" w:rsidRPr="00DE35ED"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контакти:Димитър Димов, </w:t>
      </w:r>
      <w:r w:rsidRPr="00524771">
        <w:rPr>
          <w:rFonts w:eastAsia="Times New Roman" w:cs="Times New Roman"/>
          <w:bCs/>
          <w:sz w:val="24"/>
          <w:szCs w:val="24"/>
          <w:lang w:val="en" w:eastAsia="bg-BG"/>
        </w:rPr>
        <w:t>e</w:t>
      </w:r>
      <w:r w:rsidRPr="00524771">
        <w:rPr>
          <w:rFonts w:eastAsia="Times New Roman" w:cs="Times New Roman"/>
          <w:bCs/>
          <w:sz w:val="24"/>
          <w:szCs w:val="24"/>
          <w:lang w:val="ru-RU" w:eastAsia="bg-BG"/>
        </w:rPr>
        <w:t>-</w:t>
      </w:r>
      <w:r w:rsidRPr="00524771">
        <w:rPr>
          <w:rFonts w:eastAsia="Times New Roman" w:cs="Times New Roman"/>
          <w:bCs/>
          <w:sz w:val="24"/>
          <w:szCs w:val="24"/>
          <w:lang w:val="en" w:eastAsia="bg-BG"/>
        </w:rPr>
        <w:t>mail</w:t>
      </w:r>
      <w:r w:rsidRPr="00524771">
        <w:rPr>
          <w:rFonts w:eastAsia="Times New Roman" w:cs="Times New Roman"/>
          <w:bCs/>
          <w:sz w:val="24"/>
          <w:szCs w:val="24"/>
          <w:lang w:val="ru-RU" w:eastAsia="bg-BG"/>
        </w:rPr>
        <w:t xml:space="preserve">: </w:t>
      </w:r>
      <w:hyperlink r:id="rId18" w:history="1">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bg</w:t>
        </w:r>
      </w:hyperlink>
      <w:r w:rsidRPr="00524771">
        <w:rPr>
          <w:rFonts w:eastAsia="Times New Roman" w:cs="Times New Roman"/>
          <w:bCs/>
          <w:sz w:val="24"/>
          <w:szCs w:val="24"/>
          <w:lang w:val="ru-RU" w:eastAsia="bg-BG"/>
        </w:rPr>
        <w:t xml:space="preserve"> , София 1000, ул. </w:t>
      </w:r>
      <w:r w:rsidRPr="00DE35ED">
        <w:rPr>
          <w:rFonts w:eastAsia="Times New Roman" w:cs="Times New Roman"/>
          <w:bCs/>
          <w:sz w:val="24"/>
          <w:szCs w:val="24"/>
          <w:lang w:val="ru-RU" w:eastAsia="bg-BG"/>
        </w:rPr>
        <w:t>Стефан Караджа 7 вх. В ет.</w:t>
      </w:r>
      <w:r w:rsidRPr="00524771">
        <w:rPr>
          <w:rFonts w:eastAsia="Times New Roman" w:cs="Times New Roman"/>
          <w:bCs/>
          <w:sz w:val="24"/>
          <w:szCs w:val="24"/>
          <w:lang w:val="en" w:eastAsia="bg-BG"/>
        </w:rPr>
        <w:t>II</w:t>
      </w:r>
      <w:r w:rsidR="00556D80">
        <w:rPr>
          <w:rFonts w:eastAsia="Times New Roman" w:cs="Times New Roman"/>
          <w:bCs/>
          <w:sz w:val="24"/>
          <w:szCs w:val="24"/>
          <w:lang w:eastAsia="bg-BG"/>
        </w:rPr>
        <w:t xml:space="preserve">, </w:t>
      </w:r>
      <w:r w:rsidRPr="00DE35ED">
        <w:rPr>
          <w:rFonts w:eastAsia="Times New Roman" w:cs="Times New Roman"/>
          <w:bCs/>
          <w:sz w:val="24"/>
          <w:szCs w:val="24"/>
          <w:lang w:val="ru-RU" w:eastAsia="bg-BG"/>
        </w:rPr>
        <w:t xml:space="preserve">тел: 9803704; факс: 9803662 </w:t>
      </w:r>
    </w:p>
    <w:p w14:paraId="125A907D" w14:textId="77777777" w:rsidR="00524771" w:rsidRPr="00556D80" w:rsidRDefault="003E252D" w:rsidP="00556D80">
      <w:pPr>
        <w:spacing w:before="120" w:after="600"/>
        <w:rPr>
          <w:rFonts w:eastAsia="Times New Roman" w:cs="Times New Roman"/>
          <w:b/>
          <w:bCs/>
          <w:sz w:val="24"/>
          <w:szCs w:val="24"/>
          <w:lang w:val="ru-RU" w:eastAsia="bg-BG"/>
        </w:rPr>
      </w:pPr>
      <w:r w:rsidRPr="00556D80">
        <w:rPr>
          <w:rFonts w:eastAsia="Times New Roman" w:cs="Times New Roman"/>
          <w:b/>
          <w:bCs/>
          <w:sz w:val="24"/>
          <w:szCs w:val="24"/>
          <w:lang w:val="ru-RU" w:eastAsia="bg-BG"/>
        </w:rPr>
        <w:t>Краен срок</w:t>
      </w:r>
      <w:r w:rsidR="00556D80" w:rsidRPr="00556D80">
        <w:rPr>
          <w:rFonts w:eastAsia="Times New Roman" w:cs="Times New Roman"/>
          <w:b/>
          <w:bCs/>
          <w:sz w:val="24"/>
          <w:szCs w:val="24"/>
          <w:lang w:val="ru-RU" w:eastAsia="bg-BG"/>
        </w:rPr>
        <w:t>:</w:t>
      </w:r>
      <w:r w:rsidRPr="00556D80">
        <w:rPr>
          <w:rFonts w:eastAsia="Times New Roman" w:cs="Times New Roman"/>
          <w:b/>
          <w:bCs/>
          <w:sz w:val="24"/>
          <w:szCs w:val="24"/>
          <w:lang w:val="ru-RU" w:eastAsia="bg-BG"/>
        </w:rPr>
        <w:t xml:space="preserve"> 31 март 2020 г.</w:t>
      </w:r>
    </w:p>
    <w:p w14:paraId="3765C854" w14:textId="77777777" w:rsidR="00944762" w:rsidRDefault="00944762" w:rsidP="00780B9D">
      <w:pPr>
        <w:pStyle w:val="Heading2"/>
        <w:rPr>
          <w:rFonts w:eastAsia="Times New Roman"/>
          <w:lang w:eastAsia="bg-BG"/>
        </w:rPr>
      </w:pPr>
      <w:bookmarkStart w:id="5" w:name="_Toc24369173"/>
      <w:r w:rsidRPr="00944762">
        <w:rPr>
          <w:rFonts w:eastAsia="Times New Roman"/>
          <w:lang w:eastAsia="bg-BG"/>
        </w:rPr>
        <w:t>Грантова програма на Reuters за млади фотожурналисти</w:t>
      </w:r>
      <w:bookmarkEnd w:id="5"/>
    </w:p>
    <w:p w14:paraId="56C30BD7" w14:textId="77777777" w:rsidR="00944762" w:rsidRPr="00944762" w:rsidRDefault="00944762" w:rsidP="00944762">
      <w:pPr>
        <w:rPr>
          <w:rFonts w:eastAsia="Times New Roman" w:cs="Times New Roman"/>
          <w:bCs/>
          <w:sz w:val="24"/>
          <w:szCs w:val="24"/>
          <w:lang w:eastAsia="bg-BG"/>
        </w:rPr>
      </w:pPr>
      <w:r w:rsidRPr="00944762">
        <w:rPr>
          <w:rFonts w:eastAsia="Times New Roman" w:cs="Times New Roman"/>
          <w:bCs/>
          <w:sz w:val="24"/>
          <w:szCs w:val="24"/>
          <w:lang w:eastAsia="bg-BG"/>
        </w:rPr>
        <w:t xml:space="preserve">Reuters обяви третото издание на своята грантова програма за фотожурналистика. Програмата, стартирала през 2017 г., е разширена и преименувана на името дългогодишния фоторепортер на Reuters и носител на награда „Пулицър“ </w:t>
      </w:r>
      <w:hyperlink r:id="rId19" w:tgtFrame="_blank" w:history="1">
        <w:r w:rsidRPr="00944762">
          <w:rPr>
            <w:rStyle w:val="Hyperlink"/>
            <w:rFonts w:eastAsia="Times New Roman" w:cs="Times New Roman"/>
            <w:bCs/>
            <w:sz w:val="24"/>
            <w:szCs w:val="24"/>
            <w:lang w:eastAsia="bg-BG"/>
          </w:rPr>
          <w:t>Янис Бехракис</w:t>
        </w:r>
      </w:hyperlink>
      <w:r w:rsidRPr="00944762">
        <w:rPr>
          <w:rFonts w:eastAsia="Times New Roman" w:cs="Times New Roman"/>
          <w:bCs/>
          <w:sz w:val="24"/>
          <w:szCs w:val="24"/>
          <w:lang w:eastAsia="bg-BG"/>
        </w:rPr>
        <w:t>, който почина в началото на тази година.</w:t>
      </w:r>
    </w:p>
    <w:p w14:paraId="13AA2255" w14:textId="77777777" w:rsidR="00944762" w:rsidRPr="00944762" w:rsidRDefault="00944762" w:rsidP="00780B9D">
      <w:pPr>
        <w:spacing w:after="120"/>
        <w:rPr>
          <w:rFonts w:eastAsia="Times New Roman" w:cs="Times New Roman"/>
          <w:bCs/>
          <w:sz w:val="24"/>
          <w:szCs w:val="24"/>
          <w:lang w:eastAsia="bg-BG"/>
        </w:rPr>
      </w:pPr>
      <w:r w:rsidRPr="00944762">
        <w:rPr>
          <w:rFonts w:eastAsia="Times New Roman" w:cs="Times New Roman"/>
          <w:bCs/>
          <w:sz w:val="24"/>
          <w:szCs w:val="24"/>
          <w:lang w:eastAsia="bg-BG"/>
        </w:rPr>
        <w:lastRenderedPageBreak/>
        <w:t xml:space="preserve">През миналата година грантове получиха седем фотожурналисти от четири континента. Сега </w:t>
      </w:r>
      <w:hyperlink r:id="rId20" w:tgtFrame="_blank" w:history="1">
        <w:r w:rsidRPr="00944762">
          <w:rPr>
            <w:rStyle w:val="Hyperlink"/>
            <w:rFonts w:eastAsia="Times New Roman" w:cs="Times New Roman"/>
            <w:bCs/>
            <w:sz w:val="24"/>
            <w:szCs w:val="24"/>
            <w:lang w:eastAsia="bg-BG"/>
          </w:rPr>
          <w:t>Reuters Pictures</w:t>
        </w:r>
      </w:hyperlink>
      <w:r w:rsidRPr="00944762">
        <w:rPr>
          <w:rFonts w:eastAsia="Times New Roman" w:cs="Times New Roman"/>
          <w:bCs/>
          <w:sz w:val="24"/>
          <w:szCs w:val="24"/>
          <w:lang w:eastAsia="bg-BG"/>
        </w:rPr>
        <w:t xml:space="preserve"> отпуска десет безвъзмездни гранта в размер на 8000 щатски долара на млади фотожурналисти и студенти, които желаят да осъществят свой фотографски проект и да усъвършенстват уменията си за визуално разказване на истории.</w:t>
      </w:r>
    </w:p>
    <w:p w14:paraId="00F3C796" w14:textId="77777777" w:rsidR="00944762" w:rsidRPr="00944762" w:rsidRDefault="00944762" w:rsidP="00780B9D">
      <w:pPr>
        <w:spacing w:after="120"/>
        <w:rPr>
          <w:rFonts w:eastAsia="Times New Roman" w:cs="Times New Roman"/>
          <w:bCs/>
          <w:sz w:val="24"/>
          <w:szCs w:val="24"/>
          <w:lang w:eastAsia="bg-BG"/>
        </w:rPr>
      </w:pPr>
      <w:r w:rsidRPr="00944762">
        <w:rPr>
          <w:rFonts w:eastAsia="Times New Roman" w:cs="Times New Roman"/>
          <w:bCs/>
          <w:sz w:val="24"/>
          <w:szCs w:val="24"/>
          <w:lang w:eastAsia="bg-BG"/>
        </w:rPr>
        <w:t>Фотографиите ще се разпространяват през платформите на Reuters, а авторите им ще получат напътствия и съдействие с планирането на проектите от редактори на информационната агенция.</w:t>
      </w:r>
    </w:p>
    <w:p w14:paraId="233C7B84" w14:textId="77777777" w:rsidR="00944762" w:rsidRPr="00944762" w:rsidRDefault="00944762" w:rsidP="00780B9D">
      <w:pPr>
        <w:spacing w:after="120"/>
        <w:rPr>
          <w:rFonts w:eastAsia="Times New Roman" w:cs="Times New Roman"/>
          <w:bCs/>
          <w:sz w:val="24"/>
          <w:szCs w:val="24"/>
          <w:lang w:eastAsia="bg-BG"/>
        </w:rPr>
      </w:pPr>
      <w:r w:rsidRPr="00944762">
        <w:rPr>
          <w:rFonts w:eastAsia="Times New Roman" w:cs="Times New Roman"/>
          <w:bCs/>
          <w:sz w:val="24"/>
          <w:szCs w:val="24"/>
          <w:lang w:eastAsia="bg-BG"/>
        </w:rPr>
        <w:t>Грантовата програма е насочена към фоторепортери и студенти по журналистика от цял свят на възраст между 18 и 35 г. Те трябва да представят портфолио от 30-40 снимки, подробно предложение за своя проект и автобиография.</w:t>
      </w:r>
    </w:p>
    <w:p w14:paraId="625B4F5E" w14:textId="77777777" w:rsidR="00780B9D" w:rsidRDefault="00780B9D" w:rsidP="00780B9D">
      <w:pPr>
        <w:spacing w:before="120" w:after="120"/>
        <w:rPr>
          <w:rStyle w:val="Hyperlink"/>
          <w:rFonts w:eastAsia="Times New Roman" w:cs="Times New Roman"/>
          <w:bCs/>
          <w:sz w:val="24"/>
          <w:szCs w:val="24"/>
          <w:lang w:eastAsia="bg-BG"/>
        </w:rPr>
      </w:pPr>
      <w:r>
        <w:rPr>
          <w:rFonts w:eastAsia="Times New Roman" w:cs="Times New Roman"/>
          <w:bCs/>
          <w:sz w:val="24"/>
          <w:szCs w:val="24"/>
          <w:lang w:eastAsia="bg-BG"/>
        </w:rPr>
        <w:t xml:space="preserve">За повече информация и </w:t>
      </w:r>
      <w:r w:rsidR="00944762" w:rsidRPr="00944762">
        <w:rPr>
          <w:rFonts w:eastAsia="Times New Roman" w:cs="Times New Roman"/>
          <w:bCs/>
          <w:sz w:val="24"/>
          <w:szCs w:val="24"/>
          <w:lang w:eastAsia="bg-BG"/>
        </w:rPr>
        <w:t xml:space="preserve"> </w:t>
      </w:r>
      <w:hyperlink r:id="rId21" w:tgtFrame="_blank" w:history="1">
        <w:r w:rsidR="00944762" w:rsidRPr="00944762">
          <w:rPr>
            <w:rStyle w:val="Hyperlink"/>
            <w:rFonts w:eastAsia="Times New Roman" w:cs="Times New Roman"/>
            <w:bCs/>
            <w:sz w:val="24"/>
            <w:szCs w:val="24"/>
            <w:lang w:eastAsia="bg-BG"/>
          </w:rPr>
          <w:t>кандидатстване</w:t>
        </w:r>
      </w:hyperlink>
      <w:r>
        <w:rPr>
          <w:rStyle w:val="Hyperlink"/>
          <w:rFonts w:eastAsia="Times New Roman" w:cs="Times New Roman"/>
          <w:bCs/>
          <w:sz w:val="24"/>
          <w:szCs w:val="24"/>
          <w:lang w:eastAsia="bg-BG"/>
        </w:rPr>
        <w:t xml:space="preserve">. </w:t>
      </w:r>
    </w:p>
    <w:p w14:paraId="6400BB60" w14:textId="77777777" w:rsidR="00944762" w:rsidRDefault="00780B9D" w:rsidP="00780B9D">
      <w:pPr>
        <w:spacing w:after="480"/>
        <w:rPr>
          <w:rFonts w:eastAsia="Times New Roman" w:cs="Times New Roman"/>
          <w:b/>
          <w:bCs/>
          <w:sz w:val="24"/>
          <w:szCs w:val="24"/>
          <w:lang w:eastAsia="bg-BG"/>
        </w:rPr>
      </w:pPr>
      <w:r w:rsidRPr="00780B9D">
        <w:rPr>
          <w:rStyle w:val="Hyperlink"/>
          <w:rFonts w:eastAsia="Times New Roman" w:cs="Times New Roman"/>
          <w:b/>
          <w:bCs/>
          <w:color w:val="auto"/>
          <w:sz w:val="24"/>
          <w:szCs w:val="24"/>
          <w:u w:val="none"/>
          <w:lang w:eastAsia="bg-BG"/>
        </w:rPr>
        <w:t xml:space="preserve">Краен срок: </w:t>
      </w:r>
      <w:r w:rsidR="00944762" w:rsidRPr="00780B9D">
        <w:rPr>
          <w:rFonts w:eastAsia="Times New Roman" w:cs="Times New Roman"/>
          <w:b/>
          <w:bCs/>
          <w:sz w:val="24"/>
          <w:szCs w:val="24"/>
          <w:lang w:eastAsia="bg-BG"/>
        </w:rPr>
        <w:t>31 декември 2019 г.</w:t>
      </w:r>
    </w:p>
    <w:p w14:paraId="0B213B87" w14:textId="77777777" w:rsidR="005451E5" w:rsidRDefault="005451E5" w:rsidP="005451E5">
      <w:pPr>
        <w:pStyle w:val="Heading2"/>
        <w:rPr>
          <w:rFonts w:eastAsia="Times New Roman"/>
          <w:lang w:eastAsia="bg-BG"/>
        </w:rPr>
      </w:pPr>
      <w:bookmarkStart w:id="6" w:name="_Toc24369174"/>
      <w:r>
        <w:rPr>
          <w:rFonts w:eastAsia="Times New Roman"/>
          <w:lang w:eastAsia="bg-BG"/>
        </w:rPr>
        <w:t>Стажове в Европейския парламент в Брюксел</w:t>
      </w:r>
      <w:bookmarkEnd w:id="6"/>
    </w:p>
    <w:p w14:paraId="14F561DE" w14:textId="77777777" w:rsidR="005451E5" w:rsidRDefault="003473BD" w:rsidP="005451E5">
      <w:pPr>
        <w:spacing w:after="120"/>
        <w:rPr>
          <w:rFonts w:eastAsia="Times New Roman" w:cs="Times New Roman"/>
          <w:bCs/>
          <w:sz w:val="24"/>
          <w:szCs w:val="24"/>
          <w:lang w:eastAsia="bg-BG"/>
        </w:rPr>
      </w:pPr>
      <w:r w:rsidRPr="003473BD">
        <w:rPr>
          <w:rFonts w:eastAsia="Times New Roman" w:cs="Times New Roman"/>
          <w:bCs/>
          <w:sz w:val="24"/>
          <w:szCs w:val="24"/>
          <w:lang w:eastAsia="bg-BG"/>
        </w:rPr>
        <w:t xml:space="preserve">Европейският парламент в Брюксел обявява началото на набирането на стажанти за своята програма. Стажът ще се проведе в периода 1 март до 31 юли 2020 г. Целта на инициативата е да представи механизмите на работа в Европейския парламент, да въвлече стажантите в обществените звена, които представляват интерес за тях и да обучи потенциални професионалисти за работа в натоварена мултикултурна среда. </w:t>
      </w:r>
    </w:p>
    <w:p w14:paraId="24B8417D" w14:textId="77777777" w:rsidR="005451E5" w:rsidRDefault="003473BD" w:rsidP="005451E5">
      <w:pPr>
        <w:spacing w:after="120"/>
        <w:rPr>
          <w:rFonts w:eastAsia="Times New Roman" w:cs="Times New Roman"/>
          <w:bCs/>
          <w:sz w:val="24"/>
          <w:szCs w:val="24"/>
          <w:lang w:eastAsia="bg-BG"/>
        </w:rPr>
      </w:pPr>
      <w:r w:rsidRPr="003473BD">
        <w:rPr>
          <w:rFonts w:eastAsia="Times New Roman" w:cs="Times New Roman"/>
          <w:bCs/>
          <w:sz w:val="24"/>
          <w:szCs w:val="24"/>
          <w:lang w:eastAsia="bg-BG"/>
        </w:rPr>
        <w:t xml:space="preserve">Нужно е кандидатите да са на възраст над 18 години, да са завършили висше образование, да имат чисто криминално досие, да не са работили през последните 2 месеца в структурата на ЕС, както и да отговарят на езиковите изисквания за работа и комуникация в структурата на ЕП. </w:t>
      </w:r>
    </w:p>
    <w:p w14:paraId="4BB528F5" w14:textId="77777777" w:rsidR="005451E5" w:rsidRDefault="003473BD" w:rsidP="005451E5">
      <w:pPr>
        <w:spacing w:after="120"/>
        <w:rPr>
          <w:rFonts w:eastAsia="Times New Roman" w:cs="Times New Roman"/>
          <w:bCs/>
          <w:sz w:val="24"/>
          <w:szCs w:val="24"/>
          <w:lang w:eastAsia="bg-BG"/>
        </w:rPr>
      </w:pPr>
      <w:r w:rsidRPr="003473BD">
        <w:rPr>
          <w:rFonts w:eastAsia="Times New Roman" w:cs="Times New Roman"/>
          <w:bCs/>
          <w:sz w:val="24"/>
          <w:szCs w:val="24"/>
          <w:lang w:eastAsia="bg-BG"/>
        </w:rPr>
        <w:t xml:space="preserve">За да кандидатствате, изберете най-подходящата за вас оферта </w:t>
      </w:r>
      <w:hyperlink r:id="rId22" w:tgtFrame="_blank" w:history="1">
        <w:r w:rsidRPr="003473BD">
          <w:rPr>
            <w:rStyle w:val="Hyperlink"/>
            <w:rFonts w:eastAsia="Times New Roman" w:cs="Times New Roman"/>
            <w:bCs/>
            <w:sz w:val="24"/>
            <w:szCs w:val="24"/>
            <w:lang w:eastAsia="bg-BG"/>
          </w:rPr>
          <w:t>тук</w:t>
        </w:r>
      </w:hyperlink>
      <w:r w:rsidRPr="003473BD">
        <w:rPr>
          <w:rFonts w:eastAsia="Times New Roman" w:cs="Times New Roman"/>
          <w:bCs/>
          <w:sz w:val="24"/>
          <w:szCs w:val="24"/>
          <w:lang w:eastAsia="bg-BG"/>
        </w:rPr>
        <w:t xml:space="preserve"> и изпратете CV (Europass формат) и мотивационно писмо (на английски език). Повече информация и пълен регламент за кандидатстване може да намерите </w:t>
      </w:r>
      <w:hyperlink r:id="rId23" w:tgtFrame="_blank" w:history="1">
        <w:r w:rsidRPr="003473BD">
          <w:rPr>
            <w:rStyle w:val="Hyperlink"/>
            <w:rFonts w:eastAsia="Times New Roman" w:cs="Times New Roman"/>
            <w:bCs/>
            <w:sz w:val="24"/>
            <w:szCs w:val="24"/>
            <w:lang w:eastAsia="bg-BG"/>
          </w:rPr>
          <w:t>тук</w:t>
        </w:r>
      </w:hyperlink>
      <w:r w:rsidRPr="003473BD">
        <w:rPr>
          <w:rFonts w:eastAsia="Times New Roman" w:cs="Times New Roman"/>
          <w:bCs/>
          <w:sz w:val="24"/>
          <w:szCs w:val="24"/>
          <w:lang w:eastAsia="bg-BG"/>
        </w:rPr>
        <w:t>.</w:t>
      </w:r>
      <w:r w:rsidR="005451E5" w:rsidRPr="005451E5">
        <w:rPr>
          <w:rFonts w:eastAsia="Times New Roman" w:cs="Times New Roman"/>
          <w:bCs/>
          <w:sz w:val="24"/>
          <w:szCs w:val="24"/>
          <w:lang w:eastAsia="bg-BG"/>
        </w:rPr>
        <w:t xml:space="preserve"> </w:t>
      </w:r>
    </w:p>
    <w:p w14:paraId="7FF122F4" w14:textId="77777777" w:rsidR="003473BD" w:rsidRPr="005451E5" w:rsidRDefault="005451E5" w:rsidP="00414087">
      <w:pPr>
        <w:spacing w:after="600"/>
        <w:rPr>
          <w:rFonts w:eastAsia="Times New Roman" w:cs="Times New Roman"/>
          <w:b/>
          <w:bCs/>
          <w:sz w:val="24"/>
          <w:szCs w:val="24"/>
          <w:lang w:eastAsia="bg-BG"/>
        </w:rPr>
      </w:pPr>
      <w:r w:rsidRPr="005451E5">
        <w:rPr>
          <w:rFonts w:eastAsia="Times New Roman" w:cs="Times New Roman"/>
          <w:b/>
          <w:bCs/>
          <w:sz w:val="24"/>
          <w:szCs w:val="24"/>
          <w:lang w:eastAsia="bg-BG"/>
        </w:rPr>
        <w:t>Краен срок: 30 ноември 2019 г.</w:t>
      </w:r>
    </w:p>
    <w:p w14:paraId="60D6F6AE" w14:textId="77777777" w:rsidR="005C652C" w:rsidRPr="00B979BE" w:rsidRDefault="00B979BE" w:rsidP="00B979BE">
      <w:pPr>
        <w:pStyle w:val="Heading2"/>
      </w:pPr>
      <w:bookmarkStart w:id="7" w:name="_Toc24369175"/>
      <w:r>
        <w:t>К</w:t>
      </w:r>
      <w:r w:rsidRPr="00B979BE">
        <w:t>онкурс за студентски реферати по правозащитна тема</w:t>
      </w:r>
      <w:bookmarkEnd w:id="7"/>
    </w:p>
    <w:p w14:paraId="31C25DC9" w14:textId="77777777" w:rsidR="00B979BE" w:rsidRDefault="00B44BBE" w:rsidP="001E2550">
      <w:pPr>
        <w:spacing w:before="120" w:after="120"/>
        <w:rPr>
          <w:sz w:val="24"/>
          <w:szCs w:val="24"/>
        </w:rPr>
      </w:pPr>
      <w:r w:rsidRPr="00B44BBE">
        <w:rPr>
          <w:sz w:val="24"/>
          <w:szCs w:val="24"/>
        </w:rPr>
        <w:t xml:space="preserve">Във връзка с отбелязване на 230 години от приемането на френската Декларация за правата на човека и гражданина, Правната програма на Фондация "Институт Отворено общество - София" организира конкурс за студентски реферати по темата "Историческо значение на френската декларация за правата на човека и гражданина от 1789 г.". </w:t>
      </w:r>
    </w:p>
    <w:p w14:paraId="0894A311" w14:textId="77777777" w:rsidR="00B979BE" w:rsidRDefault="00B44BBE" w:rsidP="001E2550">
      <w:pPr>
        <w:spacing w:before="120" w:after="120"/>
        <w:rPr>
          <w:sz w:val="24"/>
          <w:szCs w:val="24"/>
        </w:rPr>
      </w:pPr>
      <w:r w:rsidRPr="00B44BBE">
        <w:rPr>
          <w:sz w:val="24"/>
          <w:szCs w:val="24"/>
        </w:rPr>
        <w:t xml:space="preserve">В конкурса могат да участват студенти от специалност "Право" на всички български висши училища и на висши училища от държавите членки на Европейския съюз, без значение на формата на обучение. Рефератите трябва да представляват писмена авторска работа, която не е публикувана и не е предложена за публикуване в печатно или електронно издание. </w:t>
      </w:r>
    </w:p>
    <w:p w14:paraId="49407BBF" w14:textId="77777777" w:rsidR="005C652C" w:rsidRDefault="00B44BBE" w:rsidP="001E2550">
      <w:pPr>
        <w:spacing w:before="120" w:after="120"/>
        <w:rPr>
          <w:sz w:val="24"/>
          <w:szCs w:val="24"/>
        </w:rPr>
      </w:pPr>
      <w:r w:rsidRPr="00B44BBE">
        <w:rPr>
          <w:sz w:val="24"/>
          <w:szCs w:val="24"/>
        </w:rPr>
        <w:lastRenderedPageBreak/>
        <w:t xml:space="preserve">На победителите ще бъдат присъдени следните парични награди: първа награда – 1000 лв., втора награда – 700 лв., трета награда – 500 лв. Още за условията на конкурс може да прочетете в </w:t>
      </w:r>
      <w:hyperlink r:id="rId24" w:tgtFrame="_blank" w:history="1">
        <w:r w:rsidRPr="00B44BBE">
          <w:rPr>
            <w:rStyle w:val="Hyperlink"/>
            <w:sz w:val="24"/>
            <w:szCs w:val="24"/>
          </w:rPr>
          <w:t>приложения файл</w:t>
        </w:r>
      </w:hyperlink>
      <w:r w:rsidRPr="00B44BBE">
        <w:rPr>
          <w:sz w:val="24"/>
          <w:szCs w:val="24"/>
        </w:rPr>
        <w:t xml:space="preserve">. Тук може да намерите </w:t>
      </w:r>
      <w:hyperlink r:id="rId25" w:tgtFrame="_blank" w:history="1">
        <w:r w:rsidRPr="00B44BBE">
          <w:rPr>
            <w:rStyle w:val="Hyperlink"/>
            <w:sz w:val="24"/>
            <w:szCs w:val="24"/>
          </w:rPr>
          <w:t>отговори на често срещани въпроси</w:t>
        </w:r>
      </w:hyperlink>
      <w:r w:rsidRPr="00B44BBE">
        <w:rPr>
          <w:sz w:val="24"/>
          <w:szCs w:val="24"/>
        </w:rPr>
        <w:t xml:space="preserve"> във връзка с условията на</w:t>
      </w:r>
      <w:r w:rsidR="00B979BE">
        <w:rPr>
          <w:sz w:val="24"/>
          <w:szCs w:val="24"/>
        </w:rPr>
        <w:t xml:space="preserve"> </w:t>
      </w:r>
      <w:r w:rsidRPr="00B44BBE">
        <w:rPr>
          <w:sz w:val="24"/>
          <w:szCs w:val="24"/>
        </w:rPr>
        <w:t>конкурса.</w:t>
      </w:r>
    </w:p>
    <w:p w14:paraId="49D82D8C" w14:textId="77777777" w:rsidR="00B979BE" w:rsidRPr="00B079CC" w:rsidRDefault="00B979BE" w:rsidP="001E2550">
      <w:pPr>
        <w:spacing w:before="120" w:after="120"/>
        <w:rPr>
          <w:b/>
          <w:sz w:val="24"/>
          <w:szCs w:val="24"/>
        </w:rPr>
      </w:pPr>
      <w:r w:rsidRPr="00B079CC">
        <w:rPr>
          <w:b/>
          <w:sz w:val="24"/>
          <w:szCs w:val="24"/>
        </w:rPr>
        <w:t>Краен срок за подаване на рефератите: 2 декември 2019 г., 17:30 ч.</w:t>
      </w:r>
    </w:p>
    <w:p w14:paraId="05582190" w14:textId="77777777" w:rsidR="00B979BE" w:rsidRPr="00B079CC" w:rsidRDefault="00B979BE" w:rsidP="001E2550">
      <w:pPr>
        <w:spacing w:before="120" w:after="120"/>
        <w:rPr>
          <w:b/>
          <w:sz w:val="24"/>
          <w:szCs w:val="24"/>
        </w:rPr>
      </w:pPr>
    </w:p>
    <w:p w14:paraId="210C52A7" w14:textId="77777777" w:rsidR="00B979BE" w:rsidRDefault="00B979BE" w:rsidP="001E2550">
      <w:pPr>
        <w:spacing w:before="120" w:after="120"/>
        <w:rPr>
          <w:sz w:val="24"/>
          <w:szCs w:val="24"/>
        </w:rPr>
      </w:pPr>
    </w:p>
    <w:p w14:paraId="70CB9320" w14:textId="77777777" w:rsidR="00B979BE" w:rsidRDefault="00B979BE" w:rsidP="001E2550">
      <w:pPr>
        <w:spacing w:before="120" w:after="120"/>
        <w:rPr>
          <w:sz w:val="24"/>
          <w:szCs w:val="24"/>
        </w:rPr>
      </w:pPr>
    </w:p>
    <w:p w14:paraId="4CD8373F" w14:textId="77777777" w:rsidR="00B979BE" w:rsidRPr="004B4AD3" w:rsidRDefault="00B979BE" w:rsidP="001E2550">
      <w:pPr>
        <w:spacing w:before="120" w:after="120"/>
        <w:rPr>
          <w:sz w:val="24"/>
          <w:szCs w:val="24"/>
          <w:lang w:val="ru-RU"/>
        </w:rPr>
        <w:sectPr w:rsidR="00B979BE" w:rsidRPr="004B4AD3" w:rsidSect="00AA7F9B">
          <w:footerReference w:type="default" r:id="rId26"/>
          <w:pgSz w:w="11906" w:h="16838"/>
          <w:pgMar w:top="1440" w:right="1080" w:bottom="1440" w:left="1080" w:header="708" w:footer="708" w:gutter="0"/>
          <w:cols w:space="708"/>
          <w:docGrid w:linePitch="360"/>
        </w:sectPr>
      </w:pPr>
    </w:p>
    <w:p w14:paraId="1DCC5936" w14:textId="77777777" w:rsidR="00D00941" w:rsidRDefault="00912146" w:rsidP="00B278E8">
      <w:pPr>
        <w:pStyle w:val="Programs"/>
      </w:pPr>
      <w:bookmarkStart w:id="8" w:name="_Toc24369176"/>
      <w:r>
        <w:lastRenderedPageBreak/>
        <w:t>ПРОГРАМИ</w:t>
      </w:r>
      <w:bookmarkEnd w:id="8"/>
    </w:p>
    <w:p w14:paraId="4387209E" w14:textId="77777777" w:rsidR="006D20EC" w:rsidRPr="00A70AAA" w:rsidRDefault="006D20EC" w:rsidP="00E44785">
      <w:pPr>
        <w:pStyle w:val="Heading2"/>
      </w:pPr>
      <w:bookmarkStart w:id="9" w:name="_Toc24369177"/>
      <w:r w:rsidRPr="00A70AAA">
        <w:t>Покана за участие в конкурс по Програма ERA NET RUS PLUS</w:t>
      </w:r>
      <w:bookmarkEnd w:id="9"/>
      <w:r w:rsidRPr="00A70AAA">
        <w:t xml:space="preserve"> </w:t>
      </w:r>
    </w:p>
    <w:p w14:paraId="31FB297D" w14:textId="77777777" w:rsidR="006D20EC" w:rsidRPr="00A70AAA" w:rsidRDefault="006D20EC" w:rsidP="00A70AAA">
      <w:pPr>
        <w:spacing w:after="120"/>
        <w:rPr>
          <w:bCs/>
          <w:sz w:val="24"/>
          <w:szCs w:val="24"/>
        </w:rPr>
      </w:pPr>
      <w:r w:rsidRPr="00A70AAA">
        <w:rPr>
          <w:bCs/>
          <w:sz w:val="24"/>
          <w:szCs w:val="24"/>
        </w:rPr>
        <w:t>Фонд „Научни изследвания“ отправя покана за участие в конкурс с проектни предложения по програма ERA NET RUS PLUS. Програмата има за цел да укрепи и разшири партньорствата в научно-изследователската сфера между страните-членки на ЕС, асоциираните страни-членки, страните от Европейското икономическо пространство и Русия.</w:t>
      </w:r>
    </w:p>
    <w:p w14:paraId="0B735CF5" w14:textId="77777777" w:rsidR="006D20EC" w:rsidRPr="00A70AAA" w:rsidRDefault="006D20EC" w:rsidP="00A70AAA">
      <w:pPr>
        <w:spacing w:after="120"/>
        <w:rPr>
          <w:bCs/>
          <w:sz w:val="24"/>
          <w:szCs w:val="24"/>
        </w:rPr>
      </w:pPr>
      <w:r w:rsidRPr="00A70AAA">
        <w:rPr>
          <w:bCs/>
          <w:sz w:val="24"/>
          <w:szCs w:val="24"/>
        </w:rPr>
        <w:t>В конкурса участват финансиращи институции и организации от 14 страни.</w:t>
      </w:r>
    </w:p>
    <w:p w14:paraId="63C1CD7D" w14:textId="77777777" w:rsidR="006D20EC" w:rsidRPr="00A70AAA" w:rsidRDefault="006D20EC" w:rsidP="00A70AAA">
      <w:pPr>
        <w:spacing w:after="120"/>
        <w:rPr>
          <w:bCs/>
          <w:sz w:val="24"/>
          <w:szCs w:val="24"/>
        </w:rPr>
      </w:pPr>
      <w:r w:rsidRPr="00A70AAA">
        <w:rPr>
          <w:bCs/>
          <w:sz w:val="24"/>
          <w:szCs w:val="24"/>
        </w:rPr>
        <w:t>В конкурсната сесия ще бъдат финансирани проектни предложения в следните области:</w:t>
      </w:r>
    </w:p>
    <w:p w14:paraId="1CF50DE1" w14:textId="77777777" w:rsidR="006D20EC" w:rsidRPr="00A70AAA" w:rsidRDefault="006D20EC" w:rsidP="00A70AAA">
      <w:pPr>
        <w:numPr>
          <w:ilvl w:val="0"/>
          <w:numId w:val="33"/>
        </w:numPr>
        <w:spacing w:after="120"/>
        <w:rPr>
          <w:bCs/>
          <w:sz w:val="24"/>
          <w:szCs w:val="24"/>
        </w:rPr>
      </w:pPr>
      <w:r w:rsidRPr="00A70AAA">
        <w:rPr>
          <w:bCs/>
          <w:sz w:val="24"/>
          <w:szCs w:val="24"/>
        </w:rPr>
        <w:t>Нанотехнологии</w:t>
      </w:r>
    </w:p>
    <w:p w14:paraId="00221F93" w14:textId="77777777" w:rsidR="006D20EC" w:rsidRPr="00A70AAA" w:rsidRDefault="006D20EC" w:rsidP="00A70AAA">
      <w:pPr>
        <w:numPr>
          <w:ilvl w:val="0"/>
          <w:numId w:val="33"/>
        </w:numPr>
        <w:spacing w:after="120"/>
        <w:rPr>
          <w:bCs/>
          <w:sz w:val="24"/>
          <w:szCs w:val="24"/>
        </w:rPr>
      </w:pPr>
      <w:r w:rsidRPr="00A70AAA">
        <w:rPr>
          <w:bCs/>
          <w:sz w:val="24"/>
          <w:szCs w:val="24"/>
        </w:rPr>
        <w:t>Здраве</w:t>
      </w:r>
    </w:p>
    <w:p w14:paraId="3821EBAC" w14:textId="77777777" w:rsidR="006D20EC" w:rsidRPr="00A70AAA" w:rsidRDefault="006D20EC" w:rsidP="00A70AAA">
      <w:pPr>
        <w:numPr>
          <w:ilvl w:val="0"/>
          <w:numId w:val="33"/>
        </w:numPr>
        <w:spacing w:after="120"/>
        <w:rPr>
          <w:bCs/>
          <w:sz w:val="24"/>
          <w:szCs w:val="24"/>
        </w:rPr>
      </w:pPr>
      <w:r w:rsidRPr="00A70AAA">
        <w:rPr>
          <w:bCs/>
          <w:sz w:val="24"/>
          <w:szCs w:val="24"/>
        </w:rPr>
        <w:t>Обществени и хуманитарни науки</w:t>
      </w:r>
    </w:p>
    <w:p w14:paraId="085AF1D7" w14:textId="77777777" w:rsidR="006D20EC" w:rsidRPr="00A70AAA" w:rsidRDefault="006D20EC" w:rsidP="00A70AAA">
      <w:pPr>
        <w:numPr>
          <w:ilvl w:val="0"/>
          <w:numId w:val="33"/>
        </w:numPr>
        <w:spacing w:after="120"/>
        <w:rPr>
          <w:bCs/>
          <w:sz w:val="24"/>
          <w:szCs w:val="24"/>
        </w:rPr>
      </w:pPr>
      <w:r w:rsidRPr="00A70AAA">
        <w:rPr>
          <w:bCs/>
          <w:sz w:val="24"/>
          <w:szCs w:val="24"/>
        </w:rPr>
        <w:t>Роботика</w:t>
      </w:r>
    </w:p>
    <w:p w14:paraId="23FC8A7E" w14:textId="77777777" w:rsidR="006D20EC" w:rsidRPr="00A70AAA" w:rsidRDefault="006D20EC" w:rsidP="00A70AAA">
      <w:pPr>
        <w:spacing w:after="120"/>
        <w:rPr>
          <w:bCs/>
          <w:sz w:val="24"/>
          <w:szCs w:val="24"/>
        </w:rPr>
      </w:pPr>
      <w:r w:rsidRPr="00A70AAA">
        <w:rPr>
          <w:bCs/>
          <w:sz w:val="24"/>
          <w:szCs w:val="24"/>
        </w:rPr>
        <w:t xml:space="preserve">Условия на конкурса: </w:t>
      </w:r>
    </w:p>
    <w:p w14:paraId="2A59BEE5" w14:textId="77777777" w:rsidR="006D20EC" w:rsidRPr="00A70AAA" w:rsidRDefault="006D20EC" w:rsidP="00A70AAA">
      <w:pPr>
        <w:numPr>
          <w:ilvl w:val="0"/>
          <w:numId w:val="34"/>
        </w:numPr>
        <w:spacing w:after="120"/>
        <w:rPr>
          <w:bCs/>
          <w:sz w:val="24"/>
          <w:szCs w:val="24"/>
        </w:rPr>
      </w:pPr>
      <w:r w:rsidRPr="00A70AAA">
        <w:rPr>
          <w:bCs/>
          <w:sz w:val="24"/>
          <w:szCs w:val="24"/>
        </w:rPr>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14:paraId="4FFD16BB" w14:textId="77777777" w:rsidR="006D20EC" w:rsidRPr="00A70AAA" w:rsidRDefault="006D20EC" w:rsidP="00A70AAA">
      <w:pPr>
        <w:numPr>
          <w:ilvl w:val="0"/>
          <w:numId w:val="34"/>
        </w:numPr>
        <w:spacing w:after="120"/>
        <w:rPr>
          <w:bCs/>
          <w:sz w:val="24"/>
          <w:szCs w:val="24"/>
        </w:rPr>
      </w:pPr>
      <w:r w:rsidRPr="00A70AAA">
        <w:rPr>
          <w:bCs/>
          <w:sz w:val="24"/>
          <w:szCs w:val="24"/>
        </w:rPr>
        <w:t>Проектните предложения ще се подготвят и подават от консорциум, в който трябва да участват научни колективи от поне две европейски държави и Русия.</w:t>
      </w:r>
    </w:p>
    <w:p w14:paraId="3B5DDEF9" w14:textId="77777777" w:rsidR="006D20EC" w:rsidRPr="00A70AAA" w:rsidRDefault="006D20EC" w:rsidP="00A70AAA">
      <w:pPr>
        <w:numPr>
          <w:ilvl w:val="0"/>
          <w:numId w:val="34"/>
        </w:numPr>
        <w:spacing w:after="120"/>
        <w:rPr>
          <w:bCs/>
          <w:sz w:val="24"/>
          <w:szCs w:val="24"/>
        </w:rPr>
      </w:pPr>
      <w:r w:rsidRPr="00A70AAA">
        <w:rPr>
          <w:bCs/>
          <w:sz w:val="24"/>
          <w:szCs w:val="24"/>
        </w:rPr>
        <w:t xml:space="preserve">Допустими по процедурата за подбор на проекти са български кандидати, които са: </w:t>
      </w:r>
    </w:p>
    <w:p w14:paraId="1B3FC489" w14:textId="77777777" w:rsidR="006D20EC" w:rsidRPr="00A70AAA" w:rsidRDefault="006D20EC" w:rsidP="00A70AAA">
      <w:pPr>
        <w:numPr>
          <w:ilvl w:val="0"/>
          <w:numId w:val="35"/>
        </w:numPr>
        <w:spacing w:after="120"/>
        <w:rPr>
          <w:bCs/>
          <w:sz w:val="24"/>
          <w:szCs w:val="24"/>
        </w:rPr>
      </w:pPr>
      <w:r w:rsidRPr="00A70AAA">
        <w:rPr>
          <w:bCs/>
          <w:sz w:val="24"/>
          <w:szCs w:val="24"/>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78637995" w14:textId="77777777" w:rsidR="006D20EC" w:rsidRPr="00A70AAA" w:rsidRDefault="006D20EC" w:rsidP="00A70AAA">
      <w:pPr>
        <w:numPr>
          <w:ilvl w:val="0"/>
          <w:numId w:val="35"/>
        </w:numPr>
        <w:spacing w:after="120"/>
        <w:rPr>
          <w:bCs/>
          <w:sz w:val="24"/>
          <w:szCs w:val="24"/>
        </w:rPr>
      </w:pPr>
      <w:r w:rsidRPr="00A70AAA">
        <w:rPr>
          <w:bCs/>
          <w:sz w:val="24"/>
          <w:szCs w:val="24"/>
        </w:rPr>
        <w:t>Научни организации по чл. 47, ал. 1 на ЗВО, които са акредитирани от НАОА да провеждат обучение по образователна и научна степен "доктор".</w:t>
      </w:r>
    </w:p>
    <w:p w14:paraId="1B3C43B7" w14:textId="77777777" w:rsidR="006D20EC" w:rsidRPr="00A70AAA" w:rsidRDefault="006D20EC" w:rsidP="00A70AAA">
      <w:pPr>
        <w:spacing w:after="120"/>
        <w:rPr>
          <w:bCs/>
          <w:sz w:val="24"/>
          <w:szCs w:val="24"/>
        </w:rPr>
      </w:pPr>
      <w:r w:rsidRPr="00A70AAA">
        <w:rPr>
          <w:bCs/>
          <w:sz w:val="24"/>
          <w:szCs w:val="24"/>
        </w:rPr>
        <w:t xml:space="preserve">Бюджетът от страна на Фонд „Научни изследвания“ за предстоящата конкурсна сесия е в размер на 900 000 лева, с максимална сума за един проект до 150 000 лева (Решение на ИС с Протокол № 12 от 28.08.2019 г.), като се предвижда да бъдат финансирани до 6 проекта с участие на български научни колективи. </w:t>
      </w:r>
    </w:p>
    <w:p w14:paraId="71FE7D3F" w14:textId="77777777" w:rsidR="006D20EC" w:rsidRPr="00A70AAA" w:rsidRDefault="006D20EC" w:rsidP="00A70AAA">
      <w:pPr>
        <w:spacing w:after="120"/>
        <w:rPr>
          <w:bCs/>
          <w:sz w:val="24"/>
          <w:szCs w:val="24"/>
        </w:rPr>
      </w:pPr>
      <w:r w:rsidRPr="00A70AAA">
        <w:rPr>
          <w:bCs/>
          <w:sz w:val="24"/>
          <w:szCs w:val="24"/>
        </w:rPr>
        <w:t>Във финансовия план на проекта да бъдат заложени „Непреки допустими разходи“, които включват:</w:t>
      </w:r>
    </w:p>
    <w:p w14:paraId="4B17DBD0" w14:textId="77777777" w:rsidR="006D20EC" w:rsidRPr="00A70AAA" w:rsidRDefault="006D20EC" w:rsidP="00A70AAA">
      <w:pPr>
        <w:numPr>
          <w:ilvl w:val="0"/>
          <w:numId w:val="36"/>
        </w:numPr>
        <w:spacing w:after="120"/>
        <w:rPr>
          <w:bCs/>
          <w:sz w:val="24"/>
          <w:szCs w:val="24"/>
        </w:rPr>
      </w:pPr>
      <w:r w:rsidRPr="00A70AAA">
        <w:rPr>
          <w:bCs/>
          <w:sz w:val="24"/>
          <w:szCs w:val="24"/>
        </w:rPr>
        <w:t>Разходи за обслужване на базова организация – до 7 % от стойността на проекта;</w:t>
      </w:r>
    </w:p>
    <w:p w14:paraId="6D589333" w14:textId="77777777" w:rsidR="006D20EC" w:rsidRPr="00A70AAA" w:rsidRDefault="006D20EC" w:rsidP="00A70AAA">
      <w:pPr>
        <w:numPr>
          <w:ilvl w:val="0"/>
          <w:numId w:val="36"/>
        </w:numPr>
        <w:spacing w:after="120"/>
        <w:rPr>
          <w:bCs/>
          <w:sz w:val="24"/>
          <w:szCs w:val="24"/>
        </w:rPr>
      </w:pPr>
      <w:r w:rsidRPr="00A70AAA">
        <w:rPr>
          <w:bCs/>
          <w:sz w:val="24"/>
          <w:szCs w:val="24"/>
        </w:rPr>
        <w:t>Разходи за одит на финансовия отчет на проекта – до 1 % от стойността на проекта.</w:t>
      </w:r>
    </w:p>
    <w:p w14:paraId="7A140728" w14:textId="77777777" w:rsidR="006D20EC" w:rsidRPr="00A70AAA" w:rsidRDefault="006D20EC" w:rsidP="00A70AAA">
      <w:pPr>
        <w:spacing w:after="120"/>
        <w:rPr>
          <w:bCs/>
          <w:sz w:val="24"/>
          <w:szCs w:val="24"/>
        </w:rPr>
      </w:pPr>
      <w:r w:rsidRPr="00A70AAA">
        <w:rPr>
          <w:bCs/>
          <w:sz w:val="24"/>
          <w:szCs w:val="24"/>
        </w:rPr>
        <w:lastRenderedPageBreak/>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6D637EA4" w14:textId="77777777" w:rsidR="006D20EC" w:rsidRPr="00A70AAA" w:rsidRDefault="006D20EC" w:rsidP="00A70AAA">
      <w:pPr>
        <w:spacing w:after="120"/>
        <w:rPr>
          <w:bCs/>
          <w:sz w:val="24"/>
          <w:szCs w:val="24"/>
        </w:rPr>
      </w:pPr>
      <w:r w:rsidRPr="00A70AAA">
        <w:rPr>
          <w:bCs/>
          <w:sz w:val="24"/>
          <w:szCs w:val="24"/>
        </w:rPr>
        <w:t>Материалите за предстоящия конкурс са достъпни в сайта на програмата.</w:t>
      </w:r>
    </w:p>
    <w:p w14:paraId="1CFE5630" w14:textId="77777777" w:rsidR="006D20EC" w:rsidRPr="00A70AAA" w:rsidRDefault="0030675B" w:rsidP="00A70AAA">
      <w:pPr>
        <w:spacing w:after="120"/>
        <w:rPr>
          <w:bCs/>
          <w:sz w:val="24"/>
          <w:szCs w:val="24"/>
        </w:rPr>
      </w:pPr>
      <w:hyperlink r:id="rId27" w:history="1">
        <w:r w:rsidR="006D20EC" w:rsidRPr="00A70AAA">
          <w:rPr>
            <w:rStyle w:val="Hyperlink"/>
            <w:bCs/>
            <w:sz w:val="24"/>
            <w:szCs w:val="24"/>
          </w:rPr>
          <w:t>https://www.eranet-rus.eu/</w:t>
        </w:r>
      </w:hyperlink>
    </w:p>
    <w:p w14:paraId="643D259C" w14:textId="77777777" w:rsidR="006D20EC" w:rsidRPr="00A70AAA" w:rsidRDefault="006D20EC" w:rsidP="00A70AAA">
      <w:pPr>
        <w:spacing w:after="120"/>
        <w:rPr>
          <w:bCs/>
          <w:sz w:val="24"/>
          <w:szCs w:val="24"/>
        </w:rPr>
      </w:pPr>
      <w:r w:rsidRPr="00A70AAA">
        <w:rPr>
          <w:bCs/>
          <w:sz w:val="24"/>
          <w:szCs w:val="24"/>
        </w:rPr>
        <w:t>Информация, насоки и документация за българските участници, относно подаването на документите във Фонд „Научни изследвания“:</w:t>
      </w:r>
    </w:p>
    <w:p w14:paraId="18D8B807" w14:textId="77777777" w:rsidR="006D20EC" w:rsidRPr="00A70AAA" w:rsidRDefault="0030675B" w:rsidP="00A70AAA">
      <w:pPr>
        <w:numPr>
          <w:ilvl w:val="0"/>
          <w:numId w:val="37"/>
        </w:numPr>
        <w:spacing w:after="120"/>
        <w:rPr>
          <w:bCs/>
          <w:sz w:val="24"/>
          <w:szCs w:val="24"/>
        </w:rPr>
      </w:pPr>
      <w:hyperlink r:id="rId28" w:history="1">
        <w:r w:rsidR="006D20EC" w:rsidRPr="00A70AAA">
          <w:rPr>
            <w:rStyle w:val="Hyperlink"/>
            <w:bCs/>
            <w:sz w:val="24"/>
            <w:szCs w:val="24"/>
          </w:rPr>
          <w:t>Национални изисквания и условия за допустимост</w:t>
        </w:r>
      </w:hyperlink>
    </w:p>
    <w:p w14:paraId="4D189CAA" w14:textId="77777777" w:rsidR="006D20EC" w:rsidRPr="00A70AAA" w:rsidRDefault="0030675B" w:rsidP="00A70AAA">
      <w:pPr>
        <w:numPr>
          <w:ilvl w:val="0"/>
          <w:numId w:val="37"/>
        </w:numPr>
        <w:spacing w:after="120"/>
        <w:rPr>
          <w:bCs/>
          <w:sz w:val="24"/>
          <w:szCs w:val="24"/>
        </w:rPr>
      </w:pPr>
      <w:hyperlink r:id="rId29" w:history="1">
        <w:r w:rsidR="006D20EC" w:rsidRPr="00A70AAA">
          <w:rPr>
            <w:rStyle w:val="Hyperlink"/>
            <w:bCs/>
            <w:sz w:val="24"/>
            <w:szCs w:val="24"/>
          </w:rPr>
          <w:t>Документи към националните изисквания</w:t>
        </w:r>
      </w:hyperlink>
      <w:r w:rsidR="006D20EC" w:rsidRPr="00A70AAA">
        <w:rPr>
          <w:bCs/>
          <w:sz w:val="24"/>
          <w:szCs w:val="24"/>
        </w:rPr>
        <w:t xml:space="preserve"> </w:t>
      </w:r>
    </w:p>
    <w:p w14:paraId="443F0178" w14:textId="77777777" w:rsidR="006D20EC" w:rsidRPr="00A70AAA" w:rsidRDefault="006D20EC" w:rsidP="00A70AAA">
      <w:pPr>
        <w:spacing w:after="120"/>
        <w:rPr>
          <w:bCs/>
          <w:sz w:val="24"/>
          <w:szCs w:val="24"/>
        </w:rPr>
      </w:pPr>
      <w:r w:rsidRPr="00A70AAA">
        <w:rPr>
          <w:bCs/>
          <w:sz w:val="24"/>
          <w:szCs w:val="24"/>
        </w:rPr>
        <w:t>Освен вече посочените документи към Националните изисквания, участниците трябва да представят във ФНИ:</w:t>
      </w:r>
    </w:p>
    <w:p w14:paraId="40283F05" w14:textId="77777777" w:rsidR="006D20EC" w:rsidRPr="00A70AAA" w:rsidRDefault="006D20EC" w:rsidP="00A70AAA">
      <w:pPr>
        <w:numPr>
          <w:ilvl w:val="0"/>
          <w:numId w:val="38"/>
        </w:numPr>
        <w:spacing w:after="120"/>
        <w:rPr>
          <w:bCs/>
          <w:sz w:val="24"/>
          <w:szCs w:val="24"/>
        </w:rPr>
      </w:pPr>
      <w:r w:rsidRPr="00A70AAA">
        <w:rPr>
          <w:bCs/>
          <w:sz w:val="24"/>
          <w:szCs w:val="24"/>
        </w:rPr>
        <w:t>Проект на бюджет за пълния срок на изпълнение на проекта;</w:t>
      </w:r>
    </w:p>
    <w:p w14:paraId="63068844" w14:textId="77777777" w:rsidR="006D20EC" w:rsidRPr="00A70AAA" w:rsidRDefault="006D20EC" w:rsidP="00A70AAA">
      <w:pPr>
        <w:numPr>
          <w:ilvl w:val="0"/>
          <w:numId w:val="38"/>
        </w:numPr>
        <w:spacing w:after="120"/>
        <w:rPr>
          <w:bCs/>
          <w:sz w:val="24"/>
          <w:szCs w:val="24"/>
        </w:rPr>
      </w:pPr>
      <w:r w:rsidRPr="00A70AAA">
        <w:rPr>
          <w:bCs/>
          <w:sz w:val="24"/>
          <w:szCs w:val="24"/>
        </w:rPr>
        <w:t>Работна програма за пълния срок на изпълнение на проекта;</w:t>
      </w:r>
    </w:p>
    <w:p w14:paraId="0CA696A9" w14:textId="77777777" w:rsidR="006D20EC" w:rsidRPr="00A70AAA" w:rsidRDefault="006D20EC" w:rsidP="00A70AAA">
      <w:pPr>
        <w:numPr>
          <w:ilvl w:val="0"/>
          <w:numId w:val="38"/>
        </w:numPr>
        <w:spacing w:after="120"/>
        <w:rPr>
          <w:bCs/>
          <w:sz w:val="24"/>
          <w:szCs w:val="24"/>
        </w:rPr>
      </w:pPr>
      <w:r w:rsidRPr="00A70AAA">
        <w:rPr>
          <w:bCs/>
          <w:sz w:val="24"/>
          <w:szCs w:val="24"/>
        </w:rPr>
        <w:t>Писмо от водещия партньор с потвърждение за включване на българската организация в съответния консорциум.</w:t>
      </w:r>
    </w:p>
    <w:p w14:paraId="6DEE91D5" w14:textId="77777777" w:rsidR="006D20EC" w:rsidRPr="00A70AAA" w:rsidRDefault="006D20EC" w:rsidP="00A70AAA">
      <w:pPr>
        <w:spacing w:after="120"/>
        <w:rPr>
          <w:bCs/>
          <w:sz w:val="24"/>
          <w:szCs w:val="24"/>
        </w:rPr>
      </w:pPr>
      <w:r w:rsidRPr="00A70AAA">
        <w:rPr>
          <w:bCs/>
          <w:sz w:val="24"/>
          <w:szCs w:val="24"/>
        </w:rPr>
        <w:t>Контакти за допълнителна информация:</w:t>
      </w:r>
    </w:p>
    <w:p w14:paraId="745D7A4F" w14:textId="77777777" w:rsidR="006D20EC" w:rsidRPr="00A70AAA" w:rsidRDefault="00E44785" w:rsidP="00A70AAA">
      <w:pPr>
        <w:spacing w:after="120"/>
        <w:rPr>
          <w:bCs/>
          <w:sz w:val="24"/>
          <w:szCs w:val="24"/>
        </w:rPr>
      </w:pPr>
      <w:r w:rsidRPr="00A70AAA">
        <w:rPr>
          <w:bCs/>
          <w:sz w:val="24"/>
          <w:szCs w:val="24"/>
        </w:rPr>
        <w:t>Милена Александрова</w:t>
      </w:r>
      <w:r>
        <w:rPr>
          <w:bCs/>
          <w:sz w:val="24"/>
          <w:szCs w:val="24"/>
        </w:rPr>
        <w:t xml:space="preserve">, </w:t>
      </w:r>
      <w:r w:rsidR="006D20EC" w:rsidRPr="00A70AAA">
        <w:rPr>
          <w:bCs/>
          <w:sz w:val="24"/>
          <w:szCs w:val="24"/>
        </w:rPr>
        <w:t>тел. 0884/171-363</w:t>
      </w:r>
      <w:r>
        <w:rPr>
          <w:bCs/>
          <w:sz w:val="24"/>
          <w:szCs w:val="24"/>
        </w:rPr>
        <w:t xml:space="preserve">, </w:t>
      </w:r>
      <w:hyperlink r:id="rId30" w:history="1">
        <w:r w:rsidR="006D20EC" w:rsidRPr="00A70AAA">
          <w:rPr>
            <w:rStyle w:val="Hyperlink"/>
            <w:bCs/>
            <w:sz w:val="24"/>
            <w:szCs w:val="24"/>
          </w:rPr>
          <w:t>aleksandrova@mon.bg</w:t>
        </w:r>
      </w:hyperlink>
    </w:p>
    <w:p w14:paraId="412A1220" w14:textId="77777777" w:rsidR="00E44785" w:rsidRPr="00A46D12" w:rsidRDefault="00E44785" w:rsidP="006E750E">
      <w:pPr>
        <w:spacing w:after="600"/>
        <w:rPr>
          <w:b/>
          <w:bCs/>
          <w:sz w:val="24"/>
          <w:szCs w:val="24"/>
        </w:rPr>
      </w:pPr>
      <w:r w:rsidRPr="00A46D12">
        <w:rPr>
          <w:b/>
          <w:bCs/>
          <w:sz w:val="24"/>
          <w:szCs w:val="24"/>
        </w:rPr>
        <w:t>Крайният срок за подаване на проектни предложения за участие в първия етап от конкурса е 31 януари 2020 г.</w:t>
      </w:r>
    </w:p>
    <w:p w14:paraId="06061EFC" w14:textId="77777777" w:rsidR="00476F9B" w:rsidRPr="0006717A" w:rsidRDefault="00476F9B" w:rsidP="00476F9B">
      <w:pPr>
        <w:pStyle w:val="Heading2"/>
        <w:ind w:left="426"/>
        <w:rPr>
          <w:rFonts w:eastAsia="Times New Roman"/>
          <w:lang w:eastAsia="bg-BG"/>
        </w:rPr>
      </w:pPr>
      <w:bookmarkStart w:id="10" w:name="_Toc503363226"/>
      <w:bookmarkStart w:id="11" w:name="_Toc24369178"/>
      <w:r w:rsidRPr="0006717A">
        <w:rPr>
          <w:rFonts w:eastAsia="Times New Roman"/>
          <w:lang w:eastAsia="bg-BG"/>
        </w:rPr>
        <w:t>Подкрепа на международни научни форуми, провеждани в Република България</w:t>
      </w:r>
      <w:bookmarkEnd w:id="10"/>
      <w:bookmarkEnd w:id="11"/>
    </w:p>
    <w:p w14:paraId="33DF565B" w14:textId="77777777"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14:paraId="1A00AC5D"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26E13451"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28A0DAAC"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14:paraId="3DF1CAC2" w14:textId="77777777"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14:paraId="7FFC38E2"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0A1F3017"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lastRenderedPageBreak/>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69848ABD"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1CCB7132"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1" w:tgtFrame="_blank" w:history="1">
        <w:r w:rsidRPr="00DD764B">
          <w:rPr>
            <w:rStyle w:val="Hyperlink"/>
            <w:rFonts w:eastAsia="Times New Roman" w:cs="Times New Roman"/>
            <w:sz w:val="24"/>
            <w:szCs w:val="24"/>
            <w:lang w:eastAsia="bg-BG"/>
          </w:rPr>
          <w:t>https://www.neaa.government.bg</w:t>
        </w:r>
      </w:hyperlink>
    </w:p>
    <w:p w14:paraId="43C23A4B"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14:paraId="0D4332C1"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14:paraId="65FED1FB"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7BCA690A"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1F2CA330"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0E7D3A56"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7533BD2C"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5CED2935"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1152C992" w14:textId="77777777"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300BAE6C" w14:textId="77777777"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w:t>
      </w:r>
      <w:r w:rsidRPr="009C6D1E">
        <w:rPr>
          <w:rFonts w:eastAsia="Times New Roman" w:cs="Times New Roman"/>
          <w:color w:val="000000"/>
          <w:sz w:val="24"/>
          <w:szCs w:val="24"/>
          <w:lang w:eastAsia="bg-BG"/>
        </w:rPr>
        <w:lastRenderedPageBreak/>
        <w:t>вътрешен транспорт в страната на участниците в научната проява и други присъщи разходи.</w:t>
      </w:r>
    </w:p>
    <w:p w14:paraId="4B2F2A8B" w14:textId="77777777"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32" w:history="1">
        <w:r w:rsidRPr="00DD764B">
          <w:rPr>
            <w:rStyle w:val="Hyperlink"/>
            <w:rFonts w:eastAsia="Times New Roman" w:cs="Times New Roman"/>
            <w:sz w:val="24"/>
            <w:szCs w:val="24"/>
            <w:lang w:eastAsia="bg-BG"/>
          </w:rPr>
          <w:t>ТУК</w:t>
        </w:r>
      </w:hyperlink>
    </w:p>
    <w:p w14:paraId="6B7FF102" w14:textId="77777777" w:rsidR="00476F9B" w:rsidRDefault="00476F9B" w:rsidP="00C24B7D">
      <w:pPr>
        <w:shd w:val="clear" w:color="auto" w:fill="FFFFFF"/>
        <w:spacing w:before="120" w:after="60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14:paraId="264DC3C1" w14:textId="77777777" w:rsidR="00476F9B" w:rsidRPr="00AB0EFA" w:rsidRDefault="00476F9B" w:rsidP="00476F9B">
      <w:pPr>
        <w:pStyle w:val="Heading2"/>
        <w:ind w:left="426"/>
        <w:rPr>
          <w:rFonts w:eastAsia="Times New Roman"/>
          <w:lang w:eastAsia="bg-BG"/>
        </w:rPr>
      </w:pPr>
      <w:bookmarkStart w:id="12" w:name="_Toc503363227"/>
      <w:bookmarkStart w:id="13" w:name="_Toc24369179"/>
      <w:r w:rsidRPr="00AB0EFA">
        <w:rPr>
          <w:rFonts w:eastAsia="Times New Roman"/>
          <w:lang w:eastAsia="bg-BG"/>
        </w:rPr>
        <w:t>Национално съфинансиране за участие на български колективи в утвърдени проекти по COST</w:t>
      </w:r>
      <w:bookmarkEnd w:id="12"/>
      <w:bookmarkEnd w:id="13"/>
    </w:p>
    <w:p w14:paraId="105B777E" w14:textId="77777777"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2003CEFA"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4D281B1F"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ДОПУСТИМИ КАНДИДАТИ</w:t>
      </w:r>
    </w:p>
    <w:p w14:paraId="16A546FC"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14:paraId="5DA0F967"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14:paraId="038CC5AE"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КРИТЕРИИ ЗА ОЦЕНКА:</w:t>
      </w:r>
    </w:p>
    <w:p w14:paraId="4A884ED8" w14:textId="77777777"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6A459BDE"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14:paraId="0B7986F7"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503B7A1C"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14:paraId="14C86FD9"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14:paraId="68778BFB" w14:textId="77777777" w:rsidR="00476F9B" w:rsidRPr="00E1455C" w:rsidRDefault="0030675B" w:rsidP="00C24B7D">
      <w:pPr>
        <w:spacing w:after="120"/>
        <w:rPr>
          <w:rFonts w:cs="Times New Roman"/>
          <w:color w:val="000000"/>
          <w:sz w:val="24"/>
          <w:szCs w:val="24"/>
        </w:rPr>
      </w:pPr>
      <w:hyperlink r:id="rId33" w:tgtFrame="_blank" w:history="1">
        <w:r w:rsidR="00476F9B" w:rsidRPr="00E1455C">
          <w:rPr>
            <w:rStyle w:val="Hyperlink"/>
            <w:rFonts w:cs="Times New Roman"/>
            <w:sz w:val="24"/>
            <w:szCs w:val="24"/>
          </w:rPr>
          <w:t>Пълен текст на процедурата</w:t>
        </w:r>
      </w:hyperlink>
    </w:p>
    <w:p w14:paraId="4D420635"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4" w:history="1">
        <w:r w:rsidRPr="00E1455C">
          <w:rPr>
            <w:rFonts w:eastAsia="Calibri" w:cs="Times New Roman"/>
            <w:color w:val="0000FF" w:themeColor="hyperlink"/>
            <w:sz w:val="24"/>
            <w:szCs w:val="24"/>
            <w:u w:val="single"/>
            <w:lang w:eastAsia="bg-BG"/>
          </w:rPr>
          <w:t>fni-konkursi@mon.bg</w:t>
        </w:r>
      </w:hyperlink>
    </w:p>
    <w:p w14:paraId="78F4F9EA" w14:textId="77777777" w:rsidR="00C24B7D" w:rsidRDefault="00476F9B" w:rsidP="00C24B7D">
      <w:pPr>
        <w:spacing w:after="120"/>
        <w:rPr>
          <w:rFonts w:eastAsia="Calibri" w:cs="Times New Roman"/>
          <w:b/>
          <w:sz w:val="24"/>
          <w:szCs w:val="24"/>
          <w:lang w:eastAsia="bg-BG"/>
        </w:rPr>
      </w:pPr>
      <w:r w:rsidRPr="00AB0EFA">
        <w:rPr>
          <w:rFonts w:eastAsia="Calibri" w:cs="Times New Roman"/>
          <w:b/>
          <w:sz w:val="24"/>
          <w:szCs w:val="24"/>
          <w:lang w:eastAsia="bg-BG"/>
        </w:rPr>
        <w:t>Краен срок: текущ</w:t>
      </w:r>
      <w:r w:rsidR="00C24B7D">
        <w:rPr>
          <w:rFonts w:eastAsia="Calibri" w:cs="Times New Roman"/>
          <w:b/>
          <w:sz w:val="24"/>
          <w:szCs w:val="24"/>
          <w:lang w:eastAsia="bg-BG"/>
        </w:rPr>
        <w:br w:type="page"/>
      </w:r>
    </w:p>
    <w:p w14:paraId="69247DF7" w14:textId="77777777" w:rsidR="002E339B" w:rsidRDefault="002E339B" w:rsidP="002E339B">
      <w:pPr>
        <w:pStyle w:val="Heading2"/>
        <w:ind w:left="357" w:hanging="357"/>
      </w:pPr>
      <w:bookmarkStart w:id="14" w:name="_Toc24369180"/>
      <w:r w:rsidRPr="0052108C">
        <w:lastRenderedPageBreak/>
        <w:t>Програма: „Америка за България”</w:t>
      </w:r>
      <w:bookmarkEnd w:id="14"/>
    </w:p>
    <w:p w14:paraId="38016597" w14:textId="77777777"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14:paraId="28A32B2C"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14:paraId="16BBFE3E"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14:paraId="45156066"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14:paraId="601FF4A8"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14:paraId="44F9B56F" w14:textId="77777777"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14:paraId="3AB24C73" w14:textId="77777777"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14:paraId="652BAB8C" w14:textId="77777777"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14:paraId="5760F68B" w14:textId="77777777"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14:paraId="3DDF26C9" w14:textId="77777777"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14:paraId="34DFC343" w14:textId="77777777"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14:paraId="0752BDCE" w14:textId="77777777"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14:paraId="0C4840DC" w14:textId="77777777"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14:paraId="4AECF42A" w14:textId="77777777"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14:paraId="7F5FCA98" w14:textId="77777777"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14:paraId="18EC132C" w14:textId="77777777"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14:paraId="33A82C78" w14:textId="77777777" w:rsidR="00B57F79" w:rsidRDefault="00B57F79" w:rsidP="00460469">
      <w:pPr>
        <w:sectPr w:rsidR="00B57F79" w:rsidSect="00EF7FA2">
          <w:footerReference w:type="default" r:id="rId35"/>
          <w:pgSz w:w="11906" w:h="16838"/>
          <w:pgMar w:top="1417" w:right="1133" w:bottom="1417" w:left="1417" w:header="708" w:footer="708" w:gutter="0"/>
          <w:cols w:space="708"/>
          <w:docGrid w:linePitch="360"/>
        </w:sectPr>
      </w:pPr>
    </w:p>
    <w:p w14:paraId="55BEB4E2" w14:textId="77777777" w:rsidR="00AC582E" w:rsidRPr="00544F92" w:rsidRDefault="00912146" w:rsidP="00510D99">
      <w:pPr>
        <w:pStyle w:val="Events"/>
      </w:pPr>
      <w:bookmarkStart w:id="15" w:name="_Toc24369181"/>
      <w:r>
        <w:lastRenderedPageBreak/>
        <w:t>СЪБИТИЯ</w:t>
      </w:r>
      <w:bookmarkEnd w:id="15"/>
    </w:p>
    <w:p w14:paraId="102E3246" w14:textId="77777777" w:rsidR="003D5943" w:rsidRPr="003D5943" w:rsidRDefault="003D5943" w:rsidP="003D5943">
      <w:pPr>
        <w:spacing w:after="360"/>
        <w:rPr>
          <w:b/>
          <w:bCs/>
          <w:color w:val="E36C0A" w:themeColor="accent6" w:themeShade="BF"/>
          <w:sz w:val="24"/>
          <w:szCs w:val="24"/>
          <w:u w:val="single"/>
          <w:lang w:val="en"/>
        </w:rPr>
      </w:pPr>
      <w:r w:rsidRPr="003D5943">
        <w:rPr>
          <w:b/>
          <w:bCs/>
          <w:color w:val="E36C0A" w:themeColor="accent6" w:themeShade="BF"/>
          <w:sz w:val="24"/>
          <w:szCs w:val="24"/>
          <w:u w:val="single"/>
          <w:lang w:val="en"/>
        </w:rPr>
        <w:t>Europe That Protects: Safeguarding Our Planet, Safeguarding Our Health, 3-4 December 2019, Helsinki, Finland</w:t>
      </w:r>
    </w:p>
    <w:p w14:paraId="574B57AF" w14:textId="77777777" w:rsidR="00F556DA" w:rsidRPr="00F556DA" w:rsidRDefault="00F556DA" w:rsidP="0023076F">
      <w:pPr>
        <w:spacing w:after="120"/>
        <w:rPr>
          <w:bCs/>
          <w:sz w:val="24"/>
          <w:szCs w:val="24"/>
          <w:lang w:val="en"/>
        </w:rPr>
      </w:pPr>
      <w:r w:rsidRPr="00F556DA">
        <w:rPr>
          <w:bCs/>
          <w:sz w:val="24"/>
          <w:szCs w:val="24"/>
          <w:lang w:val="en"/>
        </w:rPr>
        <w:t>This conference will bring together relevant stakeholders including researchers, policy makers and regulators to identify and discuss the main scientific challenges for harvesting and enhancing the benefits of a sound environment for human health and the scientific challenges for solutions to overcome environmental threats to human health.</w:t>
      </w:r>
    </w:p>
    <w:p w14:paraId="006FAD85" w14:textId="77777777" w:rsidR="00F556DA" w:rsidRPr="00F556DA" w:rsidRDefault="00F556DA" w:rsidP="0023076F">
      <w:pPr>
        <w:spacing w:before="120" w:after="120"/>
        <w:rPr>
          <w:bCs/>
          <w:sz w:val="24"/>
          <w:szCs w:val="24"/>
          <w:lang w:val="en"/>
        </w:rPr>
      </w:pPr>
      <w:r w:rsidRPr="00F556DA">
        <w:rPr>
          <w:bCs/>
          <w:sz w:val="24"/>
          <w:szCs w:val="24"/>
          <w:lang w:val="en"/>
        </w:rPr>
        <w:t>The main outcome will be recommendations on research and innovation priorities for the EU and Member States to work together to protect human health and our planet. </w:t>
      </w:r>
    </w:p>
    <w:p w14:paraId="57606BBB" w14:textId="77777777" w:rsidR="00F556DA" w:rsidRPr="00F556DA" w:rsidRDefault="00F556DA" w:rsidP="0023076F">
      <w:pPr>
        <w:spacing w:before="120" w:after="120"/>
        <w:rPr>
          <w:bCs/>
          <w:sz w:val="24"/>
          <w:szCs w:val="24"/>
          <w:lang w:val="en"/>
        </w:rPr>
      </w:pPr>
      <w:r w:rsidRPr="00F556DA">
        <w:rPr>
          <w:bCs/>
          <w:sz w:val="24"/>
          <w:szCs w:val="24"/>
          <w:lang w:val="en"/>
        </w:rPr>
        <w:t xml:space="preserve">This event is co-organised by the </w:t>
      </w:r>
      <w:hyperlink r:id="rId36" w:history="1">
        <w:r w:rsidRPr="00F556DA">
          <w:rPr>
            <w:rStyle w:val="Hyperlink"/>
            <w:bCs/>
            <w:sz w:val="24"/>
            <w:szCs w:val="24"/>
            <w:lang w:val="en"/>
          </w:rPr>
          <w:t>Finnish Institute for Health and Welfare</w:t>
        </w:r>
      </w:hyperlink>
      <w:r w:rsidRPr="00F556DA">
        <w:rPr>
          <w:bCs/>
          <w:sz w:val="24"/>
          <w:szCs w:val="24"/>
          <w:lang w:val="en"/>
        </w:rPr>
        <w:t xml:space="preserve">, the </w:t>
      </w:r>
      <w:hyperlink r:id="rId37" w:history="1">
        <w:r w:rsidRPr="00F556DA">
          <w:rPr>
            <w:rStyle w:val="Hyperlink"/>
            <w:bCs/>
            <w:sz w:val="24"/>
            <w:szCs w:val="24"/>
            <w:lang w:val="en"/>
          </w:rPr>
          <w:t>Finnish Environment Institute</w:t>
        </w:r>
      </w:hyperlink>
      <w:r w:rsidRPr="00F556DA">
        <w:rPr>
          <w:bCs/>
          <w:sz w:val="24"/>
          <w:szCs w:val="24"/>
          <w:lang w:val="en"/>
        </w:rPr>
        <w:t xml:space="preserve"> and the European Commission under the auspices of </w:t>
      </w:r>
      <w:hyperlink r:id="rId38" w:history="1">
        <w:r w:rsidRPr="00F556DA">
          <w:rPr>
            <w:rStyle w:val="Hyperlink"/>
            <w:bCs/>
            <w:sz w:val="24"/>
            <w:szCs w:val="24"/>
            <w:lang w:val="en"/>
          </w:rPr>
          <w:t>Finland’s Presidency of the EU in 2019</w:t>
        </w:r>
      </w:hyperlink>
      <w:r w:rsidRPr="00F556DA">
        <w:rPr>
          <w:bCs/>
          <w:sz w:val="24"/>
          <w:szCs w:val="24"/>
          <w:lang w:val="en"/>
        </w:rPr>
        <w:t>.</w:t>
      </w:r>
    </w:p>
    <w:p w14:paraId="2911C96A" w14:textId="77777777" w:rsidR="00F556DA" w:rsidRDefault="00F556DA" w:rsidP="00055F82">
      <w:pPr>
        <w:tabs>
          <w:tab w:val="num" w:pos="720"/>
        </w:tabs>
        <w:spacing w:after="360"/>
        <w:rPr>
          <w:bCs/>
          <w:sz w:val="24"/>
          <w:szCs w:val="24"/>
          <w:lang w:val="en"/>
        </w:rPr>
      </w:pPr>
      <w:r w:rsidRPr="00A53B81">
        <w:rPr>
          <w:bCs/>
          <w:sz w:val="24"/>
          <w:szCs w:val="24"/>
          <w:lang w:val="en"/>
        </w:rPr>
        <w:t>Further information</w:t>
      </w:r>
      <w:r w:rsidR="00A53B81">
        <w:rPr>
          <w:lang w:val="en-US"/>
        </w:rPr>
        <w:t>:</w:t>
      </w:r>
      <w:r w:rsidR="0023076F" w:rsidRPr="00A53B81">
        <w:t xml:space="preserve"> </w:t>
      </w:r>
      <w:hyperlink r:id="rId39" w:tgtFrame="_blank" w:history="1">
        <w:r w:rsidRPr="00F556DA">
          <w:rPr>
            <w:rStyle w:val="Hyperlink"/>
            <w:bCs/>
            <w:sz w:val="24"/>
            <w:szCs w:val="24"/>
            <w:lang w:val="en"/>
          </w:rPr>
          <w:t>Info and registration</w:t>
        </w:r>
      </w:hyperlink>
      <w:r w:rsidRPr="00F556DA">
        <w:rPr>
          <w:bCs/>
          <w:sz w:val="24"/>
          <w:szCs w:val="24"/>
          <w:lang w:val="en"/>
        </w:rPr>
        <w:t xml:space="preserve"> </w:t>
      </w:r>
    </w:p>
    <w:p w14:paraId="2A68BCB4" w14:textId="77777777" w:rsidR="00C44E15" w:rsidRPr="00C24B7D" w:rsidRDefault="00C44E15" w:rsidP="00C44E15">
      <w:pPr>
        <w:tabs>
          <w:tab w:val="num" w:pos="720"/>
        </w:tabs>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t>Forward together with innovation:</w:t>
      </w:r>
      <w:r w:rsidR="00C24B7D" w:rsidRPr="00C24B7D">
        <w:rPr>
          <w:b/>
          <w:bCs/>
          <w:color w:val="E36C0A" w:themeColor="accent6" w:themeShade="BF"/>
          <w:sz w:val="24"/>
          <w:szCs w:val="24"/>
          <w:u w:val="single"/>
        </w:rPr>
        <w:t xml:space="preserve"> </w:t>
      </w:r>
      <w:r w:rsidRPr="00C24B7D">
        <w:rPr>
          <w:b/>
          <w:bCs/>
          <w:color w:val="E36C0A" w:themeColor="accent6" w:themeShade="BF"/>
          <w:sz w:val="24"/>
          <w:szCs w:val="24"/>
          <w:u w:val="single"/>
          <w:lang w:val="en"/>
        </w:rPr>
        <w:t>The importance of policy making in the era of personalised medicine</w:t>
      </w:r>
      <w:r w:rsidR="0033159E" w:rsidRPr="00C24B7D">
        <w:rPr>
          <w:b/>
          <w:bCs/>
          <w:color w:val="E36C0A" w:themeColor="accent6" w:themeShade="BF"/>
          <w:sz w:val="24"/>
          <w:szCs w:val="24"/>
          <w:u w:val="single"/>
          <w:lang w:val="en"/>
        </w:rPr>
        <w:t>,</w:t>
      </w:r>
      <w:r w:rsidR="00EB24D2" w:rsidRPr="00C24B7D">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3-4 December 2019, Brussels, Belgium</w:t>
      </w:r>
    </w:p>
    <w:p w14:paraId="0F1C0D06" w14:textId="77777777" w:rsidR="00C24B7D" w:rsidRDefault="0033159E" w:rsidP="0033159E">
      <w:pPr>
        <w:tabs>
          <w:tab w:val="num" w:pos="720"/>
        </w:tabs>
        <w:spacing w:after="120"/>
        <w:rPr>
          <w:bCs/>
          <w:sz w:val="24"/>
          <w:szCs w:val="24"/>
        </w:rPr>
      </w:pPr>
      <w:r w:rsidRPr="0033159E">
        <w:rPr>
          <w:bCs/>
          <w:sz w:val="24"/>
          <w:szCs w:val="24"/>
          <w:lang w:val="en"/>
        </w:rPr>
        <w:t xml:space="preserve">The ​Belgian ​capital ​has ​been ​chosen ​to ​host ​the ​event ​as ​the ​new ​Parliament ​will ​be ​in ​place ​after ​the ​summer ​elections, ​while ​a ​new ​European ​Commission ​will ​be ​in ​the ​process ​of ​being ​formed, ​ready ​to ​formally ​move ​into ​the ​Berlaymont ​not ​long ​afterwards. </w:t>
      </w:r>
      <w:r w:rsidRPr="0033159E">
        <w:rPr>
          <w:bCs/>
          <w:sz w:val="24"/>
          <w:szCs w:val="24"/>
          <w:lang w:val="en"/>
        </w:rPr>
        <w:br/>
        <w:t xml:space="preserve">The ​event ​will ​be ​held ​under ​the ​auspices ​of ​the ​Finnish ​Presidency ​of ​the ​EU, ​which ​will ​run ​from ​July ​to ​December. </w:t>
      </w:r>
    </w:p>
    <w:p w14:paraId="422C6B88" w14:textId="77777777" w:rsidR="0033159E" w:rsidRDefault="0033159E" w:rsidP="0033159E">
      <w:pPr>
        <w:tabs>
          <w:tab w:val="num" w:pos="720"/>
        </w:tabs>
        <w:spacing w:after="120"/>
        <w:rPr>
          <w:bCs/>
          <w:sz w:val="24"/>
          <w:szCs w:val="24"/>
          <w:lang w:val="en"/>
        </w:rPr>
      </w:pPr>
      <w:r w:rsidRPr="0033159E">
        <w:rPr>
          <w:bCs/>
          <w:sz w:val="24"/>
          <w:szCs w:val="24"/>
          <w:lang w:val="en"/>
        </w:rPr>
        <w:t>The ​Congress ​is ​in ​a ​focused ​format ​to ​allow ​concrete ​issues ​to ​be ​tackled ​and ​to ​have ​a ​dialogue ​with ​our ​policy ​makers. Essentially, ​this ​3rd ​annual ​Congress ​will ​provide ​the ​ideal ​space ​to ​allow ​for ​a ​meeting ​of ​minds ​and ​expertise ​and ​represent ​a ​vital ​opportunity ​for ​top-level ​discussion ​and the ​formulation ​of ​real ​action ​plans, ​for ​example ​in ​the ​area ​of ​translational ​research.</w:t>
      </w:r>
      <w:r>
        <w:rPr>
          <w:bCs/>
          <w:sz w:val="24"/>
          <w:szCs w:val="24"/>
          <w:lang w:val="en"/>
        </w:rPr>
        <w:t xml:space="preserve"> </w:t>
      </w:r>
    </w:p>
    <w:p w14:paraId="3D261DC4" w14:textId="77777777" w:rsidR="0033159E" w:rsidRPr="0033159E" w:rsidRDefault="0033159E" w:rsidP="0033159E">
      <w:pPr>
        <w:tabs>
          <w:tab w:val="num" w:pos="720"/>
        </w:tabs>
        <w:spacing w:after="120"/>
        <w:rPr>
          <w:bCs/>
          <w:sz w:val="24"/>
          <w:szCs w:val="24"/>
          <w:lang w:val="en"/>
        </w:rPr>
      </w:pPr>
      <w:r w:rsidRPr="0033159E">
        <w:rPr>
          <w:bCs/>
          <w:sz w:val="24"/>
          <w:szCs w:val="24"/>
          <w:lang w:val="en"/>
        </w:rPr>
        <w:t>Congress ​will ​showcase ​different ​objectives ​which ​both ​the ​public ​and ​private ​sector ​can ​support, ​with ​a ​view ​to ​allowing ​the ​EU ​to ​present ​a ​common ​objective. Innovation ​and ​the ​incentives ​for ​it ​are ​key ​to ​health ​and ​wealth ​in ​the ​current ​EU-28 ​(and ​will ​be ​even ​more ​important ​after ​the ​UK ​leaves). It ​also ​encourages ​investment ​from ​outside ​of ​the ​EU, ​which ​is ​good ​for ​business ​and ​jobs. It ​is ​clear ​that ​innovation ​needs ​to ​soar ​to ​new ​heights, ​and ​be ​implemented ​and ​integrated, ​for ​the ​bene ​t ​of ​EU ​citizens.</w:t>
      </w:r>
    </w:p>
    <w:p w14:paraId="7A50CE7A" w14:textId="77777777" w:rsidR="00C24B7D" w:rsidRDefault="0033159E" w:rsidP="0033159E">
      <w:pPr>
        <w:tabs>
          <w:tab w:val="num" w:pos="720"/>
        </w:tabs>
        <w:spacing w:after="360"/>
        <w:rPr>
          <w:bCs/>
          <w:sz w:val="24"/>
          <w:szCs w:val="24"/>
          <w:lang w:val="en"/>
        </w:rPr>
      </w:pPr>
      <w:r w:rsidRPr="00D247A8">
        <w:rPr>
          <w:bCs/>
          <w:sz w:val="24"/>
          <w:szCs w:val="24"/>
          <w:lang w:val="en"/>
        </w:rPr>
        <w:t>Further information</w:t>
      </w:r>
      <w:r>
        <w:rPr>
          <w:b/>
          <w:bCs/>
          <w:sz w:val="24"/>
          <w:szCs w:val="24"/>
          <w:lang w:val="en"/>
        </w:rPr>
        <w:t xml:space="preserve"> </w:t>
      </w:r>
      <w:hyperlink r:id="rId40" w:tgtFrame="_blank" w:history="1">
        <w:r w:rsidRPr="0033159E">
          <w:rPr>
            <w:rStyle w:val="Hyperlink"/>
            <w:bCs/>
            <w:sz w:val="24"/>
            <w:szCs w:val="24"/>
            <w:lang w:val="en"/>
          </w:rPr>
          <w:t>Website</w:t>
        </w:r>
      </w:hyperlink>
      <w:r w:rsidRPr="0033159E">
        <w:rPr>
          <w:bCs/>
          <w:sz w:val="24"/>
          <w:szCs w:val="24"/>
          <w:lang w:val="en"/>
        </w:rPr>
        <w:t xml:space="preserve"> </w:t>
      </w:r>
    </w:p>
    <w:p w14:paraId="090E1C34" w14:textId="77777777" w:rsidR="00C24B7D" w:rsidRDefault="00C24B7D">
      <w:pPr>
        <w:jc w:val="left"/>
        <w:rPr>
          <w:bCs/>
          <w:sz w:val="24"/>
          <w:szCs w:val="24"/>
          <w:lang w:val="en"/>
        </w:rPr>
      </w:pPr>
      <w:r>
        <w:rPr>
          <w:bCs/>
          <w:sz w:val="24"/>
          <w:szCs w:val="24"/>
          <w:lang w:val="en"/>
        </w:rPr>
        <w:br w:type="page"/>
      </w:r>
    </w:p>
    <w:p w14:paraId="7D5CB05B" w14:textId="77777777" w:rsidR="00EB24D2" w:rsidRPr="00C24B7D" w:rsidRDefault="00EB24D2" w:rsidP="00EB24D2">
      <w:pPr>
        <w:tabs>
          <w:tab w:val="num" w:pos="720"/>
        </w:tabs>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lastRenderedPageBreak/>
        <w:t>EU Water Innovation Conference 2019, 11-13 December 2019, Zaragoza, Spain</w:t>
      </w:r>
    </w:p>
    <w:p w14:paraId="67E69F79" w14:textId="77777777" w:rsidR="000D2F6B" w:rsidRPr="000D2F6B" w:rsidRDefault="000D2F6B" w:rsidP="000D2F6B">
      <w:pPr>
        <w:tabs>
          <w:tab w:val="num" w:pos="720"/>
        </w:tabs>
        <w:spacing w:after="120"/>
        <w:rPr>
          <w:bCs/>
          <w:sz w:val="24"/>
          <w:szCs w:val="24"/>
          <w:lang w:val="en"/>
        </w:rPr>
      </w:pPr>
      <w:r w:rsidRPr="000D2F6B">
        <w:rPr>
          <w:bCs/>
          <w:sz w:val="24"/>
          <w:szCs w:val="24"/>
          <w:lang w:val="en"/>
        </w:rPr>
        <w:t>The theme of the EU Water Innovation Conference 2019 (EUWIC) is "Accelerating action to tackle water pollution and enhance EU preparedness to water-</w:t>
      </w:r>
      <w:r>
        <w:rPr>
          <w:bCs/>
          <w:sz w:val="24"/>
          <w:szCs w:val="24"/>
          <w:lang w:val="en"/>
        </w:rPr>
        <w:t>related climate change impacts".</w:t>
      </w:r>
      <w:r w:rsidRPr="000D2F6B">
        <w:rPr>
          <w:bCs/>
          <w:sz w:val="24"/>
          <w:szCs w:val="24"/>
          <w:lang w:val="en"/>
        </w:rPr>
        <w:t> </w:t>
      </w:r>
    </w:p>
    <w:p w14:paraId="1580CE16" w14:textId="77777777" w:rsidR="000D2F6B" w:rsidRDefault="000D2F6B" w:rsidP="000D2F6B">
      <w:pPr>
        <w:tabs>
          <w:tab w:val="num" w:pos="720"/>
        </w:tabs>
        <w:spacing w:after="120"/>
        <w:rPr>
          <w:bCs/>
          <w:sz w:val="24"/>
          <w:szCs w:val="24"/>
          <w:lang w:val="en"/>
        </w:rPr>
      </w:pPr>
      <w:r w:rsidRPr="000D2F6B">
        <w:rPr>
          <w:bCs/>
          <w:sz w:val="24"/>
          <w:szCs w:val="24"/>
          <w:lang w:val="en"/>
        </w:rPr>
        <w:t>The European Commission aims to raise awareness about the need and urgency to improve water management across the European Union towards a water-smart society. This high-level event will feed innovators minds with best practices and innovative approaches at technical, governance and policy levels.</w:t>
      </w:r>
    </w:p>
    <w:p w14:paraId="096ECF67" w14:textId="77777777" w:rsidR="000D2F6B" w:rsidRDefault="000D2F6B" w:rsidP="000D2F6B">
      <w:pPr>
        <w:tabs>
          <w:tab w:val="num" w:pos="720"/>
        </w:tabs>
        <w:spacing w:after="120"/>
        <w:rPr>
          <w:bCs/>
          <w:sz w:val="24"/>
          <w:szCs w:val="24"/>
          <w:lang w:val="en"/>
        </w:rPr>
      </w:pPr>
      <w:r w:rsidRPr="000D2F6B">
        <w:rPr>
          <w:bCs/>
          <w:sz w:val="24"/>
          <w:szCs w:val="24"/>
          <w:lang w:val="en"/>
        </w:rPr>
        <w:t>The main target audiences are high-level representatives of public and corporate water sector in Europe and beyond. Attendees will include water managers, representatives of water authorities, launching customers (innovation demanders) from the private and public sector (cities, regions and EU Member States), water-using sectors and innovation providers, and participants from other sectors related to innovation development, uptake and financing.</w:t>
      </w:r>
    </w:p>
    <w:p w14:paraId="7B1758BD" w14:textId="77777777" w:rsidR="000D2F6B" w:rsidRPr="000D2F6B" w:rsidRDefault="000D2F6B" w:rsidP="000D2F6B">
      <w:pPr>
        <w:tabs>
          <w:tab w:val="num" w:pos="720"/>
        </w:tabs>
        <w:spacing w:after="360"/>
        <w:rPr>
          <w:bCs/>
          <w:sz w:val="24"/>
          <w:szCs w:val="24"/>
          <w:lang w:val="en"/>
        </w:rPr>
      </w:pPr>
      <w:r w:rsidRPr="000D2F6B">
        <w:rPr>
          <w:bCs/>
          <w:sz w:val="24"/>
          <w:szCs w:val="24"/>
          <w:lang w:val="en"/>
        </w:rPr>
        <w:t>Further information</w:t>
      </w:r>
      <w:r>
        <w:rPr>
          <w:b/>
          <w:bCs/>
          <w:sz w:val="24"/>
          <w:szCs w:val="24"/>
          <w:lang w:val="en"/>
        </w:rPr>
        <w:t xml:space="preserve"> </w:t>
      </w:r>
      <w:hyperlink r:id="rId41" w:tgtFrame="_blank" w:history="1">
        <w:r w:rsidRPr="000D2F6B">
          <w:rPr>
            <w:rStyle w:val="Hyperlink"/>
            <w:bCs/>
            <w:sz w:val="24"/>
            <w:szCs w:val="24"/>
            <w:lang w:val="en"/>
          </w:rPr>
          <w:t>Conference Website</w:t>
        </w:r>
      </w:hyperlink>
      <w:r w:rsidRPr="000D2F6B">
        <w:rPr>
          <w:bCs/>
          <w:sz w:val="24"/>
          <w:szCs w:val="24"/>
          <w:lang w:val="en"/>
        </w:rPr>
        <w:t xml:space="preserve"> </w:t>
      </w:r>
    </w:p>
    <w:p w14:paraId="49B43EF3" w14:textId="77777777" w:rsidR="00055F82" w:rsidRPr="00055F82" w:rsidRDefault="00055F82" w:rsidP="00055F82">
      <w:pPr>
        <w:spacing w:after="360"/>
        <w:rPr>
          <w:b/>
          <w:bCs/>
          <w:color w:val="E36C0A" w:themeColor="accent6" w:themeShade="BF"/>
          <w:sz w:val="24"/>
          <w:szCs w:val="24"/>
          <w:u w:val="single"/>
          <w:lang w:val="en"/>
        </w:rPr>
      </w:pPr>
      <w:r w:rsidRPr="00055F82">
        <w:rPr>
          <w:b/>
          <w:bCs/>
          <w:color w:val="E36C0A" w:themeColor="accent6" w:themeShade="BF"/>
          <w:sz w:val="24"/>
          <w:szCs w:val="24"/>
          <w:u w:val="single"/>
          <w:lang w:val="en"/>
        </w:rPr>
        <w:t>4th HBP Student Conference on Interdisciplinary Brain Research, 21 January 2020, Pisa, Italy</w:t>
      </w:r>
    </w:p>
    <w:p w14:paraId="22DFC686" w14:textId="77777777" w:rsidR="00055F82" w:rsidRPr="00055F82" w:rsidRDefault="00055F82" w:rsidP="00055F82">
      <w:pPr>
        <w:spacing w:after="120"/>
        <w:rPr>
          <w:bCs/>
          <w:sz w:val="24"/>
          <w:szCs w:val="24"/>
          <w:lang w:val="en"/>
        </w:rPr>
      </w:pPr>
      <w:r w:rsidRPr="00055F82">
        <w:rPr>
          <w:bCs/>
          <w:sz w:val="24"/>
          <w:szCs w:val="24"/>
          <w:lang w:val="en"/>
        </w:rPr>
        <w:t>The human brain is such a complex system that it can only be understood by combining knowledge and practices from multiple scientific fields. The 4th HBP Student Conference provides an open forum for the exchange of new ideas among young researchers working across various aspects of science relevant to the Human Brain Project (HBP). The conference offers a space for extensive scientific dialogue, both intra- and interdisciplinary, among peers and faculty through a variety of discussion sessions, lectures and social events. We invite original high-quality submissions describing innovative research in all disciplines addressed in the HBP. These contributions can emphasise theoretical or empirical works relating to a wide spectrum of fields including but not limited to: neuroscience, computer science, robotics, medicine, psychology, cognitive science or philosophy. We particularly encourage submissions with a potential to inspire collaboration in the research community by introducing new and relevant problems, concepts, and ideas, even if the work is at an early stage of development.</w:t>
      </w:r>
    </w:p>
    <w:p w14:paraId="7DCFB8C6" w14:textId="77777777" w:rsidR="00055F82" w:rsidRPr="00055F82" w:rsidRDefault="00055F82" w:rsidP="00055F82">
      <w:pPr>
        <w:tabs>
          <w:tab w:val="num" w:pos="720"/>
        </w:tabs>
        <w:spacing w:after="360"/>
        <w:rPr>
          <w:bCs/>
          <w:sz w:val="24"/>
          <w:szCs w:val="24"/>
          <w:lang w:val="en"/>
        </w:rPr>
      </w:pPr>
      <w:r w:rsidRPr="00A53B81">
        <w:rPr>
          <w:bCs/>
          <w:sz w:val="24"/>
          <w:szCs w:val="24"/>
          <w:lang w:val="en"/>
        </w:rPr>
        <w:t>Further information:</w:t>
      </w:r>
      <w:r>
        <w:rPr>
          <w:b/>
          <w:bCs/>
          <w:sz w:val="24"/>
          <w:szCs w:val="24"/>
          <w:lang w:val="en"/>
        </w:rPr>
        <w:t xml:space="preserve"> </w:t>
      </w:r>
      <w:hyperlink r:id="rId42" w:tgtFrame="_blank" w:history="1">
        <w:r w:rsidRPr="00055F82">
          <w:rPr>
            <w:rStyle w:val="Hyperlink"/>
            <w:bCs/>
            <w:sz w:val="24"/>
            <w:szCs w:val="24"/>
            <w:lang w:val="en"/>
          </w:rPr>
          <w:t>Website</w:t>
        </w:r>
      </w:hyperlink>
      <w:r w:rsidRPr="00055F82">
        <w:rPr>
          <w:bCs/>
          <w:sz w:val="24"/>
          <w:szCs w:val="24"/>
          <w:lang w:val="en"/>
        </w:rPr>
        <w:t xml:space="preserve"> </w:t>
      </w:r>
    </w:p>
    <w:p w14:paraId="24F089AE" w14:textId="77777777" w:rsidR="00A53B81" w:rsidRPr="00A53B81" w:rsidRDefault="00A53B81" w:rsidP="00A53B81">
      <w:pPr>
        <w:spacing w:after="360"/>
        <w:rPr>
          <w:b/>
          <w:bCs/>
          <w:color w:val="E36C0A" w:themeColor="accent6" w:themeShade="BF"/>
          <w:sz w:val="24"/>
          <w:szCs w:val="24"/>
          <w:u w:val="single"/>
          <w:lang w:val="en"/>
        </w:rPr>
      </w:pPr>
      <w:r w:rsidRPr="00A53B81">
        <w:rPr>
          <w:b/>
          <w:bCs/>
          <w:color w:val="E36C0A" w:themeColor="accent6" w:themeShade="BF"/>
          <w:sz w:val="24"/>
          <w:szCs w:val="24"/>
          <w:u w:val="single"/>
          <w:lang w:val="en"/>
        </w:rPr>
        <w:t>All-Atlantic Ocean Research Forum, 6</w:t>
      </w:r>
      <w:r w:rsidR="00104DE3">
        <w:rPr>
          <w:b/>
          <w:bCs/>
          <w:color w:val="E36C0A" w:themeColor="accent6" w:themeShade="BF"/>
          <w:sz w:val="24"/>
          <w:szCs w:val="24"/>
          <w:u w:val="single"/>
          <w:lang w:val="en"/>
        </w:rPr>
        <w:t xml:space="preserve"> </w:t>
      </w:r>
      <w:r w:rsidRPr="00A53B81">
        <w:rPr>
          <w:b/>
          <w:bCs/>
          <w:color w:val="E36C0A" w:themeColor="accent6" w:themeShade="BF"/>
          <w:sz w:val="24"/>
          <w:szCs w:val="24"/>
          <w:u w:val="single"/>
          <w:lang w:val="en"/>
        </w:rPr>
        <w:t>-7 February 2020, Brussels, Belgium</w:t>
      </w:r>
    </w:p>
    <w:p w14:paraId="3ADE9487" w14:textId="77777777" w:rsidR="00A53B81" w:rsidRDefault="00A53B81" w:rsidP="00A53B81">
      <w:pPr>
        <w:spacing w:after="120"/>
        <w:rPr>
          <w:bCs/>
          <w:sz w:val="24"/>
          <w:szCs w:val="24"/>
          <w:lang w:val="en"/>
        </w:rPr>
      </w:pPr>
      <w:r w:rsidRPr="00A53B81">
        <w:rPr>
          <w:bCs/>
          <w:sz w:val="24"/>
          <w:szCs w:val="24"/>
          <w:lang w:val="en"/>
        </w:rPr>
        <w:t>Join us to witness what policymakers, stakeholders from many Atlantic coastal countries and beyond, and our many EU funded projects have achieved since we navigated together on our Atlantic Journey in 2013 with the signing of the Galway Statement and the signing of Belém Statement in 2017.</w:t>
      </w:r>
      <w:r>
        <w:rPr>
          <w:bCs/>
          <w:sz w:val="24"/>
          <w:szCs w:val="24"/>
          <w:lang w:val="en"/>
        </w:rPr>
        <w:t xml:space="preserve"> </w:t>
      </w:r>
    </w:p>
    <w:p w14:paraId="07F4E15A" w14:textId="77777777" w:rsidR="00A53B81" w:rsidRDefault="00A53B81" w:rsidP="00A53B81">
      <w:pPr>
        <w:spacing w:after="120"/>
        <w:rPr>
          <w:bCs/>
          <w:sz w:val="24"/>
          <w:szCs w:val="24"/>
          <w:lang w:val="en"/>
        </w:rPr>
      </w:pPr>
      <w:r w:rsidRPr="00A53B81">
        <w:rPr>
          <w:bCs/>
          <w:sz w:val="24"/>
          <w:szCs w:val="24"/>
          <w:lang w:val="en"/>
        </w:rPr>
        <w:lastRenderedPageBreak/>
        <w:t> The All-Atlantic Ocean Research Forum will gather political and community leaders, researchers, industry, Youth Ambassadors and, inspirational speakers from along and across the Atlantic, from the Arctic to Antarctica, to showcase the results of cooperation and their impact on the citizens living on the shores of the Atlantic.</w:t>
      </w:r>
    </w:p>
    <w:p w14:paraId="5875F929" w14:textId="77777777" w:rsidR="00A53B81" w:rsidRDefault="00A53B81" w:rsidP="00A53B81">
      <w:pPr>
        <w:tabs>
          <w:tab w:val="num" w:pos="720"/>
        </w:tabs>
        <w:spacing w:after="360"/>
        <w:rPr>
          <w:bCs/>
          <w:sz w:val="24"/>
          <w:szCs w:val="24"/>
          <w:lang w:val="en"/>
        </w:rPr>
      </w:pPr>
      <w:r w:rsidRPr="00A53B81">
        <w:rPr>
          <w:bCs/>
          <w:sz w:val="24"/>
          <w:szCs w:val="24"/>
          <w:lang w:val="en"/>
        </w:rPr>
        <w:t>Further information:</w:t>
      </w:r>
      <w:r>
        <w:rPr>
          <w:bCs/>
          <w:sz w:val="24"/>
          <w:szCs w:val="24"/>
          <w:lang w:val="en"/>
        </w:rPr>
        <w:t xml:space="preserve"> </w:t>
      </w:r>
      <w:hyperlink r:id="rId43" w:tgtFrame="_blank" w:history="1">
        <w:r w:rsidRPr="00A53B81">
          <w:rPr>
            <w:rStyle w:val="Hyperlink"/>
            <w:bCs/>
            <w:sz w:val="24"/>
            <w:szCs w:val="24"/>
            <w:lang w:val="en"/>
          </w:rPr>
          <w:t>Oceans and seas</w:t>
        </w:r>
      </w:hyperlink>
      <w:r w:rsidRPr="00A53B81">
        <w:rPr>
          <w:bCs/>
          <w:sz w:val="24"/>
          <w:szCs w:val="24"/>
          <w:lang w:val="en"/>
        </w:rPr>
        <w:t xml:space="preserve"> </w:t>
      </w:r>
    </w:p>
    <w:p w14:paraId="40E46DF7" w14:textId="77777777" w:rsidR="00827E71" w:rsidRPr="00C24B7D" w:rsidRDefault="00827E71" w:rsidP="00827E71">
      <w:pPr>
        <w:tabs>
          <w:tab w:val="num" w:pos="720"/>
        </w:tabs>
        <w:spacing w:after="360"/>
        <w:rPr>
          <w:b/>
          <w:bCs/>
          <w:color w:val="E36C0A" w:themeColor="accent6" w:themeShade="BF"/>
          <w:sz w:val="24"/>
          <w:szCs w:val="24"/>
          <w:u w:val="single"/>
          <w:lang w:val="en"/>
        </w:rPr>
      </w:pPr>
      <w:r w:rsidRPr="00C24B7D">
        <w:rPr>
          <w:b/>
          <w:bCs/>
          <w:color w:val="E36C0A" w:themeColor="accent6" w:themeShade="BF"/>
          <w:sz w:val="24"/>
          <w:szCs w:val="24"/>
          <w:u w:val="single"/>
          <w:lang w:val="en-GB"/>
        </w:rPr>
        <w:t>2020 European Learning &amp; Teaching Forum, 13 - 14 February 2020, Utrecht, Netherlands</w:t>
      </w:r>
    </w:p>
    <w:p w14:paraId="165B6EEE" w14:textId="77777777" w:rsidR="00827E71" w:rsidRPr="00827E71" w:rsidRDefault="00827E71" w:rsidP="0031247D">
      <w:pPr>
        <w:spacing w:after="120"/>
        <w:rPr>
          <w:bCs/>
          <w:sz w:val="24"/>
          <w:szCs w:val="24"/>
          <w:lang w:val="en-GB"/>
        </w:rPr>
      </w:pPr>
      <w:r w:rsidRPr="00827E71">
        <w:rPr>
          <w:bCs/>
          <w:sz w:val="24"/>
          <w:szCs w:val="24"/>
          <w:lang w:val="en-GB"/>
        </w:rPr>
        <w:t>University education has changed significantly in recent decades, and continues to do so, as the expectations of students, stakeholders and society towards universities evolve. This process is further influenced by universities’ diverse historical, disciplinary and regional backgrounds. The 2020 European Learning &amp; Teaching Forum explores how institutions balance tried and trusted practices and innovative approaches to learning and teaching in a dynamic and increasingly digital and international environment.</w:t>
      </w:r>
    </w:p>
    <w:p w14:paraId="4CBB5DE7" w14:textId="77777777" w:rsidR="00827E71" w:rsidRPr="00827E71" w:rsidRDefault="00827E71" w:rsidP="00453E3B">
      <w:pPr>
        <w:spacing w:after="120"/>
        <w:rPr>
          <w:bCs/>
          <w:sz w:val="24"/>
          <w:szCs w:val="24"/>
          <w:lang w:val="en-GB"/>
        </w:rPr>
      </w:pPr>
      <w:r w:rsidRPr="00827E71">
        <w:rPr>
          <w:bCs/>
          <w:sz w:val="24"/>
          <w:szCs w:val="24"/>
          <w:lang w:val="en-GB"/>
        </w:rPr>
        <w:t xml:space="preserve">Through a mix of plenary and parallel sessions, the Forum provides a platform for discussion on how universities enhance learning and teaching, while also presenting the work of the </w:t>
      </w:r>
      <w:hyperlink r:id="rId44" w:history="1">
        <w:r w:rsidRPr="00827E71">
          <w:rPr>
            <w:rStyle w:val="Hyperlink"/>
            <w:bCs/>
            <w:sz w:val="24"/>
            <w:szCs w:val="24"/>
            <w:lang w:val="en-GB"/>
          </w:rPr>
          <w:t>2019 EUA Learning &amp; Teaching Thematic Peer Groups</w:t>
        </w:r>
      </w:hyperlink>
      <w:r w:rsidRPr="00827E71">
        <w:rPr>
          <w:bCs/>
          <w:sz w:val="24"/>
          <w:szCs w:val="24"/>
          <w:lang w:val="en-GB"/>
        </w:rPr>
        <w:t>. The Forum</w:t>
      </w:r>
      <w:r w:rsidR="0031247D">
        <w:rPr>
          <w:bCs/>
          <w:sz w:val="24"/>
          <w:szCs w:val="24"/>
          <w:lang w:val="en-GB"/>
        </w:rPr>
        <w:t>, hosted by Utrecht University,</w:t>
      </w:r>
      <w:r w:rsidRPr="00827E71">
        <w:rPr>
          <w:bCs/>
          <w:sz w:val="24"/>
          <w:szCs w:val="24"/>
          <w:lang w:val="en-GB"/>
        </w:rPr>
        <w:t xml:space="preserve"> is an ideal event for vice-rectors for academic affairs, deans, and management involved in learning and teaching. It also welcomes students, policy-makers and other stakeholders in higher education.</w:t>
      </w:r>
    </w:p>
    <w:p w14:paraId="4B0E3EA9" w14:textId="77777777" w:rsidR="00FA471B" w:rsidRDefault="0030675B" w:rsidP="00A349F0">
      <w:pPr>
        <w:spacing w:after="360"/>
        <w:rPr>
          <w:bCs/>
          <w:sz w:val="24"/>
          <w:szCs w:val="24"/>
          <w:lang w:val="en"/>
        </w:rPr>
      </w:pPr>
      <w:hyperlink r:id="rId45" w:history="1">
        <w:r w:rsidR="0031247D" w:rsidRPr="0031247D">
          <w:rPr>
            <w:rStyle w:val="Hyperlink"/>
            <w:bCs/>
            <w:sz w:val="24"/>
            <w:szCs w:val="24"/>
            <w:lang w:val="en"/>
          </w:rPr>
          <w:t>More information and registration</w:t>
        </w:r>
      </w:hyperlink>
    </w:p>
    <w:p w14:paraId="7C86A7C4" w14:textId="77777777" w:rsidR="00453E3B" w:rsidRPr="00C24B7D" w:rsidRDefault="00453E3B" w:rsidP="00453E3B">
      <w:pPr>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t>ICSD 2020 : 8th International Conference on Sustainable Development, 9</w:t>
      </w:r>
      <w:r w:rsidR="00B20459">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-10 September 2020, Rome, Italy</w:t>
      </w:r>
    </w:p>
    <w:p w14:paraId="54DF0A41" w14:textId="77777777" w:rsidR="00885650" w:rsidRDefault="00885650" w:rsidP="00885650">
      <w:pPr>
        <w:spacing w:after="120"/>
        <w:rPr>
          <w:bCs/>
          <w:sz w:val="24"/>
          <w:szCs w:val="24"/>
          <w:lang w:val="en"/>
        </w:rPr>
      </w:pPr>
      <w:r w:rsidRPr="00885650">
        <w:rPr>
          <w:bCs/>
          <w:sz w:val="24"/>
          <w:szCs w:val="24"/>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14:paraId="0B9949CA" w14:textId="77777777" w:rsidR="00885650" w:rsidRDefault="00885650" w:rsidP="00885650">
      <w:pPr>
        <w:spacing w:after="120"/>
        <w:rPr>
          <w:bCs/>
          <w:sz w:val="24"/>
          <w:szCs w:val="24"/>
          <w:lang w:val="en"/>
        </w:rPr>
      </w:pPr>
      <w:r>
        <w:rPr>
          <w:bCs/>
          <w:sz w:val="24"/>
          <w:szCs w:val="24"/>
          <w:lang w:val="en"/>
        </w:rPr>
        <w:t>The Conference theme</w:t>
      </w:r>
      <w:r w:rsidRPr="00885650">
        <w:rPr>
          <w:bCs/>
          <w:sz w:val="24"/>
          <w:szCs w:val="24"/>
          <w:lang w:val="en"/>
        </w:rPr>
        <w:t>: Creating a unified foundation for the Sustainable Development: R</w:t>
      </w:r>
      <w:r>
        <w:rPr>
          <w:bCs/>
          <w:sz w:val="24"/>
          <w:szCs w:val="24"/>
          <w:lang w:val="en"/>
        </w:rPr>
        <w:t>esearch, Practice and Education.</w:t>
      </w:r>
    </w:p>
    <w:p w14:paraId="12B08C9F" w14:textId="77777777" w:rsidR="00885650" w:rsidRPr="00885650" w:rsidRDefault="00885650" w:rsidP="00885650">
      <w:pPr>
        <w:spacing w:after="120"/>
        <w:rPr>
          <w:bCs/>
          <w:sz w:val="24"/>
          <w:szCs w:val="24"/>
          <w:lang w:val="en"/>
        </w:rPr>
      </w:pPr>
      <w:r w:rsidRPr="00885650">
        <w:rPr>
          <w:bCs/>
          <w:sz w:val="24"/>
          <w:szCs w:val="24"/>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an holistic perspective, 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t>
      </w:r>
      <w:r w:rsidRPr="00885650">
        <w:rPr>
          <w:bCs/>
          <w:sz w:val="24"/>
          <w:szCs w:val="24"/>
          <w:lang w:val="en"/>
        </w:rPr>
        <w:lastRenderedPageBreak/>
        <w:t xml:space="preserve">within the ICSD 2020 program: 1. Economic Sustainability: Financial Sustainability, SME, MicroFinance Emerging Countries, International Trade 2. Environmental Sustainability: Water and Soil conservation, Healthcare, Renewable Energies, Food and Enviromental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46" w:history="1">
        <w:r w:rsidRPr="00885650">
          <w:rPr>
            <w:rStyle w:val="Hyperlink"/>
            <w:bCs/>
            <w:sz w:val="24"/>
            <w:szCs w:val="24"/>
            <w:lang w:val="en"/>
          </w:rPr>
          <w:t>icsd@ecsdev.org</w:t>
        </w:r>
      </w:hyperlink>
      <w:r w:rsidRPr="00885650">
        <w:rPr>
          <w:bCs/>
          <w:sz w:val="24"/>
          <w:szCs w:val="24"/>
          <w:lang w:val="en"/>
        </w:rPr>
        <w:t xml:space="preserve"> Virtual participation is available for those who are unable to attend the conference in person.</w:t>
      </w:r>
    </w:p>
    <w:p w14:paraId="1A0F791F" w14:textId="77777777" w:rsidR="00885650" w:rsidRPr="00885650" w:rsidRDefault="00885650" w:rsidP="00885650">
      <w:pPr>
        <w:tabs>
          <w:tab w:val="num" w:pos="720"/>
        </w:tabs>
        <w:spacing w:after="360"/>
        <w:rPr>
          <w:bCs/>
          <w:sz w:val="24"/>
          <w:szCs w:val="24"/>
          <w:lang w:val="en"/>
        </w:rPr>
      </w:pPr>
      <w:r w:rsidRPr="00885650">
        <w:rPr>
          <w:b/>
          <w:bCs/>
          <w:sz w:val="24"/>
          <w:szCs w:val="24"/>
          <w:lang w:val="en"/>
        </w:rPr>
        <w:t>Further information</w:t>
      </w:r>
      <w:r>
        <w:rPr>
          <w:b/>
          <w:bCs/>
          <w:sz w:val="24"/>
          <w:szCs w:val="24"/>
          <w:lang w:val="en"/>
        </w:rPr>
        <w:t xml:space="preserve"> </w:t>
      </w:r>
      <w:hyperlink r:id="rId47" w:tgtFrame="_blank" w:history="1">
        <w:r w:rsidRPr="00885650">
          <w:rPr>
            <w:rStyle w:val="Hyperlink"/>
            <w:bCs/>
            <w:sz w:val="24"/>
            <w:szCs w:val="24"/>
            <w:lang w:val="en"/>
          </w:rPr>
          <w:t>Website</w:t>
        </w:r>
      </w:hyperlink>
      <w:r w:rsidRPr="00885650">
        <w:rPr>
          <w:bCs/>
          <w:sz w:val="24"/>
          <w:szCs w:val="24"/>
          <w:lang w:val="en"/>
        </w:rPr>
        <w:t xml:space="preserve"> </w:t>
      </w:r>
    </w:p>
    <w:p w14:paraId="5EA64711" w14:textId="77777777" w:rsidR="00FA471B" w:rsidRPr="002F5CD5" w:rsidRDefault="00FA471B" w:rsidP="00A349F0">
      <w:pPr>
        <w:spacing w:after="360"/>
        <w:rPr>
          <w:bCs/>
          <w:sz w:val="24"/>
          <w:szCs w:val="24"/>
          <w:lang w:val="en"/>
        </w:rPr>
      </w:pPr>
    </w:p>
    <w:p w14:paraId="2C0148D8" w14:textId="77777777" w:rsidR="00E14B3C" w:rsidRDefault="00E14B3C" w:rsidP="00460469">
      <w:pPr>
        <w:rPr>
          <w:lang w:val="en-US"/>
        </w:rPr>
      </w:pPr>
    </w:p>
    <w:p w14:paraId="48544F00" w14:textId="77777777" w:rsidR="00A349F0" w:rsidRPr="002A1300" w:rsidRDefault="00A349F0" w:rsidP="00460469">
      <w:pPr>
        <w:rPr>
          <w:lang w:val="en-US"/>
        </w:rPr>
        <w:sectPr w:rsidR="00A349F0" w:rsidRPr="002A1300" w:rsidSect="002852EF">
          <w:footerReference w:type="default" r:id="rId48"/>
          <w:pgSz w:w="11906" w:h="16838"/>
          <w:pgMar w:top="1417" w:right="1417" w:bottom="1417" w:left="1417" w:header="708" w:footer="708" w:gutter="0"/>
          <w:cols w:space="708"/>
          <w:docGrid w:linePitch="360"/>
        </w:sectPr>
      </w:pPr>
    </w:p>
    <w:p w14:paraId="6567863E" w14:textId="77777777" w:rsidR="00912146" w:rsidRDefault="00912146" w:rsidP="00B278E8">
      <w:pPr>
        <w:pStyle w:val="Publications"/>
      </w:pPr>
      <w:bookmarkStart w:id="16" w:name="_Toc24369182"/>
      <w:r>
        <w:lastRenderedPageBreak/>
        <w:t>ПУБЛИКАЦИИ</w:t>
      </w:r>
      <w:bookmarkEnd w:id="16"/>
    </w:p>
    <w:p w14:paraId="4F95F128" w14:textId="77777777" w:rsidR="00290678" w:rsidRPr="00F90A7A" w:rsidRDefault="00290678" w:rsidP="00290678">
      <w:pPr>
        <w:pStyle w:val="Heading2"/>
      </w:pPr>
      <w:bookmarkStart w:id="17" w:name="_Toc24369183"/>
      <w:r w:rsidRPr="00F90A7A">
        <w:t>SINE2020 Sustainability Report</w:t>
      </w:r>
      <w:bookmarkEnd w:id="17"/>
    </w:p>
    <w:p w14:paraId="4651764E" w14:textId="77777777" w:rsidR="00290678" w:rsidRDefault="00290678" w:rsidP="00290678">
      <w:pPr>
        <w:spacing w:after="120"/>
        <w:rPr>
          <w:sz w:val="24"/>
          <w:szCs w:val="24"/>
          <w:lang w:val="en-US"/>
        </w:rPr>
      </w:pPr>
      <w:r w:rsidRPr="00E9047F">
        <w:rPr>
          <w:noProof/>
          <w:sz w:val="24"/>
          <w:szCs w:val="24"/>
          <w:lang w:eastAsia="bg-BG"/>
        </w:rPr>
        <w:drawing>
          <wp:inline distT="0" distB="0" distL="0" distR="0" wp14:anchorId="764185E0" wp14:editId="4AB9CEDF">
            <wp:extent cx="1386000" cy="1947600"/>
            <wp:effectExtent l="0" t="0" r="5080" b="0"/>
            <wp:docPr id="11" name="Picture 11" descr="Sustainabilit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tainability Repor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6000" cy="1947600"/>
                    </a:xfrm>
                    <a:prstGeom prst="rect">
                      <a:avLst/>
                    </a:prstGeom>
                    <a:noFill/>
                    <a:ln>
                      <a:noFill/>
                    </a:ln>
                  </pic:spPr>
                </pic:pic>
              </a:graphicData>
            </a:graphic>
          </wp:inline>
        </w:drawing>
      </w:r>
      <w:r w:rsidRPr="00E9047F">
        <w:rPr>
          <w:sz w:val="24"/>
          <w:szCs w:val="24"/>
        </w:rPr>
        <w:t xml:space="preserve">After four years, SINE2020 has now come to an end. To showcase what has been achieved, celebrate the legacy that lives on and highlight the challenges that still remain for the neutron community, SINE2020 management and Work Package leaders have come together to write the SINE2020 Sustainability Report. </w:t>
      </w:r>
    </w:p>
    <w:p w14:paraId="3E3461F5" w14:textId="77777777" w:rsidR="00290678" w:rsidRPr="00E9047F" w:rsidRDefault="00290678" w:rsidP="00290678">
      <w:pPr>
        <w:spacing w:after="120"/>
        <w:rPr>
          <w:sz w:val="24"/>
          <w:szCs w:val="24"/>
        </w:rPr>
      </w:pPr>
      <w:r w:rsidRPr="00E9047F">
        <w:rPr>
          <w:sz w:val="24"/>
          <w:szCs w:val="24"/>
        </w:rPr>
        <w:t>The report explains the project's developments in Sample Environment, Data Treatment, Crystal Growth, Deuteration, Simulations, Shielding and Detectors. It also describes the success in engaging with Industry, the training of new users at large scale facilities and creation of the deuteration network DEUNET.</w:t>
      </w:r>
    </w:p>
    <w:p w14:paraId="7A9EC2C0" w14:textId="77777777" w:rsidR="00290678" w:rsidRDefault="0030675B" w:rsidP="00290678">
      <w:pPr>
        <w:spacing w:after="600"/>
        <w:rPr>
          <w:b/>
          <w:sz w:val="24"/>
          <w:szCs w:val="24"/>
          <w:lang w:val="en-GB"/>
        </w:rPr>
      </w:pPr>
      <w:hyperlink r:id="rId50" w:history="1">
        <w:r w:rsidR="00290678" w:rsidRPr="00F90A7A">
          <w:rPr>
            <w:rStyle w:val="Hyperlink"/>
            <w:sz w:val="24"/>
            <w:szCs w:val="24"/>
          </w:rPr>
          <w:t>Download the Sustainability Report</w:t>
        </w:r>
      </w:hyperlink>
      <w:r w:rsidR="00290678">
        <w:rPr>
          <w:sz w:val="24"/>
          <w:szCs w:val="24"/>
          <w:lang w:val="en-US"/>
        </w:rPr>
        <w:t xml:space="preserve"> from this link</w:t>
      </w:r>
      <w:r w:rsidR="00290678" w:rsidRPr="00FD490C">
        <w:rPr>
          <w:b/>
          <w:sz w:val="24"/>
          <w:szCs w:val="24"/>
          <w:lang w:val="en-GB"/>
        </w:rPr>
        <w:t xml:space="preserve"> </w:t>
      </w:r>
    </w:p>
    <w:p w14:paraId="37A23C48" w14:textId="77777777" w:rsidR="00645F89" w:rsidRPr="00442C5B" w:rsidRDefault="00645F89" w:rsidP="00645F89">
      <w:pPr>
        <w:pStyle w:val="Heading2"/>
      </w:pPr>
      <w:bookmarkStart w:id="18" w:name="_Toc24369184"/>
      <w:r w:rsidRPr="00442C5B">
        <w:rPr>
          <w:lang w:val="en-GB"/>
        </w:rPr>
        <w:t>Bioimage Data Analysis Workflows</w:t>
      </w:r>
      <w:bookmarkEnd w:id="18"/>
    </w:p>
    <w:p w14:paraId="65EF6BCC" w14:textId="77777777" w:rsidR="004D0129" w:rsidRDefault="004D0129" w:rsidP="00645F89">
      <w:pPr>
        <w:spacing w:after="600"/>
        <w:rPr>
          <w:sz w:val="24"/>
          <w:szCs w:val="24"/>
          <w:lang w:val="en-US"/>
        </w:rPr>
      </w:pPr>
      <w:r>
        <w:rPr>
          <w:noProof/>
          <w:sz w:val="24"/>
          <w:szCs w:val="24"/>
          <w:lang w:eastAsia="bg-BG"/>
        </w:rPr>
        <w:drawing>
          <wp:anchor distT="0" distB="0" distL="114300" distR="114300" simplePos="0" relativeHeight="251703296" behindDoc="1" locked="0" layoutInCell="1" allowOverlap="1" wp14:anchorId="55421B73" wp14:editId="6423EDD5">
            <wp:simplePos x="0" y="0"/>
            <wp:positionH relativeFrom="column">
              <wp:posOffset>-50165</wp:posOffset>
            </wp:positionH>
            <wp:positionV relativeFrom="paragraph">
              <wp:posOffset>154940</wp:posOffset>
            </wp:positionV>
            <wp:extent cx="1327785" cy="2003425"/>
            <wp:effectExtent l="0" t="0" r="5715" b="0"/>
            <wp:wrapThrough wrapText="bothSides">
              <wp:wrapPolygon edited="0">
                <wp:start x="0" y="0"/>
                <wp:lineTo x="0" y="21360"/>
                <wp:lineTo x="21383" y="21360"/>
                <wp:lineTo x="21383" y="0"/>
                <wp:lineTo x="0" y="0"/>
              </wp:wrapPolygon>
            </wp:wrapThrough>
            <wp:docPr id="14" name="Picture 14" descr="C:\Users\Compaq\Desktop\Nature-based-flood-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Nature-based-flood-risk.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27785" cy="200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7628D" w14:textId="77777777" w:rsidR="004D0129" w:rsidRDefault="004D0129" w:rsidP="00645F89">
      <w:pPr>
        <w:spacing w:after="600"/>
        <w:rPr>
          <w:sz w:val="24"/>
          <w:szCs w:val="24"/>
          <w:lang w:val="en-US"/>
        </w:rPr>
      </w:pPr>
    </w:p>
    <w:p w14:paraId="0F5C9537" w14:textId="77777777" w:rsidR="004D0129" w:rsidRDefault="004D0129" w:rsidP="00645F89">
      <w:pPr>
        <w:spacing w:after="600"/>
        <w:rPr>
          <w:sz w:val="24"/>
          <w:szCs w:val="24"/>
          <w:lang w:val="en-US"/>
        </w:rPr>
      </w:pPr>
    </w:p>
    <w:p w14:paraId="6DD51839" w14:textId="77777777" w:rsidR="004D0129" w:rsidRPr="00A248F1" w:rsidRDefault="004D0129" w:rsidP="004D0129">
      <w:pPr>
        <w:spacing w:after="120"/>
        <w:rPr>
          <w:b/>
          <w:sz w:val="24"/>
          <w:szCs w:val="24"/>
          <w:lang w:val="en-GB"/>
        </w:rPr>
      </w:pPr>
      <w:r w:rsidRPr="00A248F1">
        <w:rPr>
          <w:b/>
          <w:sz w:val="24"/>
          <w:szCs w:val="24"/>
          <w:lang w:val="en-GB"/>
        </w:rPr>
        <w:t>2019 | Action CA15124</w:t>
      </w:r>
    </w:p>
    <w:p w14:paraId="230F3A38" w14:textId="77777777" w:rsidR="00645F89" w:rsidRPr="00442C5B" w:rsidRDefault="00645F89" w:rsidP="004D0129">
      <w:pPr>
        <w:spacing w:after="120"/>
        <w:rPr>
          <w:sz w:val="24"/>
          <w:szCs w:val="24"/>
          <w:lang w:val="en-GB"/>
        </w:rPr>
      </w:pPr>
      <w:r>
        <w:rPr>
          <w:sz w:val="24"/>
          <w:szCs w:val="24"/>
          <w:lang w:val="en-US"/>
        </w:rPr>
        <w:t>D</w:t>
      </w:r>
      <w:r w:rsidRPr="00442C5B">
        <w:rPr>
          <w:sz w:val="24"/>
          <w:szCs w:val="24"/>
          <w:lang w:val="en-GB"/>
        </w:rPr>
        <w:t xml:space="preserve">ownload </w:t>
      </w:r>
      <w:hyperlink r:id="rId52" w:anchor="about" w:tgtFrame="_blank" w:history="1">
        <w:r w:rsidRPr="00442C5B">
          <w:rPr>
            <w:rStyle w:val="Hyperlink"/>
            <w:bCs/>
            <w:sz w:val="24"/>
            <w:szCs w:val="24"/>
            <w:lang w:val="en-GB"/>
          </w:rPr>
          <w:t>here</w:t>
        </w:r>
      </w:hyperlink>
      <w:r w:rsidRPr="00442C5B">
        <w:rPr>
          <w:bCs/>
          <w:sz w:val="24"/>
          <w:szCs w:val="24"/>
          <w:lang w:val="en-GB"/>
        </w:rPr>
        <w:t>.</w:t>
      </w:r>
    </w:p>
    <w:p w14:paraId="1A394565" w14:textId="77777777" w:rsidR="00645F89" w:rsidRDefault="00645F89" w:rsidP="00000992">
      <w:pPr>
        <w:spacing w:after="600"/>
        <w:rPr>
          <w:sz w:val="24"/>
          <w:szCs w:val="24"/>
          <w:lang w:val="en-US"/>
        </w:rPr>
      </w:pPr>
      <w:r w:rsidRPr="00442C5B">
        <w:rPr>
          <w:sz w:val="24"/>
          <w:szCs w:val="24"/>
          <w:lang w:val="en-GB"/>
        </w:rPr>
        <w:t xml:space="preserve">This Open Access textbook provides students and researchers in the life sciences with essential practical information on how to quantitatively analyze data images. It refrains from focusing on theory, and instead uses practical examples and step-by step protocols to familiarize readers with the most commonly used image processing and analysis platforms such as ImageJ, MatLab and Python. Besides gaining knowhow on algorithm usage, readers </w:t>
      </w:r>
      <w:r w:rsidRPr="00442C5B">
        <w:rPr>
          <w:sz w:val="24"/>
          <w:szCs w:val="24"/>
          <w:lang w:val="en-GB"/>
        </w:rPr>
        <w:lastRenderedPageBreak/>
        <w:t>will learn how to create an analysis pipeline by scripting language; these skills are important in order to document reproducible image analysis workflows. The textbook is chiefly intended for advanced undergraduates in the life sciences and biomedicine without a theoretical background in data analysis, as well as for postdocs, staff scientists and faculty members who need to perform regular quantitative analyses of microscopy images.</w:t>
      </w:r>
      <w:r w:rsidRPr="00B249DA">
        <w:rPr>
          <w:sz w:val="24"/>
          <w:szCs w:val="24"/>
          <w:lang w:val="en-US"/>
        </w:rPr>
        <w:t xml:space="preserve"> </w:t>
      </w:r>
    </w:p>
    <w:p w14:paraId="2227FF5F" w14:textId="77777777" w:rsidR="00290678" w:rsidRPr="00FD490C" w:rsidRDefault="00290678" w:rsidP="00290678">
      <w:pPr>
        <w:pStyle w:val="Heading2"/>
        <w:rPr>
          <w:lang w:val="en-GB"/>
        </w:rPr>
      </w:pPr>
      <w:bookmarkStart w:id="19" w:name="_Toc24369185"/>
      <w:r w:rsidRPr="00FD490C">
        <w:rPr>
          <w:lang w:val="en-GB"/>
        </w:rPr>
        <w:t>State of the Art Report for Smart Habitat for Older Persons</w:t>
      </w:r>
      <w:bookmarkEnd w:id="19"/>
    </w:p>
    <w:p w14:paraId="737CA485" w14:textId="77777777" w:rsidR="00290678" w:rsidRDefault="00290678" w:rsidP="00290678">
      <w:pPr>
        <w:spacing w:after="120"/>
        <w:rPr>
          <w:sz w:val="24"/>
          <w:szCs w:val="24"/>
          <w:lang w:val="en-GB"/>
        </w:rPr>
      </w:pPr>
      <w:r w:rsidRPr="00FD490C">
        <w:rPr>
          <w:b/>
          <w:noProof/>
          <w:sz w:val="24"/>
          <w:szCs w:val="24"/>
          <w:lang w:eastAsia="bg-BG"/>
        </w:rPr>
        <w:drawing>
          <wp:anchor distT="0" distB="0" distL="114300" distR="114300" simplePos="0" relativeHeight="251701248" behindDoc="1" locked="0" layoutInCell="1" allowOverlap="1" wp14:anchorId="5167E32A" wp14:editId="1982937C">
            <wp:simplePos x="0" y="0"/>
            <wp:positionH relativeFrom="column">
              <wp:posOffset>29210</wp:posOffset>
            </wp:positionH>
            <wp:positionV relativeFrom="paragraph">
              <wp:posOffset>12700</wp:posOffset>
            </wp:positionV>
            <wp:extent cx="1363980" cy="1922145"/>
            <wp:effectExtent l="0" t="0" r="7620" b="1905"/>
            <wp:wrapThrough wrapText="bothSides">
              <wp:wrapPolygon edited="0">
                <wp:start x="0" y="0"/>
                <wp:lineTo x="0" y="21407"/>
                <wp:lineTo x="21419" y="21407"/>
                <wp:lineTo x="21419" y="0"/>
                <wp:lineTo x="0" y="0"/>
              </wp:wrapPolygon>
            </wp:wrapThrough>
            <wp:docPr id="12" name="Picture 12" descr="https://www.cost.eu/wp-content/uploads/2019/06/shel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st.eu/wp-content/uploads/2019/06/sheldon.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3980" cy="192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06753" w14:textId="77777777" w:rsidR="00290678" w:rsidRDefault="00290678" w:rsidP="00290678">
      <w:pPr>
        <w:spacing w:after="120"/>
        <w:rPr>
          <w:sz w:val="24"/>
          <w:szCs w:val="24"/>
          <w:lang w:val="en-GB"/>
        </w:rPr>
      </w:pPr>
    </w:p>
    <w:p w14:paraId="634888EF" w14:textId="77777777" w:rsidR="00290678" w:rsidRDefault="00290678" w:rsidP="00290678">
      <w:pPr>
        <w:spacing w:after="120"/>
        <w:rPr>
          <w:sz w:val="24"/>
          <w:szCs w:val="24"/>
          <w:lang w:val="en-GB"/>
        </w:rPr>
      </w:pPr>
    </w:p>
    <w:p w14:paraId="70BA11FC" w14:textId="77777777" w:rsidR="00290678" w:rsidRDefault="00290678" w:rsidP="00290678">
      <w:pPr>
        <w:spacing w:after="120"/>
        <w:rPr>
          <w:sz w:val="24"/>
          <w:szCs w:val="24"/>
          <w:lang w:val="en-GB"/>
        </w:rPr>
      </w:pPr>
    </w:p>
    <w:p w14:paraId="2D50F698" w14:textId="77777777" w:rsidR="00290678" w:rsidRDefault="00290678" w:rsidP="00290678">
      <w:pPr>
        <w:spacing w:after="120"/>
        <w:rPr>
          <w:sz w:val="24"/>
          <w:szCs w:val="24"/>
          <w:lang w:val="en-GB"/>
        </w:rPr>
      </w:pPr>
    </w:p>
    <w:p w14:paraId="1610FD6A" w14:textId="77777777" w:rsidR="00290678" w:rsidRPr="00FD490C" w:rsidRDefault="00290678" w:rsidP="00290678">
      <w:pPr>
        <w:spacing w:after="120"/>
        <w:rPr>
          <w:b/>
          <w:sz w:val="24"/>
          <w:szCs w:val="24"/>
          <w:lang w:val="en-GB"/>
        </w:rPr>
      </w:pPr>
      <w:r w:rsidRPr="00FD490C">
        <w:rPr>
          <w:b/>
          <w:sz w:val="24"/>
          <w:szCs w:val="24"/>
          <w:lang w:val="en-GB"/>
        </w:rPr>
        <w:t>2019 | Action CA16226</w:t>
      </w:r>
    </w:p>
    <w:p w14:paraId="24D676F8" w14:textId="77777777" w:rsidR="00290678" w:rsidRPr="009F6E1B" w:rsidRDefault="0030675B" w:rsidP="00290678">
      <w:pPr>
        <w:spacing w:after="600"/>
        <w:rPr>
          <w:sz w:val="24"/>
          <w:szCs w:val="24"/>
          <w:lang w:val="en-GB"/>
        </w:rPr>
      </w:pPr>
      <w:hyperlink r:id="rId54" w:tgtFrame="_blank" w:history="1">
        <w:r w:rsidR="00290678" w:rsidRPr="009F6E1B">
          <w:rPr>
            <w:rStyle w:val="Hyperlink"/>
            <w:sz w:val="24"/>
            <w:szCs w:val="24"/>
            <w:lang w:val="en-GB"/>
          </w:rPr>
          <w:t>Download</w:t>
        </w:r>
      </w:hyperlink>
    </w:p>
    <w:p w14:paraId="529EC90E" w14:textId="77777777" w:rsidR="00A248F1" w:rsidRDefault="00290678" w:rsidP="00290678">
      <w:pPr>
        <w:spacing w:after="120"/>
        <w:rPr>
          <w:sz w:val="24"/>
          <w:szCs w:val="24"/>
          <w:lang w:val="en-GB"/>
        </w:rPr>
      </w:pPr>
      <w:r w:rsidRPr="009F6E1B">
        <w:rPr>
          <w:sz w:val="24"/>
          <w:szCs w:val="24"/>
          <w:lang w:val="en-GB"/>
        </w:rPr>
        <w:t xml:space="preserve">This document reports the State of the Art of science and practice on three topics related to smart and healthy ageing at home: furniture and habitats, Information and Communication Technologies (ICT), and healthcare. The reports were prepared by the working groups of COST Action CA16226, Sheld-on. Sheld-on is a network of researchers, user representatives, industry members, and other stakeholders. The three domains covered in this report were the areas of interest for three working groups from the COST Action. The aim of each working group was to assess the State of the Art for disciplinary understanding, identification of advances in smart furniture and habitat, products, industries and success stories. The findings on these topics of all working groups are compiled here. Due to the different backgrounds of the members of each of the working groups, the document is divided in three separate parts that can be considered as separate State of the Art reports. </w:t>
      </w:r>
    </w:p>
    <w:p w14:paraId="30940A6F" w14:textId="77777777" w:rsidR="00290678" w:rsidRDefault="00290678" w:rsidP="00290678">
      <w:pPr>
        <w:spacing w:after="120"/>
        <w:rPr>
          <w:sz w:val="24"/>
          <w:szCs w:val="24"/>
          <w:lang w:val="en-GB"/>
        </w:rPr>
      </w:pPr>
      <w:r w:rsidRPr="009F6E1B">
        <w:rPr>
          <w:sz w:val="24"/>
          <w:szCs w:val="24"/>
          <w:lang w:val="en-GB"/>
        </w:rPr>
        <w:t>The goal of this document is to be used as input in the fourth working group of Sheld-on COST Action: Solutions for Ageing Well at Home, in the Community, and at Work, where experts from the three different domains converge to a single working group in order to achieve the action objectives.</w:t>
      </w:r>
    </w:p>
    <w:p w14:paraId="3A6110D4" w14:textId="77777777" w:rsidR="00290678" w:rsidRDefault="00290678" w:rsidP="00290678">
      <w:pPr>
        <w:spacing w:after="600"/>
        <w:rPr>
          <w:i/>
          <w:sz w:val="24"/>
          <w:szCs w:val="24"/>
          <w:lang w:val="en-GB"/>
        </w:rPr>
      </w:pPr>
      <w:r w:rsidRPr="009F6E1B">
        <w:rPr>
          <w:i/>
          <w:sz w:val="24"/>
          <w:szCs w:val="24"/>
          <w:lang w:val="en-GB"/>
        </w:rPr>
        <w:t>Edited by Jake Kaner, Rafael Maestre, Petre Lameski, Michal Isaacson, Kuldar Taveter, Signe Tomsone, Petra Maresova, Michael Burnard, and Francisco Melero.</w:t>
      </w:r>
    </w:p>
    <w:p w14:paraId="38CF59F3" w14:textId="77777777" w:rsidR="00000992" w:rsidRDefault="00000992">
      <w:pPr>
        <w:jc w:val="left"/>
        <w:rPr>
          <w:i/>
          <w:sz w:val="24"/>
          <w:szCs w:val="24"/>
          <w:lang w:val="en-GB"/>
        </w:rPr>
      </w:pPr>
      <w:r>
        <w:rPr>
          <w:i/>
          <w:sz w:val="24"/>
          <w:szCs w:val="24"/>
          <w:lang w:val="en-GB"/>
        </w:rPr>
        <w:br w:type="page"/>
      </w:r>
    </w:p>
    <w:p w14:paraId="05BA9D51" w14:textId="77777777" w:rsidR="007873D6" w:rsidRPr="007873D6" w:rsidRDefault="007873D6" w:rsidP="00D406BA">
      <w:pPr>
        <w:pStyle w:val="Heading2"/>
        <w:rPr>
          <w:lang w:val="en-GB"/>
        </w:rPr>
      </w:pPr>
      <w:bookmarkStart w:id="20" w:name="_Toc24369186"/>
      <w:r>
        <w:rPr>
          <w:lang w:val="en-GB"/>
        </w:rPr>
        <w:lastRenderedPageBreak/>
        <w:t>RESEARCH EU</w:t>
      </w:r>
      <w:bookmarkEnd w:id="20"/>
    </w:p>
    <w:p w14:paraId="6331DE54" w14:textId="77777777" w:rsidR="00D406BA" w:rsidRDefault="00660A89" w:rsidP="007873D6">
      <w:pPr>
        <w:spacing w:after="600"/>
        <w:rPr>
          <w:sz w:val="24"/>
          <w:szCs w:val="24"/>
        </w:rPr>
      </w:pPr>
      <w:r w:rsidRPr="007873D6">
        <w:rPr>
          <w:noProof/>
          <w:sz w:val="24"/>
          <w:szCs w:val="24"/>
        </w:rPr>
        <w:drawing>
          <wp:anchor distT="0" distB="0" distL="114300" distR="114300" simplePos="0" relativeHeight="251702272" behindDoc="1" locked="0" layoutInCell="1" allowOverlap="1" wp14:anchorId="4160ABA0" wp14:editId="34A50014">
            <wp:simplePos x="0" y="0"/>
            <wp:positionH relativeFrom="column">
              <wp:posOffset>8255</wp:posOffset>
            </wp:positionH>
            <wp:positionV relativeFrom="paragraph">
              <wp:posOffset>44450</wp:posOffset>
            </wp:positionV>
            <wp:extent cx="1273810" cy="1803400"/>
            <wp:effectExtent l="0" t="0" r="2540" b="6350"/>
            <wp:wrapThrough wrapText="bothSides">
              <wp:wrapPolygon edited="0">
                <wp:start x="0" y="0"/>
                <wp:lineTo x="0" y="21448"/>
                <wp:lineTo x="21320" y="21448"/>
                <wp:lineTo x="21320" y="0"/>
                <wp:lineTo x="0" y="0"/>
              </wp:wrapPolygon>
            </wp:wrapThrough>
            <wp:docPr id="4" name="Picture 4"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ation document thumbnai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381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B154F" w14:textId="77777777" w:rsidR="00D406BA" w:rsidRDefault="00D406BA" w:rsidP="00D406BA">
      <w:pPr>
        <w:spacing w:after="600"/>
        <w:rPr>
          <w:sz w:val="24"/>
          <w:szCs w:val="24"/>
          <w:lang w:val="en-US"/>
        </w:rPr>
      </w:pPr>
    </w:p>
    <w:p w14:paraId="0EDD348B" w14:textId="77777777" w:rsidR="00660A89" w:rsidRDefault="00660A89" w:rsidP="00660A89">
      <w:pPr>
        <w:spacing w:after="0"/>
        <w:rPr>
          <w:b/>
          <w:sz w:val="24"/>
          <w:szCs w:val="24"/>
          <w:lang w:val="en-GB"/>
        </w:rPr>
      </w:pPr>
    </w:p>
    <w:p w14:paraId="57357EDA" w14:textId="77777777" w:rsidR="00D406BA" w:rsidRPr="00D406BA" w:rsidRDefault="00D406BA" w:rsidP="00660A89">
      <w:pPr>
        <w:spacing w:after="0"/>
        <w:rPr>
          <w:b/>
          <w:sz w:val="24"/>
          <w:szCs w:val="24"/>
          <w:lang w:val="en-GB"/>
        </w:rPr>
      </w:pPr>
      <w:r w:rsidRPr="00D406BA">
        <w:rPr>
          <w:b/>
          <w:sz w:val="24"/>
          <w:szCs w:val="24"/>
          <w:lang w:val="en-GB"/>
        </w:rPr>
        <w:t xml:space="preserve">#87, November 2019 </w:t>
      </w:r>
    </w:p>
    <w:p w14:paraId="3A50608A" w14:textId="77777777" w:rsidR="00000992" w:rsidRPr="007873D6" w:rsidRDefault="0030675B" w:rsidP="00000992">
      <w:pPr>
        <w:spacing w:after="600"/>
        <w:rPr>
          <w:sz w:val="24"/>
          <w:szCs w:val="24"/>
          <w:lang w:val="en"/>
        </w:rPr>
      </w:pPr>
      <w:hyperlink r:id="rId56" w:history="1">
        <w:r w:rsidR="00000992" w:rsidRPr="00324DFA">
          <w:rPr>
            <w:rStyle w:val="Hyperlink"/>
            <w:b/>
            <w:bCs/>
            <w:sz w:val="24"/>
            <w:szCs w:val="24"/>
            <w:lang w:val="en"/>
          </w:rPr>
          <w:t>Download</w:t>
        </w:r>
      </w:hyperlink>
    </w:p>
    <w:p w14:paraId="389464D3" w14:textId="77777777" w:rsidR="007873D6" w:rsidRPr="007873D6" w:rsidRDefault="00D406BA" w:rsidP="00612870">
      <w:pPr>
        <w:spacing w:after="600"/>
        <w:rPr>
          <w:sz w:val="24"/>
          <w:szCs w:val="24"/>
          <w:lang w:val="en-GB"/>
        </w:rPr>
      </w:pPr>
      <w:r>
        <w:rPr>
          <w:sz w:val="24"/>
          <w:szCs w:val="24"/>
          <w:lang w:val="en-US"/>
        </w:rPr>
        <w:t xml:space="preserve">Fifty percent </w:t>
      </w:r>
      <w:r w:rsidR="007873D6" w:rsidRPr="007873D6">
        <w:rPr>
          <w:sz w:val="24"/>
          <w:szCs w:val="24"/>
          <w:lang w:val="en-GB"/>
        </w:rPr>
        <w:t>of overall public funding for security research in the EU comes from the Horizon 2020 programme. This month’s special feature highlights the work being done by seven EU-funded projects, approaching the problem from diverse angles such as harnessing innovative technologies to identify threats, streamlining CCTV analysis and blocking the illicit use of crypto currencies.</w:t>
      </w:r>
    </w:p>
    <w:p w14:paraId="2FECD290" w14:textId="77777777" w:rsidR="00A05F54" w:rsidRDefault="005E1660" w:rsidP="00A05F54">
      <w:pPr>
        <w:pStyle w:val="Heading2"/>
      </w:pPr>
      <w:bookmarkStart w:id="21" w:name="_Toc24369187"/>
      <w:r w:rsidRPr="005E1660">
        <w:t xml:space="preserve">European University Association: </w:t>
      </w:r>
      <w:r w:rsidR="00A05F54">
        <w:t>Student-centred learning: approaches to quality assurance</w:t>
      </w:r>
      <w:bookmarkEnd w:id="21"/>
    </w:p>
    <w:p w14:paraId="2B56A4F9" w14:textId="77777777" w:rsidR="00A05F54" w:rsidRPr="00A05F54" w:rsidRDefault="00A05F54" w:rsidP="00A05F54">
      <w:pPr>
        <w:rPr>
          <w:sz w:val="24"/>
          <w:szCs w:val="24"/>
        </w:rPr>
      </w:pPr>
      <w:r w:rsidRPr="00A05F54">
        <w:rPr>
          <w:sz w:val="24"/>
          <w:szCs w:val="24"/>
        </w:rPr>
        <w:t>Ample evidence suggests that even though student-centred learning is a topic of great interest and benefit to universities across Europe and beyond, there are widespread difficulties in addressing the concept in practice, mostly due to its broad scope.</w:t>
      </w:r>
    </w:p>
    <w:p w14:paraId="3603A2F3" w14:textId="77777777" w:rsidR="005E1660" w:rsidRPr="00A05F54" w:rsidRDefault="00A05F54" w:rsidP="0042615B">
      <w:pPr>
        <w:spacing w:after="600"/>
        <w:rPr>
          <w:sz w:val="24"/>
          <w:szCs w:val="24"/>
        </w:rPr>
      </w:pPr>
      <w:r w:rsidRPr="00A05F54">
        <w:rPr>
          <w:sz w:val="24"/>
          <w:szCs w:val="24"/>
        </w:rPr>
        <w:t>This report presents the status of student-centred learning in Europe’s universities and offers considerations for the role of quality assurance processes in ensuring that education provision is geared towards student learning and success. It also suggests an approach to student-centred learning which considers the concept a part of quality culture and reduces the widespread perception of quality assurance as a bureaucratic burden.</w:t>
      </w:r>
      <w:r w:rsidR="0042615B">
        <w:rPr>
          <w:sz w:val="24"/>
          <w:szCs w:val="24"/>
          <w:lang w:val="en-US"/>
        </w:rPr>
        <w:t xml:space="preserve">  </w:t>
      </w:r>
      <w:r w:rsidR="0042615B">
        <w:rPr>
          <w:sz w:val="24"/>
          <w:szCs w:val="24"/>
          <w:lang w:val="en-US"/>
        </w:rPr>
        <w:tab/>
      </w:r>
      <w:hyperlink r:id="rId57" w:history="1">
        <w:r w:rsidRPr="0042615B">
          <w:rPr>
            <w:rStyle w:val="Hyperlink"/>
            <w:sz w:val="24"/>
            <w:szCs w:val="24"/>
          </w:rPr>
          <w:t>Download</w:t>
        </w:r>
      </w:hyperlink>
    </w:p>
    <w:p w14:paraId="448F0A7C" w14:textId="77777777" w:rsidR="005E1660" w:rsidRPr="00C97EAD" w:rsidRDefault="005E1660" w:rsidP="005E1660">
      <w:pPr>
        <w:pStyle w:val="Heading2"/>
        <w:rPr>
          <w:rFonts w:eastAsia="Times New Roman"/>
          <w:lang w:val="en-GB" w:eastAsia="bg-BG"/>
        </w:rPr>
      </w:pPr>
      <w:bookmarkStart w:id="22" w:name="_Toc24369188"/>
      <w:r>
        <w:rPr>
          <w:rFonts w:eastAsia="Times New Roman"/>
          <w:lang w:val="en-GB" w:eastAsia="bg-BG"/>
        </w:rPr>
        <w:t xml:space="preserve">European University Association: </w:t>
      </w:r>
      <w:r w:rsidRPr="00C97EAD">
        <w:rPr>
          <w:rFonts w:eastAsia="Times New Roman"/>
          <w:lang w:val="en-GB" w:eastAsia="bg-BG"/>
        </w:rPr>
        <w:t>Reflections on University Research Assessment: key concepts, issues and actors</w:t>
      </w:r>
      <w:bookmarkEnd w:id="22"/>
    </w:p>
    <w:p w14:paraId="3E921874" w14:textId="77777777" w:rsidR="005E1660" w:rsidRPr="00C97EAD"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This briefing is the first step towards EUA’s commitment to raise awareness and support universities by providing an overview of the key concepts, issues and actors involved in research assessment. It provides the state of play and connects discussions among researchers, universities and other research performing organisations, research funders and policymakers.</w:t>
      </w:r>
    </w:p>
    <w:p w14:paraId="05C0F914" w14:textId="77777777" w:rsidR="005E1660" w:rsidRPr="002250E7" w:rsidRDefault="005E1660" w:rsidP="00082F80">
      <w:pPr>
        <w:spacing w:after="600"/>
        <w:rPr>
          <w:rFonts w:eastAsia="Times New Roman" w:cs="Times New Roman"/>
          <w:sz w:val="24"/>
          <w:szCs w:val="24"/>
          <w:lang w:val="en-GB" w:eastAsia="bg-BG"/>
        </w:rPr>
      </w:pPr>
      <w:r w:rsidRPr="00C97EAD">
        <w:rPr>
          <w:rFonts w:eastAsia="Times New Roman" w:cs="Times New Roman"/>
          <w:sz w:val="24"/>
          <w:szCs w:val="24"/>
          <w:lang w:val="en-GB" w:eastAsia="bg-BG"/>
        </w:rPr>
        <w:t>Particular attention is given to practical examples of new and innovative practices being developed and implemented. The publication is part of EUA’s broader efforts to support institutions in developing research assessment approaches that focus on quality, potential and impact, and take into account Open Science practices.</w:t>
      </w:r>
      <w:r>
        <w:rPr>
          <w:rFonts w:eastAsia="Times New Roman" w:cs="Times New Roman"/>
          <w:sz w:val="24"/>
          <w:szCs w:val="24"/>
          <w:lang w:val="en-GB" w:eastAsia="bg-BG"/>
        </w:rPr>
        <w:t xml:space="preserve"> </w:t>
      </w:r>
      <w:hyperlink r:id="rId58" w:tgtFrame="_blank" w:history="1">
        <w:r w:rsidRPr="00C97EAD">
          <w:rPr>
            <w:rStyle w:val="Hyperlink"/>
            <w:rFonts w:eastAsia="Times New Roman" w:cs="Times New Roman"/>
            <w:sz w:val="24"/>
            <w:szCs w:val="24"/>
            <w:lang w:val="en-GB" w:eastAsia="bg-BG"/>
          </w:rPr>
          <w:t>Download</w:t>
        </w:r>
      </w:hyperlink>
    </w:p>
    <w:p w14:paraId="57202D0F" w14:textId="77777777" w:rsidR="00F30BAE" w:rsidRPr="00F30BAE" w:rsidRDefault="00F30BAE" w:rsidP="00F30BAE">
      <w:pPr>
        <w:pStyle w:val="Heading2"/>
        <w:ind w:left="426"/>
        <w:rPr>
          <w:lang w:val="en-GB"/>
        </w:rPr>
      </w:pPr>
      <w:bookmarkStart w:id="23" w:name="_Toc24369189"/>
      <w:r w:rsidRPr="00F30BAE">
        <w:lastRenderedPageBreak/>
        <w:t>European University Association</w:t>
      </w:r>
      <w:r w:rsidRPr="00F30BAE">
        <w:rPr>
          <w:lang w:val="en-US"/>
        </w:rPr>
        <w:t xml:space="preserve"> Study: </w:t>
      </w:r>
      <w:r w:rsidRPr="00F30BAE">
        <w:rPr>
          <w:lang w:val="en-GB"/>
        </w:rPr>
        <w:t>The Role of Universities in Regional Innovation Ecosystems</w:t>
      </w:r>
      <w:bookmarkEnd w:id="23"/>
    </w:p>
    <w:p w14:paraId="086D8C84" w14:textId="77777777"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r w:rsidR="00962D44" w:rsidRPr="00F30BAE">
        <w:rPr>
          <w:sz w:val="24"/>
          <w:szCs w:val="24"/>
          <w:lang w:val="en-GB"/>
        </w:rPr>
        <w:t>Dr.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14:paraId="6DB4654A" w14:textId="77777777" w:rsidR="00F30BAE" w:rsidRDefault="00F30BAE" w:rsidP="0010243F">
      <w:pPr>
        <w:spacing w:after="600"/>
        <w:rPr>
          <w:rStyle w:val="Hyperlink"/>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59" w:tgtFrame="_blank" w:history="1">
        <w:r w:rsidRPr="007B30C0">
          <w:rPr>
            <w:rStyle w:val="Hyperlink"/>
            <w:sz w:val="24"/>
            <w:szCs w:val="24"/>
            <w:lang w:val="en-GB"/>
          </w:rPr>
          <w:t>Download</w:t>
        </w:r>
      </w:hyperlink>
    </w:p>
    <w:p w14:paraId="3C9EB0B5" w14:textId="77777777" w:rsidR="0031247D" w:rsidRPr="0031247D" w:rsidRDefault="0031247D" w:rsidP="00B249DA">
      <w:pPr>
        <w:pStyle w:val="Heading2"/>
        <w:rPr>
          <w:lang w:val="en-GB"/>
        </w:rPr>
      </w:pPr>
      <w:bookmarkStart w:id="24" w:name="_Toc24369190"/>
      <w:r w:rsidRPr="0031247D">
        <w:rPr>
          <w:lang w:val="en-GB"/>
        </w:rPr>
        <w:t>Research Assessment in the Transition to Open Science</w:t>
      </w:r>
      <w:bookmarkEnd w:id="24"/>
    </w:p>
    <w:p w14:paraId="2EEDEE17" w14:textId="77777777" w:rsidR="0031247D" w:rsidRPr="0031247D" w:rsidRDefault="0031247D" w:rsidP="0031247D">
      <w:pPr>
        <w:spacing w:after="120"/>
        <w:rPr>
          <w:sz w:val="24"/>
          <w:szCs w:val="24"/>
          <w:lang w:val="en-GB"/>
        </w:rPr>
      </w:pPr>
      <w:r w:rsidRPr="0031247D">
        <w:rPr>
          <w:sz w:val="24"/>
          <w:szCs w:val="24"/>
          <w:lang w:val="en-GB"/>
        </w:rPr>
        <w:t>2019 EUA Open Science and Access Survey Results</w:t>
      </w:r>
    </w:p>
    <w:p w14:paraId="78D3B621" w14:textId="77777777" w:rsidR="00E9047F" w:rsidRPr="00442C5B" w:rsidRDefault="0031247D" w:rsidP="0031247D">
      <w:pPr>
        <w:spacing w:after="120"/>
        <w:rPr>
          <w:rStyle w:val="Hyperlink"/>
          <w:color w:val="auto"/>
          <w:sz w:val="24"/>
          <w:szCs w:val="24"/>
          <w:u w:val="none"/>
          <w:lang w:val="en-GB"/>
        </w:rPr>
      </w:pPr>
      <w:r w:rsidRPr="0031247D">
        <w:rPr>
          <w:sz w:val="24"/>
          <w:szCs w:val="24"/>
          <w:lang w:val="en-GB"/>
        </w:rPr>
        <w:t>This report provides a comprehensive and up-to-date overview of the current state of research assessment at European universities, and shows why and how institutions are reviewing their evaluation practices. Based on the results of the 2019 EUA Open Science and Open Access Survey on Research Assessment, it aims to inform and strengthen the discussion by gathering and sharing information about current and future university approaches to research assessment.</w:t>
      </w:r>
      <w:r w:rsidR="00612870">
        <w:rPr>
          <w:sz w:val="24"/>
          <w:szCs w:val="24"/>
          <w:lang w:val="en-GB"/>
        </w:rPr>
        <w:t xml:space="preserve"> </w:t>
      </w:r>
      <w:hyperlink r:id="rId60" w:tgtFrame="_blank" w:history="1">
        <w:r w:rsidRPr="0031247D">
          <w:rPr>
            <w:rStyle w:val="Hyperlink"/>
            <w:sz w:val="24"/>
            <w:szCs w:val="24"/>
            <w:lang w:val="en-GB"/>
          </w:rPr>
          <w:t>Download</w:t>
        </w:r>
      </w:hyperlink>
    </w:p>
    <w:sectPr w:rsidR="00E9047F" w:rsidRPr="00442C5B" w:rsidSect="002852EF">
      <w:footerReference w:type="defaul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9DCF" w14:textId="77777777" w:rsidR="0030675B" w:rsidRDefault="0030675B" w:rsidP="003B2D94">
      <w:pPr>
        <w:spacing w:after="0" w:line="240" w:lineRule="auto"/>
      </w:pPr>
      <w:r>
        <w:separator/>
      </w:r>
    </w:p>
  </w:endnote>
  <w:endnote w:type="continuationSeparator" w:id="0">
    <w:p w14:paraId="5189B97D" w14:textId="77777777" w:rsidR="0030675B" w:rsidRDefault="0030675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249DA" w14:paraId="0EE3D9E0" w14:textId="77777777">
      <w:tc>
        <w:tcPr>
          <w:tcW w:w="4500" w:type="pct"/>
          <w:tcBorders>
            <w:top w:val="single" w:sz="4" w:space="0" w:color="000000" w:themeColor="text1"/>
          </w:tcBorders>
        </w:tcPr>
        <w:p w14:paraId="05E385C5" w14:textId="77777777" w:rsidR="00B249DA" w:rsidRPr="00D22505" w:rsidRDefault="00B249D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048F7764" w14:textId="77777777" w:rsidR="00B249DA" w:rsidRDefault="00B249DA">
          <w:pPr>
            <w:pStyle w:val="Header"/>
            <w:rPr>
              <w:color w:val="FFFFFF" w:themeColor="background1"/>
            </w:rPr>
          </w:pPr>
          <w:r>
            <w:fldChar w:fldCharType="begin"/>
          </w:r>
          <w:r>
            <w:instrText xml:space="preserve"> PAGE   \* MERGEFORMAT </w:instrText>
          </w:r>
          <w:r>
            <w:fldChar w:fldCharType="separate"/>
          </w:r>
          <w:r w:rsidR="00DE5B9E" w:rsidRPr="00DE5B9E">
            <w:rPr>
              <w:noProof/>
              <w:color w:val="FFFFFF" w:themeColor="background1"/>
            </w:rPr>
            <w:t>2</w:t>
          </w:r>
          <w:r>
            <w:rPr>
              <w:noProof/>
              <w:color w:val="FFFFFF" w:themeColor="background1"/>
            </w:rPr>
            <w:fldChar w:fldCharType="end"/>
          </w:r>
        </w:p>
      </w:tc>
    </w:tr>
  </w:tbl>
  <w:p w14:paraId="562A0FBC" w14:textId="77777777" w:rsidR="00B249DA" w:rsidRDefault="00B24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249DA" w14:paraId="02888CF0" w14:textId="77777777">
      <w:tc>
        <w:tcPr>
          <w:tcW w:w="4500" w:type="pct"/>
          <w:tcBorders>
            <w:top w:val="single" w:sz="4" w:space="0" w:color="000000" w:themeColor="text1"/>
          </w:tcBorders>
        </w:tcPr>
        <w:p w14:paraId="767CF3CC" w14:textId="77777777" w:rsidR="00B249DA" w:rsidRPr="00D22505" w:rsidRDefault="00B249D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32A1C17C" w14:textId="77777777" w:rsidR="00B249DA" w:rsidRDefault="00B249DA">
          <w:pPr>
            <w:pStyle w:val="Header"/>
            <w:rPr>
              <w:color w:val="FFFFFF" w:themeColor="background1"/>
            </w:rPr>
          </w:pPr>
          <w:r>
            <w:fldChar w:fldCharType="begin"/>
          </w:r>
          <w:r>
            <w:instrText xml:space="preserve"> PAGE   \* MERGEFORMAT </w:instrText>
          </w:r>
          <w:r>
            <w:fldChar w:fldCharType="separate"/>
          </w:r>
          <w:r w:rsidR="00DE5B9E" w:rsidRPr="00DE5B9E">
            <w:rPr>
              <w:noProof/>
              <w:color w:val="FFFFFF" w:themeColor="background1"/>
            </w:rPr>
            <w:t>7</w:t>
          </w:r>
          <w:r>
            <w:rPr>
              <w:noProof/>
              <w:color w:val="FFFFFF" w:themeColor="background1"/>
            </w:rPr>
            <w:fldChar w:fldCharType="end"/>
          </w:r>
        </w:p>
      </w:tc>
    </w:tr>
  </w:tbl>
  <w:p w14:paraId="4B939353" w14:textId="77777777" w:rsidR="00B249DA" w:rsidRDefault="00B24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B249DA" w14:paraId="67D5AF26" w14:textId="77777777" w:rsidTr="00D22505">
      <w:tc>
        <w:tcPr>
          <w:tcW w:w="4500" w:type="pct"/>
          <w:tcBorders>
            <w:top w:val="single" w:sz="4" w:space="0" w:color="000000" w:themeColor="text1"/>
          </w:tcBorders>
        </w:tcPr>
        <w:p w14:paraId="2E66C8E0" w14:textId="77777777" w:rsidR="00B249DA" w:rsidRPr="00D22505" w:rsidRDefault="00B249D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14:paraId="38351790" w14:textId="77777777" w:rsidR="00B249DA" w:rsidRDefault="00B249DA">
          <w:pPr>
            <w:pStyle w:val="Header"/>
            <w:rPr>
              <w:color w:val="FFFFFF" w:themeColor="background1"/>
            </w:rPr>
          </w:pPr>
          <w:r>
            <w:fldChar w:fldCharType="begin"/>
          </w:r>
          <w:r>
            <w:instrText xml:space="preserve"> PAGE   \* MERGEFORMAT </w:instrText>
          </w:r>
          <w:r>
            <w:fldChar w:fldCharType="separate"/>
          </w:r>
          <w:r w:rsidR="00DE5B9E" w:rsidRPr="00DE5B9E">
            <w:rPr>
              <w:noProof/>
              <w:color w:val="FFFFFF" w:themeColor="background1"/>
            </w:rPr>
            <w:t>12</w:t>
          </w:r>
          <w:r>
            <w:rPr>
              <w:noProof/>
              <w:color w:val="FFFFFF" w:themeColor="background1"/>
            </w:rPr>
            <w:fldChar w:fldCharType="end"/>
          </w:r>
        </w:p>
      </w:tc>
    </w:tr>
  </w:tbl>
  <w:p w14:paraId="0BAD3BB8" w14:textId="77777777" w:rsidR="00B249DA" w:rsidRDefault="00B24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249DA" w14:paraId="7AE52192" w14:textId="77777777" w:rsidTr="00D22505">
      <w:tc>
        <w:tcPr>
          <w:tcW w:w="4500" w:type="pct"/>
          <w:tcBorders>
            <w:top w:val="single" w:sz="4" w:space="0" w:color="000000" w:themeColor="text1"/>
          </w:tcBorders>
        </w:tcPr>
        <w:p w14:paraId="0934EB01" w14:textId="77777777" w:rsidR="00B249DA" w:rsidRPr="00D22505" w:rsidRDefault="00B249D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4E284B7F" w14:textId="77777777" w:rsidR="00B249DA" w:rsidRDefault="00B249DA">
          <w:pPr>
            <w:pStyle w:val="Header"/>
            <w:rPr>
              <w:color w:val="FFFFFF" w:themeColor="background1"/>
            </w:rPr>
          </w:pPr>
          <w:r>
            <w:fldChar w:fldCharType="begin"/>
          </w:r>
          <w:r>
            <w:instrText xml:space="preserve"> PAGE   \* MERGEFORMAT </w:instrText>
          </w:r>
          <w:r>
            <w:fldChar w:fldCharType="separate"/>
          </w:r>
          <w:r w:rsidR="00DE5B9E" w:rsidRPr="00DE5B9E">
            <w:rPr>
              <w:noProof/>
              <w:color w:val="FFFFFF" w:themeColor="background1"/>
            </w:rPr>
            <w:t>16</w:t>
          </w:r>
          <w:r>
            <w:rPr>
              <w:noProof/>
              <w:color w:val="FFFFFF" w:themeColor="background1"/>
            </w:rPr>
            <w:fldChar w:fldCharType="end"/>
          </w:r>
        </w:p>
      </w:tc>
    </w:tr>
  </w:tbl>
  <w:p w14:paraId="4345E775" w14:textId="77777777" w:rsidR="00B249DA" w:rsidRDefault="00B249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249DA" w14:paraId="156F8BDA" w14:textId="77777777" w:rsidTr="00413D6F">
      <w:tc>
        <w:tcPr>
          <w:tcW w:w="4500" w:type="pct"/>
          <w:tcBorders>
            <w:top w:val="single" w:sz="4" w:space="0" w:color="000000" w:themeColor="text1"/>
          </w:tcBorders>
        </w:tcPr>
        <w:p w14:paraId="3EE071D9" w14:textId="77777777" w:rsidR="00B249DA" w:rsidRPr="00D22505" w:rsidRDefault="00B249D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437C5FAF" w14:textId="77777777" w:rsidR="00B249DA" w:rsidRDefault="00B249DA">
          <w:pPr>
            <w:pStyle w:val="Header"/>
            <w:rPr>
              <w:color w:val="FFFFFF" w:themeColor="background1"/>
            </w:rPr>
          </w:pPr>
          <w:r>
            <w:fldChar w:fldCharType="begin"/>
          </w:r>
          <w:r>
            <w:instrText xml:space="preserve"> PAGE   \* MERGEFORMAT </w:instrText>
          </w:r>
          <w:r>
            <w:fldChar w:fldCharType="separate"/>
          </w:r>
          <w:r w:rsidR="00B20459" w:rsidRPr="00B20459">
            <w:rPr>
              <w:noProof/>
              <w:color w:val="FFFFFF" w:themeColor="background1"/>
            </w:rPr>
            <w:t>17</w:t>
          </w:r>
          <w:r>
            <w:rPr>
              <w:noProof/>
              <w:color w:val="FFFFFF" w:themeColor="background1"/>
            </w:rPr>
            <w:fldChar w:fldCharType="end"/>
          </w:r>
        </w:p>
      </w:tc>
    </w:tr>
  </w:tbl>
  <w:p w14:paraId="7354E469" w14:textId="77777777" w:rsidR="00B249DA" w:rsidRDefault="00B2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4B34" w14:textId="77777777" w:rsidR="0030675B" w:rsidRDefault="0030675B" w:rsidP="003B2D94">
      <w:pPr>
        <w:spacing w:after="0" w:line="240" w:lineRule="auto"/>
      </w:pPr>
      <w:r>
        <w:separator/>
      </w:r>
    </w:p>
  </w:footnote>
  <w:footnote w:type="continuationSeparator" w:id="0">
    <w:p w14:paraId="55D0EB2B" w14:textId="77777777" w:rsidR="0030675B" w:rsidRDefault="0030675B"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CFEFE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pt;height:8pt" o:bullet="t">
        <v:imagedata r:id="rId1" o:title="bullet"/>
      </v:shape>
    </w:pict>
  </w:numPicBullet>
  <w:numPicBullet w:numPicBulletId="1">
    <w:pict>
      <v:shape id="_x0000_i1029" type="#_x0000_t75" style="width:3in;height:3in" o:bullet="t"/>
    </w:pict>
  </w:numPicBullet>
  <w:abstractNum w:abstractNumId="0" w15:restartNumberingAfterBreak="0">
    <w:nsid w:val="01165DB1"/>
    <w:multiLevelType w:val="multilevel"/>
    <w:tmpl w:val="2A2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C0884"/>
    <w:multiLevelType w:val="multilevel"/>
    <w:tmpl w:val="C10C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4660"/>
    <w:multiLevelType w:val="multilevel"/>
    <w:tmpl w:val="415243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738D6"/>
    <w:multiLevelType w:val="multilevel"/>
    <w:tmpl w:val="72B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67A2C"/>
    <w:multiLevelType w:val="multilevel"/>
    <w:tmpl w:val="853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7646E"/>
    <w:multiLevelType w:val="multilevel"/>
    <w:tmpl w:val="232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A0314"/>
    <w:multiLevelType w:val="multilevel"/>
    <w:tmpl w:val="745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76335"/>
    <w:multiLevelType w:val="multilevel"/>
    <w:tmpl w:val="6792C90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84D20"/>
    <w:multiLevelType w:val="multilevel"/>
    <w:tmpl w:val="09F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64953"/>
    <w:multiLevelType w:val="hybridMultilevel"/>
    <w:tmpl w:val="5824F3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12" w15:restartNumberingAfterBreak="0">
    <w:nsid w:val="175D73F4"/>
    <w:multiLevelType w:val="multilevel"/>
    <w:tmpl w:val="635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A11E4"/>
    <w:multiLevelType w:val="hybridMultilevel"/>
    <w:tmpl w:val="2BA83E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FA12C6F"/>
    <w:multiLevelType w:val="multilevel"/>
    <w:tmpl w:val="9138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03497"/>
    <w:multiLevelType w:val="multilevel"/>
    <w:tmpl w:val="628886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B33106"/>
    <w:multiLevelType w:val="multilevel"/>
    <w:tmpl w:val="DC704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B1353"/>
    <w:multiLevelType w:val="hybridMultilevel"/>
    <w:tmpl w:val="0520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C13B43"/>
    <w:multiLevelType w:val="multilevel"/>
    <w:tmpl w:val="771A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17A1E"/>
    <w:multiLevelType w:val="multilevel"/>
    <w:tmpl w:val="235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85D91"/>
    <w:multiLevelType w:val="multilevel"/>
    <w:tmpl w:val="78A6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973"/>
    <w:multiLevelType w:val="multilevel"/>
    <w:tmpl w:val="16B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E46F54"/>
    <w:multiLevelType w:val="multilevel"/>
    <w:tmpl w:val="735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67EFA"/>
    <w:multiLevelType w:val="hybridMultilevel"/>
    <w:tmpl w:val="44A4CA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48440F1E"/>
    <w:multiLevelType w:val="hybridMultilevel"/>
    <w:tmpl w:val="54F0E6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4B216DA4"/>
    <w:multiLevelType w:val="multilevel"/>
    <w:tmpl w:val="0E4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B4BBC"/>
    <w:multiLevelType w:val="hybridMultilevel"/>
    <w:tmpl w:val="67E66BE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0115F04"/>
    <w:multiLevelType w:val="multilevel"/>
    <w:tmpl w:val="F0F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AE6EAE"/>
    <w:multiLevelType w:val="multilevel"/>
    <w:tmpl w:val="CB8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319E6"/>
    <w:multiLevelType w:val="hybridMultilevel"/>
    <w:tmpl w:val="651E8A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52B21F9"/>
    <w:multiLevelType w:val="hybridMultilevel"/>
    <w:tmpl w:val="2DC65B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643164A"/>
    <w:multiLevelType w:val="multilevel"/>
    <w:tmpl w:val="76B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6B367A"/>
    <w:multiLevelType w:val="multilevel"/>
    <w:tmpl w:val="30C419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741D1F"/>
    <w:multiLevelType w:val="multilevel"/>
    <w:tmpl w:val="D06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652D7"/>
    <w:multiLevelType w:val="multilevel"/>
    <w:tmpl w:val="9D7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815436"/>
    <w:multiLevelType w:val="multilevel"/>
    <w:tmpl w:val="E76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C90A6B"/>
    <w:multiLevelType w:val="multilevel"/>
    <w:tmpl w:val="B3B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B07F7"/>
    <w:multiLevelType w:val="multilevel"/>
    <w:tmpl w:val="9C12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9B06D5"/>
    <w:multiLevelType w:val="multilevel"/>
    <w:tmpl w:val="8C42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F4579"/>
    <w:multiLevelType w:val="multilevel"/>
    <w:tmpl w:val="CBF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22564"/>
    <w:multiLevelType w:val="multilevel"/>
    <w:tmpl w:val="296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D934EB"/>
    <w:multiLevelType w:val="multilevel"/>
    <w:tmpl w:val="CB4E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14BCA"/>
    <w:multiLevelType w:val="multilevel"/>
    <w:tmpl w:val="928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0B17DD"/>
    <w:multiLevelType w:val="multilevel"/>
    <w:tmpl w:val="5B80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48522A"/>
    <w:multiLevelType w:val="multilevel"/>
    <w:tmpl w:val="A6C2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9053A4"/>
    <w:multiLevelType w:val="multilevel"/>
    <w:tmpl w:val="12A83E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4"/>
  </w:num>
  <w:num w:numId="4">
    <w:abstractNumId w:val="16"/>
  </w:num>
  <w:num w:numId="5">
    <w:abstractNumId w:val="18"/>
  </w:num>
  <w:num w:numId="6">
    <w:abstractNumId w:val="45"/>
  </w:num>
  <w:num w:numId="7">
    <w:abstractNumId w:val="42"/>
  </w:num>
  <w:num w:numId="8">
    <w:abstractNumId w:val="46"/>
  </w:num>
  <w:num w:numId="9">
    <w:abstractNumId w:val="34"/>
  </w:num>
  <w:num w:numId="10">
    <w:abstractNumId w:val="2"/>
  </w:num>
  <w:num w:numId="11">
    <w:abstractNumId w:val="24"/>
  </w:num>
  <w:num w:numId="12">
    <w:abstractNumId w:val="27"/>
  </w:num>
  <w:num w:numId="13">
    <w:abstractNumId w:val="36"/>
  </w:num>
  <w:num w:numId="14">
    <w:abstractNumId w:val="5"/>
  </w:num>
  <w:num w:numId="15">
    <w:abstractNumId w:val="41"/>
  </w:num>
  <w:num w:numId="16">
    <w:abstractNumId w:val="32"/>
  </w:num>
  <w:num w:numId="17">
    <w:abstractNumId w:val="13"/>
  </w:num>
  <w:num w:numId="18">
    <w:abstractNumId w:val="10"/>
  </w:num>
  <w:num w:numId="19">
    <w:abstractNumId w:val="20"/>
  </w:num>
  <w:num w:numId="20">
    <w:abstractNumId w:val="6"/>
  </w:num>
  <w:num w:numId="21">
    <w:abstractNumId w:val="40"/>
  </w:num>
  <w:num w:numId="22">
    <w:abstractNumId w:val="19"/>
  </w:num>
  <w:num w:numId="23">
    <w:abstractNumId w:val="0"/>
  </w:num>
  <w:num w:numId="24">
    <w:abstractNumId w:val="23"/>
  </w:num>
  <w:num w:numId="25">
    <w:abstractNumId w:val="9"/>
  </w:num>
  <w:num w:numId="26">
    <w:abstractNumId w:val="33"/>
  </w:num>
  <w:num w:numId="27">
    <w:abstractNumId w:val="29"/>
  </w:num>
  <w:num w:numId="28">
    <w:abstractNumId w:val="7"/>
  </w:num>
  <w:num w:numId="29">
    <w:abstractNumId w:val="14"/>
  </w:num>
  <w:num w:numId="30">
    <w:abstractNumId w:val="30"/>
  </w:num>
  <w:num w:numId="31">
    <w:abstractNumId w:val="38"/>
  </w:num>
  <w:num w:numId="32">
    <w:abstractNumId w:val="43"/>
  </w:num>
  <w:num w:numId="33">
    <w:abstractNumId w:val="44"/>
  </w:num>
  <w:num w:numId="34">
    <w:abstractNumId w:val="37"/>
  </w:num>
  <w:num w:numId="35">
    <w:abstractNumId w:val="3"/>
  </w:num>
  <w:num w:numId="36">
    <w:abstractNumId w:val="26"/>
  </w:num>
  <w:num w:numId="37">
    <w:abstractNumId w:val="12"/>
  </w:num>
  <w:num w:numId="38">
    <w:abstractNumId w:val="35"/>
  </w:num>
  <w:num w:numId="39">
    <w:abstractNumId w:val="47"/>
  </w:num>
  <w:num w:numId="40">
    <w:abstractNumId w:val="15"/>
  </w:num>
  <w:num w:numId="41">
    <w:abstractNumId w:val="17"/>
  </w:num>
  <w:num w:numId="42">
    <w:abstractNumId w:val="8"/>
  </w:num>
  <w:num w:numId="43">
    <w:abstractNumId w:val="1"/>
  </w:num>
  <w:num w:numId="44">
    <w:abstractNumId w:val="21"/>
  </w:num>
  <w:num w:numId="45">
    <w:abstractNumId w:val="39"/>
  </w:num>
  <w:num w:numId="46">
    <w:abstractNumId w:val="22"/>
  </w:num>
  <w:num w:numId="47">
    <w:abstractNumId w:val="31"/>
  </w:num>
  <w:num w:numId="4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0992"/>
    <w:rsid w:val="000011E1"/>
    <w:rsid w:val="0000163A"/>
    <w:rsid w:val="00002242"/>
    <w:rsid w:val="0000233A"/>
    <w:rsid w:val="00002687"/>
    <w:rsid w:val="000027A6"/>
    <w:rsid w:val="00002825"/>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1CDC"/>
    <w:rsid w:val="000522D2"/>
    <w:rsid w:val="000527F3"/>
    <w:rsid w:val="00053D9C"/>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C09"/>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787"/>
    <w:rsid w:val="001357F9"/>
    <w:rsid w:val="00135CE0"/>
    <w:rsid w:val="00135D9A"/>
    <w:rsid w:val="00135E10"/>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67B"/>
    <w:rsid w:val="001B476A"/>
    <w:rsid w:val="001B493B"/>
    <w:rsid w:val="001B59CF"/>
    <w:rsid w:val="001B5F13"/>
    <w:rsid w:val="001B6A54"/>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D7C"/>
    <w:rsid w:val="001F6F8D"/>
    <w:rsid w:val="001F7517"/>
    <w:rsid w:val="001F7605"/>
    <w:rsid w:val="001F7ACD"/>
    <w:rsid w:val="001F7D6E"/>
    <w:rsid w:val="00200390"/>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CB4"/>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CB4"/>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224"/>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39A"/>
    <w:rsid w:val="002F1AC7"/>
    <w:rsid w:val="002F23CA"/>
    <w:rsid w:val="002F29A9"/>
    <w:rsid w:val="002F2A93"/>
    <w:rsid w:val="002F2B93"/>
    <w:rsid w:val="002F353F"/>
    <w:rsid w:val="002F3A4A"/>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75B"/>
    <w:rsid w:val="00306C66"/>
    <w:rsid w:val="00307429"/>
    <w:rsid w:val="00307D87"/>
    <w:rsid w:val="00307EB4"/>
    <w:rsid w:val="00310BC2"/>
    <w:rsid w:val="00310C96"/>
    <w:rsid w:val="00310DE6"/>
    <w:rsid w:val="0031212F"/>
    <w:rsid w:val="00312235"/>
    <w:rsid w:val="0031247D"/>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6BC"/>
    <w:rsid w:val="00340B48"/>
    <w:rsid w:val="00341C15"/>
    <w:rsid w:val="00341C5B"/>
    <w:rsid w:val="00341D25"/>
    <w:rsid w:val="00341FFC"/>
    <w:rsid w:val="00342BFD"/>
    <w:rsid w:val="003430D4"/>
    <w:rsid w:val="00343375"/>
    <w:rsid w:val="00343485"/>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852"/>
    <w:rsid w:val="00387C51"/>
    <w:rsid w:val="0039025E"/>
    <w:rsid w:val="00390437"/>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129"/>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3DD"/>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8A9"/>
    <w:rsid w:val="005559F0"/>
    <w:rsid w:val="00556020"/>
    <w:rsid w:val="005564E8"/>
    <w:rsid w:val="005566E5"/>
    <w:rsid w:val="005567B6"/>
    <w:rsid w:val="00556D80"/>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A89"/>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20EC"/>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AAE"/>
    <w:rsid w:val="00845BFF"/>
    <w:rsid w:val="008464A0"/>
    <w:rsid w:val="0084692A"/>
    <w:rsid w:val="00846CDB"/>
    <w:rsid w:val="00846D9E"/>
    <w:rsid w:val="00847736"/>
    <w:rsid w:val="00847BD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25B"/>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B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611"/>
    <w:rsid w:val="00B96966"/>
    <w:rsid w:val="00B96CAE"/>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15E"/>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1"/>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3AF"/>
    <w:rsid w:val="00C7450D"/>
    <w:rsid w:val="00C75BC7"/>
    <w:rsid w:val="00C77141"/>
    <w:rsid w:val="00C77B12"/>
    <w:rsid w:val="00C8063F"/>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A7A"/>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573CD"/>
  <w15:docId w15:val="{FDD4E3AD-08C5-4201-88DA-10C4639C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s.bg/uploads/files/Adv-Academia-2020-2021/BGS_Application_Form_CAS_Advanced_Academia_2020-2021.doc" TargetMode="External"/><Relationship Id="rId18" Type="http://schemas.openxmlformats.org/officeDocument/2006/relationships/hyperlink" Target="mailto:dimov@cas.bg" TargetMode="External"/><Relationship Id="rId26" Type="http://schemas.openxmlformats.org/officeDocument/2006/relationships/footer" Target="footer2.xml"/><Relationship Id="rId39" Type="http://schemas.openxmlformats.org/officeDocument/2006/relationships/hyperlink" Target="https://thl.fi/en/web/thlfi-en/whats-new/events/thl-s-eu-2019-side-events/europe-that-protects" TargetMode="External"/><Relationship Id="rId21" Type="http://schemas.openxmlformats.org/officeDocument/2006/relationships/hyperlink" Target="https://reut.rs/2LmrPjQ" TargetMode="External"/><Relationship Id="rId34" Type="http://schemas.openxmlformats.org/officeDocument/2006/relationships/hyperlink" Target="mailto:fni-konkursi@mon.bg" TargetMode="External"/><Relationship Id="rId42" Type="http://schemas.openxmlformats.org/officeDocument/2006/relationships/hyperlink" Target="https://www.humanbrainproject.eu/en/education/participatecollaborate/student-conference/4th-student-conference/" TargetMode="External"/><Relationship Id="rId47" Type="http://schemas.openxmlformats.org/officeDocument/2006/relationships/hyperlink" Target="https://ecsdev.org/conference/8th-icsd-2020" TargetMode="External"/><Relationship Id="rId50" Type="http://schemas.openxmlformats.org/officeDocument/2006/relationships/hyperlink" Target="https://sine2020.eu/news-and-media/sustainability-report.html" TargetMode="External"/><Relationship Id="rId55" Type="http://schemas.openxmlformats.org/officeDocument/2006/relationships/image" Target="media/image6.jpe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dimov@cas.bg" TargetMode="External"/><Relationship Id="rId29" Type="http://schemas.openxmlformats.org/officeDocument/2006/relationships/hyperlink" Target="https://www.fni.bg/sites/default/files/competition/12_2016/ERA/ERA-NET.zip" TargetMode="External"/><Relationship Id="rId11" Type="http://schemas.openxmlformats.org/officeDocument/2006/relationships/hyperlink" Target="http://www.bnb.bg/AboutUs/AUCareers/AUScholarships/AUSHow/index.htm" TargetMode="External"/><Relationship Id="rId24" Type="http://schemas.openxmlformats.org/officeDocument/2006/relationships/hyperlink" Target="http://osis.bg/wp-content/uploads/2019/10/Students_competition_info_2019.pdf" TargetMode="External"/><Relationship Id="rId32" Type="http://schemas.openxmlformats.org/officeDocument/2006/relationships/hyperlink" Target="https://www.fni.bg/?q=node/527" TargetMode="External"/><Relationship Id="rId37" Type="http://schemas.openxmlformats.org/officeDocument/2006/relationships/hyperlink" Target="https://www.syke.fi/en-US" TargetMode="External"/><Relationship Id="rId40" Type="http://schemas.openxmlformats.org/officeDocument/2006/relationships/hyperlink" Target="https://eapmbrussels2019.com/" TargetMode="External"/><Relationship Id="rId45" Type="http://schemas.openxmlformats.org/officeDocument/2006/relationships/hyperlink" Target="https://eua.eu/events/93-2020-european-learning-teaching-forum.html" TargetMode="External"/><Relationship Id="rId53" Type="http://schemas.openxmlformats.org/officeDocument/2006/relationships/image" Target="media/image5.png"/><Relationship Id="rId58" Type="http://schemas.openxmlformats.org/officeDocument/2006/relationships/hyperlink" Target="https://eua.eu/component/attachments/attachments.html?id=2144" TargetMode="External"/><Relationship Id="rId5" Type="http://schemas.openxmlformats.org/officeDocument/2006/relationships/settings" Target="settings.xml"/><Relationship Id="rId61" Type="http://schemas.openxmlformats.org/officeDocument/2006/relationships/footer" Target="footer5.xml"/><Relationship Id="rId19" Type="http://schemas.openxmlformats.org/officeDocument/2006/relationships/hyperlink" Target="https://www.reuters.com/article/rpb-yannisphotographergrants/reuters-relaunches-photographers-grant-program-in-memory-of-colleague-yannis-behrakis-idUSKCN1QU1YT" TargetMode="External"/><Relationship Id="rId14" Type="http://schemas.openxmlformats.org/officeDocument/2006/relationships/hyperlink" Target="http://cas.bg/uploads/files/Adv-Academia-2020-2021/CAS-Proposal-Guide.doc" TargetMode="External"/><Relationship Id="rId22" Type="http://schemas.openxmlformats.org/officeDocument/2006/relationships/hyperlink" Target="https://ep-stages.gestmax.eu/search?fbclid=IwAR3sNEgJq72zYnl7CHK7tC93mRzVkH0xAzKyhvdlDz0el8soWcr-hP8qhZg" TargetMode="External"/><Relationship Id="rId27" Type="http://schemas.openxmlformats.org/officeDocument/2006/relationships/hyperlink" Target="https://www.eranet-rus.eu/" TargetMode="External"/><Relationship Id="rId30" Type="http://schemas.openxmlformats.org/officeDocument/2006/relationships/hyperlink" Target="mailto:aleksandrova@mon.bg" TargetMode="External"/><Relationship Id="rId35" Type="http://schemas.openxmlformats.org/officeDocument/2006/relationships/footer" Target="footer3.xml"/><Relationship Id="rId43" Type="http://schemas.openxmlformats.org/officeDocument/2006/relationships/hyperlink" Target="https://ec.europa.eu/info/research-and-innovation/research-area/oceans-and-seas_en" TargetMode="External"/><Relationship Id="rId48" Type="http://schemas.openxmlformats.org/officeDocument/2006/relationships/footer" Target="footer4.xml"/><Relationship Id="rId56" Type="http://schemas.openxmlformats.org/officeDocument/2006/relationships/hyperlink" Target="https://cordis.europa.eu/article/id/411493-how-tech-is-taking-on-terrorism-innovative-solutions-to-keep-us-all-safe/en" TargetMode="External"/><Relationship Id="rId8" Type="http://schemas.openxmlformats.org/officeDocument/2006/relationships/endnotes" Target="endnotes.xml"/><Relationship Id="rId51" Type="http://schemas.openxmlformats.org/officeDocument/2006/relationships/image" Target="media/image4.jpeg"/><Relationship Id="rId3" Type="http://schemas.openxmlformats.org/officeDocument/2006/relationships/numbering" Target="numbering.xml"/><Relationship Id="rId12" Type="http://schemas.openxmlformats.org/officeDocument/2006/relationships/hyperlink" Target="https://karollknowledge.bg/%d0%b4%d0%be%d0%ba%d1%82%d0%be%d1%80%d0%b0%d0%bd%d1%82%d1%81%d0%ba%d0%b0-%d1%81%d1%82%d0%b8%d0%bf%d0%b5%d0%bd%d0%b4%d0%b8%d1%8f/" TargetMode="External"/><Relationship Id="rId17" Type="http://schemas.openxmlformats.org/officeDocument/2006/relationships/hyperlink" Target="http://cas.bg/en/news/advanced-academia-pforzheimer-senior-fellowships-1943.html" TargetMode="External"/><Relationship Id="rId25" Type="http://schemas.openxmlformats.org/officeDocument/2006/relationships/hyperlink" Target="http://osis.bg/wp-content/uploads/2019/10/Students_competition_FAQ.pdf" TargetMode="External"/><Relationship Id="rId33" Type="http://schemas.openxmlformats.org/officeDocument/2006/relationships/hyperlink" Target="https://www.fni.bg/sites/default/files/competition/10_2016/Procedura_COST_nac_finansirane%E2%80%9329012016.pdf" TargetMode="External"/><Relationship Id="rId38" Type="http://schemas.openxmlformats.org/officeDocument/2006/relationships/hyperlink" Target="https://vnk.fi/eu/finlands-eu-presidency" TargetMode="External"/><Relationship Id="rId46" Type="http://schemas.openxmlformats.org/officeDocument/2006/relationships/hyperlink" Target="mailto:icsd@ecsdev.org" TargetMode="External"/><Relationship Id="rId59" Type="http://schemas.openxmlformats.org/officeDocument/2006/relationships/hyperlink" Target="https://eua.eu/component/attachments/attachments.html?id=2032" TargetMode="External"/><Relationship Id="rId20" Type="http://schemas.openxmlformats.org/officeDocument/2006/relationships/hyperlink" Target="http://reuters.com/pictures" TargetMode="External"/><Relationship Id="rId41" Type="http://schemas.openxmlformats.org/officeDocument/2006/relationships/hyperlink" Target="https://www.eip-water.eu/programme-eip-water-conference-2019" TargetMode="External"/><Relationship Id="rId54" Type="http://schemas.openxmlformats.org/officeDocument/2006/relationships/hyperlink" Target="http://www.sheld-on.eu/wp-content/uploads/2019/06/SHELDON-STATE-OF-ART-DIGITAL.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as.bg/uploads/files/Adv-Academia-2020-2021/BG_Checklist_CAS_Advanced_Academia_2020-2021.doc" TargetMode="External"/><Relationship Id="rId23" Type="http://schemas.openxmlformats.org/officeDocument/2006/relationships/hyperlink" Target="https://ep-stages.gestmax.eu/website/application-informations" TargetMode="External"/><Relationship Id="rId28" Type="http://schemas.openxmlformats.org/officeDocument/2006/relationships/hyperlink" Target="https://www.fni.bg/sites/default/files/competition/12_2016/ERA/ERA_NET_2016_2.pdf" TargetMode="External"/><Relationship Id="rId36" Type="http://schemas.openxmlformats.org/officeDocument/2006/relationships/hyperlink" Target="https://thl.fi/en/web/thlfi-en" TargetMode="External"/><Relationship Id="rId49" Type="http://schemas.openxmlformats.org/officeDocument/2006/relationships/image" Target="media/image3.jpeg"/><Relationship Id="rId57" Type="http://schemas.openxmlformats.org/officeDocument/2006/relationships/hyperlink" Target="https://eua.eu/downloads/publications/student-centred%20learning_approaches%20to%20quality%20assurance%20report.pdf" TargetMode="External"/><Relationship Id="rId10" Type="http://schemas.openxmlformats.org/officeDocument/2006/relationships/footer" Target="footer1.xml"/><Relationship Id="rId31" Type="http://schemas.openxmlformats.org/officeDocument/2006/relationships/hyperlink" Target="https://www.neaa.government.bg/" TargetMode="External"/><Relationship Id="rId44" Type="http://schemas.openxmlformats.org/officeDocument/2006/relationships/hyperlink" Target="https://eua.eu/component/attachments/attachments.html?task=attachment&amp;id=2025" TargetMode="External"/><Relationship Id="rId52" Type="http://schemas.openxmlformats.org/officeDocument/2006/relationships/hyperlink" Target="https://link.springer.com/book/10.1007/978-3-030-22386-1" TargetMode="External"/><Relationship Id="rId60" Type="http://schemas.openxmlformats.org/officeDocument/2006/relationships/hyperlink" Target="https://eua.eu/component/attachments/attachments.html?id=2444" TargetMode="External"/><Relationship Id="rId4" Type="http://schemas.openxmlformats.org/officeDocument/2006/relationships/styles" Target="style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22AC9-F67A-4562-BEB0-C780D5DB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6290</Words>
  <Characters>35857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2019-11-12T13:17:00Z</dcterms:created>
  <dcterms:modified xsi:type="dcterms:W3CDTF">2019-11-12T13:17:00Z</dcterms:modified>
</cp:coreProperties>
</file>