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252CF7" w:rsidRPr="00252CF7" w:rsidRDefault="005C086E" w:rsidP="00423D89">
          <w:pPr>
            <w:jc w:val="left"/>
            <w:rPr>
              <w:b/>
              <w:color w:val="FF0000"/>
              <w:lang w:val="en-US"/>
            </w:rPr>
          </w:pPr>
          <w:r>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simplePos x="0" y="0"/>
                    <wp:positionH relativeFrom="column">
                      <wp:posOffset>-893445</wp:posOffset>
                    </wp:positionH>
                    <wp:positionV relativeFrom="paragraph">
                      <wp:posOffset>-899795</wp:posOffset>
                    </wp:positionV>
                    <wp:extent cx="7553960" cy="10690860"/>
                    <wp:effectExtent l="6350" t="0" r="254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F24BA6" w:rsidRPr="00015B3F" w:rsidRDefault="00F24BA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8</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F24BA6" w:rsidRPr="00015B3F" w:rsidRDefault="00F24BA6"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F24BA6" w:rsidRPr="00015B3F" w:rsidRDefault="00F24BA6">
                                  <w:pPr>
                                    <w:pStyle w:val="NoSpacing"/>
                                    <w:spacing w:line="360" w:lineRule="auto"/>
                                    <w:rPr>
                                      <w:color w:val="FFFFFF" w:themeColor="background1"/>
                                      <w:sz w:val="28"/>
                                      <w:szCs w:val="28"/>
                                    </w:rPr>
                                  </w:pPr>
                                </w:p>
                                <w:p w:rsidR="00F24BA6" w:rsidRPr="00015B3F" w:rsidRDefault="00F24BA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0"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F24BA6" w:rsidRPr="00D00941" w:rsidRDefault="00F24BA6">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akngUAAM4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F24BA6" w:rsidRPr="00015B3F" w:rsidRDefault="00F24BA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8</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F24BA6" w:rsidRPr="00015B3F" w:rsidRDefault="00F24BA6"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F24BA6" w:rsidRPr="00015B3F" w:rsidRDefault="00F24BA6">
                            <w:pPr>
                              <w:pStyle w:val="NoSpacing"/>
                              <w:spacing w:line="360" w:lineRule="auto"/>
                              <w:rPr>
                                <w:color w:val="FFFFFF" w:themeColor="background1"/>
                                <w:sz w:val="28"/>
                                <w:szCs w:val="28"/>
                              </w:rPr>
                            </w:pPr>
                          </w:p>
                          <w:p w:rsidR="00F24BA6" w:rsidRPr="00015B3F" w:rsidRDefault="00F24BA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F24BA6" w:rsidRPr="00D00941" w:rsidRDefault="00F24BA6">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p w:rsidR="007D0952" w:rsidRPr="00D43476" w:rsidRDefault="00F236D1" w:rsidP="00585624">
          <w:pPr>
            <w:jc w:val="left"/>
            <w:rPr>
              <w:b/>
              <w:sz w:val="28"/>
              <w:szCs w:val="28"/>
            </w:rPr>
            <w:sectPr w:rsidR="007D0952" w:rsidRPr="00D43476" w:rsidSect="00460469">
              <w:footerReference w:type="default" r:id="rId10"/>
              <w:pgSz w:w="11906" w:h="16838"/>
              <w:pgMar w:top="1417" w:right="1417" w:bottom="1417" w:left="1417" w:header="708" w:footer="708" w:gutter="0"/>
              <w:cols w:space="708"/>
              <w:titlePg/>
              <w:docGrid w:linePitch="360"/>
            </w:sectPr>
          </w:pP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873F5E" w:rsidRDefault="00704518">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527447831" w:history="1">
            <w:r w:rsidR="00873F5E" w:rsidRPr="00C95D12">
              <w:rPr>
                <w:rStyle w:val="Hyperlink"/>
                <w:rFonts w:cs="Times New Roman"/>
                <w:noProof/>
              </w:rPr>
              <w:t>КОНКУРСИ, СТИПЕНДИИ, СТАЖОВЕ</w:t>
            </w:r>
            <w:r w:rsidR="00873F5E">
              <w:rPr>
                <w:noProof/>
                <w:webHidden/>
              </w:rPr>
              <w:tab/>
            </w:r>
            <w:r w:rsidR="00873F5E">
              <w:rPr>
                <w:noProof/>
                <w:webHidden/>
              </w:rPr>
              <w:fldChar w:fldCharType="begin"/>
            </w:r>
            <w:r w:rsidR="00873F5E">
              <w:rPr>
                <w:noProof/>
                <w:webHidden/>
              </w:rPr>
              <w:instrText xml:space="preserve"> PAGEREF _Toc527447831 \h </w:instrText>
            </w:r>
            <w:r w:rsidR="00873F5E">
              <w:rPr>
                <w:noProof/>
                <w:webHidden/>
              </w:rPr>
            </w:r>
            <w:r w:rsidR="00873F5E">
              <w:rPr>
                <w:noProof/>
                <w:webHidden/>
              </w:rPr>
              <w:fldChar w:fldCharType="separate"/>
            </w:r>
            <w:r w:rsidR="00873F5E">
              <w:rPr>
                <w:noProof/>
                <w:webHidden/>
              </w:rPr>
              <w:t>3</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32" w:history="1">
            <w:r w:rsidR="00873F5E" w:rsidRPr="00C95D12">
              <w:rPr>
                <w:rStyle w:val="Hyperlink"/>
                <w:rFonts w:ascii="Wingdings" w:hAnsi="Wingdings"/>
                <w:noProof/>
              </w:rPr>
              <w:t></w:t>
            </w:r>
            <w:r w:rsidR="00873F5E">
              <w:rPr>
                <w:rFonts w:asciiTheme="minorHAnsi" w:eastAsiaTheme="minorEastAsia" w:hAnsiTheme="minorHAnsi"/>
                <w:noProof/>
                <w:lang w:eastAsia="bg-BG"/>
              </w:rPr>
              <w:tab/>
            </w:r>
            <w:r w:rsidR="00873F5E" w:rsidRPr="00C95D12">
              <w:rPr>
                <w:rStyle w:val="Hyperlink"/>
                <w:noProof/>
              </w:rPr>
              <w:t>Ritchie-Jennings Memorial Scholarship Program</w:t>
            </w:r>
            <w:r w:rsidR="00873F5E">
              <w:rPr>
                <w:noProof/>
                <w:webHidden/>
              </w:rPr>
              <w:tab/>
            </w:r>
            <w:r w:rsidR="00873F5E">
              <w:rPr>
                <w:noProof/>
                <w:webHidden/>
              </w:rPr>
              <w:fldChar w:fldCharType="begin"/>
            </w:r>
            <w:r w:rsidR="00873F5E">
              <w:rPr>
                <w:noProof/>
                <w:webHidden/>
              </w:rPr>
              <w:instrText xml:space="preserve"> PAGEREF _Toc527447832 \h </w:instrText>
            </w:r>
            <w:r w:rsidR="00873F5E">
              <w:rPr>
                <w:noProof/>
                <w:webHidden/>
              </w:rPr>
            </w:r>
            <w:r w:rsidR="00873F5E">
              <w:rPr>
                <w:noProof/>
                <w:webHidden/>
              </w:rPr>
              <w:fldChar w:fldCharType="separate"/>
            </w:r>
            <w:r w:rsidR="00873F5E">
              <w:rPr>
                <w:noProof/>
                <w:webHidden/>
              </w:rPr>
              <w:t>3</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33" w:history="1">
            <w:r w:rsidR="00873F5E" w:rsidRPr="00C95D12">
              <w:rPr>
                <w:rStyle w:val="Hyperlink"/>
                <w:rFonts w:ascii="Wingdings" w:hAnsi="Wingdings"/>
                <w:noProof/>
              </w:rPr>
              <w:t></w:t>
            </w:r>
            <w:r w:rsidR="00873F5E">
              <w:rPr>
                <w:rFonts w:asciiTheme="minorHAnsi" w:eastAsiaTheme="minorEastAsia" w:hAnsiTheme="minorHAnsi"/>
                <w:noProof/>
                <w:lang w:eastAsia="bg-BG"/>
              </w:rPr>
              <w:tab/>
            </w:r>
            <w:r w:rsidR="00873F5E" w:rsidRPr="00C95D12">
              <w:rPr>
                <w:rStyle w:val="Hyperlink"/>
                <w:noProof/>
              </w:rPr>
              <w:t>Конкурс за студентски реферати</w:t>
            </w:r>
            <w:r w:rsidR="00873F5E">
              <w:rPr>
                <w:noProof/>
                <w:webHidden/>
              </w:rPr>
              <w:tab/>
            </w:r>
            <w:r w:rsidR="00873F5E">
              <w:rPr>
                <w:noProof/>
                <w:webHidden/>
              </w:rPr>
              <w:fldChar w:fldCharType="begin"/>
            </w:r>
            <w:r w:rsidR="00873F5E">
              <w:rPr>
                <w:noProof/>
                <w:webHidden/>
              </w:rPr>
              <w:instrText xml:space="preserve"> PAGEREF _Toc527447833 \h </w:instrText>
            </w:r>
            <w:r w:rsidR="00873F5E">
              <w:rPr>
                <w:noProof/>
                <w:webHidden/>
              </w:rPr>
            </w:r>
            <w:r w:rsidR="00873F5E">
              <w:rPr>
                <w:noProof/>
                <w:webHidden/>
              </w:rPr>
              <w:fldChar w:fldCharType="separate"/>
            </w:r>
            <w:r w:rsidR="00873F5E">
              <w:rPr>
                <w:noProof/>
                <w:webHidden/>
              </w:rPr>
              <w:t>4</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34" w:history="1">
            <w:r w:rsidR="00873F5E" w:rsidRPr="00C95D12">
              <w:rPr>
                <w:rStyle w:val="Hyperlink"/>
                <w:rFonts w:ascii="Wingdings" w:hAnsi="Wingdings"/>
                <w:noProof/>
                <w:lang w:val="ru-RU"/>
              </w:rPr>
              <w:t></w:t>
            </w:r>
            <w:r w:rsidR="00873F5E">
              <w:rPr>
                <w:rFonts w:asciiTheme="minorHAnsi" w:eastAsiaTheme="minorEastAsia" w:hAnsiTheme="minorHAnsi"/>
                <w:noProof/>
                <w:lang w:eastAsia="bg-BG"/>
              </w:rPr>
              <w:tab/>
            </w:r>
            <w:r w:rsidR="00873F5E" w:rsidRPr="00C95D12">
              <w:rPr>
                <w:rStyle w:val="Hyperlink"/>
                <w:noProof/>
              </w:rPr>
              <w:t>Платен стаж в Световната търговска организация</w:t>
            </w:r>
            <w:r w:rsidR="00873F5E">
              <w:rPr>
                <w:noProof/>
                <w:webHidden/>
              </w:rPr>
              <w:tab/>
            </w:r>
            <w:r w:rsidR="00873F5E">
              <w:rPr>
                <w:noProof/>
                <w:webHidden/>
              </w:rPr>
              <w:fldChar w:fldCharType="begin"/>
            </w:r>
            <w:r w:rsidR="00873F5E">
              <w:rPr>
                <w:noProof/>
                <w:webHidden/>
              </w:rPr>
              <w:instrText xml:space="preserve"> PAGEREF _Toc527447834 \h </w:instrText>
            </w:r>
            <w:r w:rsidR="00873F5E">
              <w:rPr>
                <w:noProof/>
                <w:webHidden/>
              </w:rPr>
            </w:r>
            <w:r w:rsidR="00873F5E">
              <w:rPr>
                <w:noProof/>
                <w:webHidden/>
              </w:rPr>
              <w:fldChar w:fldCharType="separate"/>
            </w:r>
            <w:r w:rsidR="00873F5E">
              <w:rPr>
                <w:noProof/>
                <w:webHidden/>
              </w:rPr>
              <w:t>4</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35" w:history="1">
            <w:r w:rsidR="00873F5E" w:rsidRPr="00C95D12">
              <w:rPr>
                <w:rStyle w:val="Hyperlink"/>
                <w:rFonts w:ascii="Wingdings" w:hAnsi="Wingdings"/>
                <w:noProof/>
              </w:rPr>
              <w:t></w:t>
            </w:r>
            <w:r w:rsidR="00873F5E">
              <w:rPr>
                <w:rFonts w:asciiTheme="minorHAnsi" w:eastAsiaTheme="minorEastAsia" w:hAnsiTheme="minorHAnsi"/>
                <w:noProof/>
                <w:lang w:eastAsia="bg-BG"/>
              </w:rPr>
              <w:tab/>
            </w:r>
            <w:r w:rsidR="00873F5E" w:rsidRPr="00C95D12">
              <w:rPr>
                <w:rStyle w:val="Hyperlink"/>
                <w:noProof/>
              </w:rPr>
              <w:t>Стажантска програма на УниКредит Булбанк</w:t>
            </w:r>
            <w:r w:rsidR="00873F5E">
              <w:rPr>
                <w:noProof/>
                <w:webHidden/>
              </w:rPr>
              <w:tab/>
            </w:r>
            <w:r w:rsidR="00873F5E">
              <w:rPr>
                <w:noProof/>
                <w:webHidden/>
              </w:rPr>
              <w:fldChar w:fldCharType="begin"/>
            </w:r>
            <w:r w:rsidR="00873F5E">
              <w:rPr>
                <w:noProof/>
                <w:webHidden/>
              </w:rPr>
              <w:instrText xml:space="preserve"> PAGEREF _Toc527447835 \h </w:instrText>
            </w:r>
            <w:r w:rsidR="00873F5E">
              <w:rPr>
                <w:noProof/>
                <w:webHidden/>
              </w:rPr>
            </w:r>
            <w:r w:rsidR="00873F5E">
              <w:rPr>
                <w:noProof/>
                <w:webHidden/>
              </w:rPr>
              <w:fldChar w:fldCharType="separate"/>
            </w:r>
            <w:r w:rsidR="00873F5E">
              <w:rPr>
                <w:noProof/>
                <w:webHidden/>
              </w:rPr>
              <w:t>4</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36" w:history="1">
            <w:r w:rsidR="00873F5E" w:rsidRPr="00C95D12">
              <w:rPr>
                <w:rStyle w:val="Hyperlink"/>
                <w:rFonts w:ascii="Wingdings" w:hAnsi="Wingdings"/>
                <w:noProof/>
              </w:rPr>
              <w:t></w:t>
            </w:r>
            <w:r w:rsidR="00873F5E">
              <w:rPr>
                <w:rFonts w:asciiTheme="minorHAnsi" w:eastAsiaTheme="minorEastAsia" w:hAnsiTheme="minorHAnsi"/>
                <w:noProof/>
                <w:lang w:eastAsia="bg-BG"/>
              </w:rPr>
              <w:tab/>
            </w:r>
            <w:r w:rsidR="00873F5E" w:rsidRPr="00C95D12">
              <w:rPr>
                <w:rStyle w:val="Hyperlink"/>
                <w:noProof/>
              </w:rPr>
              <w:t>Стаж в Организацията по прехрана и земеделие (FAO) към ООН</w:t>
            </w:r>
            <w:r w:rsidR="00873F5E">
              <w:rPr>
                <w:noProof/>
                <w:webHidden/>
              </w:rPr>
              <w:tab/>
            </w:r>
            <w:r w:rsidR="00873F5E">
              <w:rPr>
                <w:noProof/>
                <w:webHidden/>
              </w:rPr>
              <w:fldChar w:fldCharType="begin"/>
            </w:r>
            <w:r w:rsidR="00873F5E">
              <w:rPr>
                <w:noProof/>
                <w:webHidden/>
              </w:rPr>
              <w:instrText xml:space="preserve"> PAGEREF _Toc527447836 \h </w:instrText>
            </w:r>
            <w:r w:rsidR="00873F5E">
              <w:rPr>
                <w:noProof/>
                <w:webHidden/>
              </w:rPr>
            </w:r>
            <w:r w:rsidR="00873F5E">
              <w:rPr>
                <w:noProof/>
                <w:webHidden/>
              </w:rPr>
              <w:fldChar w:fldCharType="separate"/>
            </w:r>
            <w:r w:rsidR="00873F5E">
              <w:rPr>
                <w:noProof/>
                <w:webHidden/>
              </w:rPr>
              <w:t>5</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37" w:history="1">
            <w:r w:rsidR="00873F5E" w:rsidRPr="00C95D12">
              <w:rPr>
                <w:rStyle w:val="Hyperlink"/>
                <w:rFonts w:ascii="Wingdings" w:hAnsi="Wingdings"/>
                <w:noProof/>
              </w:rPr>
              <w:t></w:t>
            </w:r>
            <w:r w:rsidR="00873F5E">
              <w:rPr>
                <w:rFonts w:asciiTheme="minorHAnsi" w:eastAsiaTheme="minorEastAsia" w:hAnsiTheme="minorHAnsi"/>
                <w:noProof/>
                <w:lang w:eastAsia="bg-BG"/>
              </w:rPr>
              <w:tab/>
            </w:r>
            <w:r w:rsidR="00873F5E" w:rsidRPr="00C95D12">
              <w:rPr>
                <w:rStyle w:val="Hyperlink"/>
                <w:noProof/>
              </w:rPr>
              <w:t>Стажове в Международната академия на нюрнбергските принципи</w:t>
            </w:r>
            <w:r w:rsidR="00873F5E">
              <w:rPr>
                <w:noProof/>
                <w:webHidden/>
              </w:rPr>
              <w:tab/>
            </w:r>
            <w:r w:rsidR="00873F5E">
              <w:rPr>
                <w:noProof/>
                <w:webHidden/>
              </w:rPr>
              <w:fldChar w:fldCharType="begin"/>
            </w:r>
            <w:r w:rsidR="00873F5E">
              <w:rPr>
                <w:noProof/>
                <w:webHidden/>
              </w:rPr>
              <w:instrText xml:space="preserve"> PAGEREF _Toc527447837 \h </w:instrText>
            </w:r>
            <w:r w:rsidR="00873F5E">
              <w:rPr>
                <w:noProof/>
                <w:webHidden/>
              </w:rPr>
            </w:r>
            <w:r w:rsidR="00873F5E">
              <w:rPr>
                <w:noProof/>
                <w:webHidden/>
              </w:rPr>
              <w:fldChar w:fldCharType="separate"/>
            </w:r>
            <w:r w:rsidR="00873F5E">
              <w:rPr>
                <w:noProof/>
                <w:webHidden/>
              </w:rPr>
              <w:t>5</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38" w:history="1">
            <w:r w:rsidR="00873F5E" w:rsidRPr="00C95D12">
              <w:rPr>
                <w:rStyle w:val="Hyperlink"/>
                <w:rFonts w:ascii="Wingdings" w:hAnsi="Wingdings"/>
                <w:noProof/>
              </w:rPr>
              <w:t></w:t>
            </w:r>
            <w:r w:rsidR="00873F5E">
              <w:rPr>
                <w:rFonts w:asciiTheme="minorHAnsi" w:eastAsiaTheme="minorEastAsia" w:hAnsiTheme="minorHAnsi"/>
                <w:noProof/>
                <w:lang w:eastAsia="bg-BG"/>
              </w:rPr>
              <w:tab/>
            </w:r>
            <w:r w:rsidR="00873F5E" w:rsidRPr="00C95D12">
              <w:rPr>
                <w:rStyle w:val="Hyperlink"/>
                <w:noProof/>
              </w:rPr>
              <w:t>Студентски стаж по иновации</w:t>
            </w:r>
            <w:r w:rsidR="00873F5E">
              <w:rPr>
                <w:noProof/>
                <w:webHidden/>
              </w:rPr>
              <w:tab/>
            </w:r>
            <w:r w:rsidR="00873F5E">
              <w:rPr>
                <w:noProof/>
                <w:webHidden/>
              </w:rPr>
              <w:fldChar w:fldCharType="begin"/>
            </w:r>
            <w:r w:rsidR="00873F5E">
              <w:rPr>
                <w:noProof/>
                <w:webHidden/>
              </w:rPr>
              <w:instrText xml:space="preserve"> PAGEREF _Toc527447838 \h </w:instrText>
            </w:r>
            <w:r w:rsidR="00873F5E">
              <w:rPr>
                <w:noProof/>
                <w:webHidden/>
              </w:rPr>
            </w:r>
            <w:r w:rsidR="00873F5E">
              <w:rPr>
                <w:noProof/>
                <w:webHidden/>
              </w:rPr>
              <w:fldChar w:fldCharType="separate"/>
            </w:r>
            <w:r w:rsidR="00873F5E">
              <w:rPr>
                <w:noProof/>
                <w:webHidden/>
              </w:rPr>
              <w:t>5</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39" w:history="1">
            <w:r w:rsidR="00873F5E" w:rsidRPr="00C95D12">
              <w:rPr>
                <w:rStyle w:val="Hyperlink"/>
                <w:rFonts w:ascii="Wingdings" w:hAnsi="Wingdings"/>
                <w:noProof/>
              </w:rPr>
              <w:t></w:t>
            </w:r>
            <w:r w:rsidR="00873F5E">
              <w:rPr>
                <w:rFonts w:asciiTheme="minorHAnsi" w:eastAsiaTheme="minorEastAsia" w:hAnsiTheme="minorHAnsi"/>
                <w:noProof/>
                <w:lang w:eastAsia="bg-BG"/>
              </w:rPr>
              <w:tab/>
            </w:r>
            <w:r w:rsidR="00873F5E" w:rsidRPr="00C95D12">
              <w:rPr>
                <w:rStyle w:val="Hyperlink"/>
                <w:noProof/>
              </w:rPr>
              <w:t>Конкурс за прием в програми на „Телерик академия”</w:t>
            </w:r>
            <w:r w:rsidR="00873F5E">
              <w:rPr>
                <w:noProof/>
                <w:webHidden/>
              </w:rPr>
              <w:tab/>
            </w:r>
            <w:r w:rsidR="00873F5E">
              <w:rPr>
                <w:noProof/>
                <w:webHidden/>
              </w:rPr>
              <w:fldChar w:fldCharType="begin"/>
            </w:r>
            <w:r w:rsidR="00873F5E">
              <w:rPr>
                <w:noProof/>
                <w:webHidden/>
              </w:rPr>
              <w:instrText xml:space="preserve"> PAGEREF _Toc527447839 \h </w:instrText>
            </w:r>
            <w:r w:rsidR="00873F5E">
              <w:rPr>
                <w:noProof/>
                <w:webHidden/>
              </w:rPr>
            </w:r>
            <w:r w:rsidR="00873F5E">
              <w:rPr>
                <w:noProof/>
                <w:webHidden/>
              </w:rPr>
              <w:fldChar w:fldCharType="separate"/>
            </w:r>
            <w:r w:rsidR="00873F5E">
              <w:rPr>
                <w:noProof/>
                <w:webHidden/>
              </w:rPr>
              <w:t>6</w:t>
            </w:r>
            <w:r w:rsidR="00873F5E">
              <w:rPr>
                <w:noProof/>
                <w:webHidden/>
              </w:rPr>
              <w:fldChar w:fldCharType="end"/>
            </w:r>
          </w:hyperlink>
        </w:p>
        <w:p w:rsidR="00873F5E" w:rsidRDefault="00F236D1">
          <w:pPr>
            <w:pStyle w:val="TOC1"/>
            <w:tabs>
              <w:tab w:val="right" w:leader="dot" w:pos="9062"/>
            </w:tabs>
            <w:rPr>
              <w:rFonts w:asciiTheme="minorHAnsi" w:eastAsiaTheme="minorEastAsia" w:hAnsiTheme="minorHAnsi"/>
              <w:noProof/>
              <w:lang w:eastAsia="bg-BG"/>
            </w:rPr>
          </w:pPr>
          <w:hyperlink w:anchor="_Toc527447840" w:history="1">
            <w:r w:rsidR="00873F5E" w:rsidRPr="00C95D12">
              <w:rPr>
                <w:rStyle w:val="Hyperlink"/>
                <w:noProof/>
              </w:rPr>
              <w:t>ПРОГРАМИ</w:t>
            </w:r>
            <w:r w:rsidR="00873F5E">
              <w:rPr>
                <w:noProof/>
                <w:webHidden/>
              </w:rPr>
              <w:tab/>
            </w:r>
            <w:r w:rsidR="00873F5E">
              <w:rPr>
                <w:noProof/>
                <w:webHidden/>
              </w:rPr>
              <w:fldChar w:fldCharType="begin"/>
            </w:r>
            <w:r w:rsidR="00873F5E">
              <w:rPr>
                <w:noProof/>
                <w:webHidden/>
              </w:rPr>
              <w:instrText xml:space="preserve"> PAGEREF _Toc527447840 \h </w:instrText>
            </w:r>
            <w:r w:rsidR="00873F5E">
              <w:rPr>
                <w:noProof/>
                <w:webHidden/>
              </w:rPr>
            </w:r>
            <w:r w:rsidR="00873F5E">
              <w:rPr>
                <w:noProof/>
                <w:webHidden/>
              </w:rPr>
              <w:fldChar w:fldCharType="separate"/>
            </w:r>
            <w:r w:rsidR="00873F5E">
              <w:rPr>
                <w:noProof/>
                <w:webHidden/>
              </w:rPr>
              <w:t>7</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41" w:history="1">
            <w:r w:rsidR="00873F5E" w:rsidRPr="00C95D12">
              <w:rPr>
                <w:rStyle w:val="Hyperlink"/>
                <w:rFonts w:ascii="Wingdings" w:hAnsi="Wingdings"/>
                <w:noProof/>
              </w:rPr>
              <w:t></w:t>
            </w:r>
            <w:r w:rsidR="00873F5E">
              <w:rPr>
                <w:rFonts w:asciiTheme="minorHAnsi" w:eastAsiaTheme="minorEastAsia" w:hAnsiTheme="minorHAnsi"/>
                <w:noProof/>
                <w:lang w:eastAsia="bg-BG"/>
              </w:rPr>
              <w:tab/>
            </w:r>
            <w:r w:rsidR="00873F5E" w:rsidRPr="00C95D12">
              <w:rPr>
                <w:rStyle w:val="Hyperlink"/>
                <w:noProof/>
                <w:lang w:val="ru-RU"/>
              </w:rPr>
              <w:t>К</w:t>
            </w:r>
            <w:r w:rsidR="00873F5E" w:rsidRPr="00C95D12">
              <w:rPr>
                <w:rStyle w:val="Hyperlink"/>
                <w:noProof/>
              </w:rPr>
              <w:t>онкурс за проекти по програми за двустранно сътрудничество 2018 г. – България – Индия</w:t>
            </w:r>
            <w:r w:rsidR="00873F5E">
              <w:rPr>
                <w:noProof/>
                <w:webHidden/>
              </w:rPr>
              <w:tab/>
            </w:r>
            <w:r w:rsidR="00873F5E">
              <w:rPr>
                <w:noProof/>
                <w:webHidden/>
              </w:rPr>
              <w:fldChar w:fldCharType="begin"/>
            </w:r>
            <w:r w:rsidR="00873F5E">
              <w:rPr>
                <w:noProof/>
                <w:webHidden/>
              </w:rPr>
              <w:instrText xml:space="preserve"> PAGEREF _Toc527447841 \h </w:instrText>
            </w:r>
            <w:r w:rsidR="00873F5E">
              <w:rPr>
                <w:noProof/>
                <w:webHidden/>
              </w:rPr>
            </w:r>
            <w:r w:rsidR="00873F5E">
              <w:rPr>
                <w:noProof/>
                <w:webHidden/>
              </w:rPr>
              <w:fldChar w:fldCharType="separate"/>
            </w:r>
            <w:r w:rsidR="00873F5E">
              <w:rPr>
                <w:noProof/>
                <w:webHidden/>
              </w:rPr>
              <w:t>7</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42" w:history="1">
            <w:r w:rsidR="00873F5E" w:rsidRPr="00C95D12">
              <w:rPr>
                <w:rStyle w:val="Hyperlink"/>
                <w:rFonts w:ascii="Wingdings" w:eastAsia="Times New Roman" w:hAnsi="Wingdings"/>
                <w:noProof/>
                <w:lang w:eastAsia="bg-BG"/>
              </w:rPr>
              <w:t></w:t>
            </w:r>
            <w:r w:rsidR="00873F5E">
              <w:rPr>
                <w:rFonts w:asciiTheme="minorHAnsi" w:eastAsiaTheme="minorEastAsia" w:hAnsiTheme="minorHAnsi"/>
                <w:noProof/>
                <w:lang w:eastAsia="bg-BG"/>
              </w:rPr>
              <w:tab/>
            </w:r>
            <w:r w:rsidR="00873F5E" w:rsidRPr="00C95D12">
              <w:rPr>
                <w:rStyle w:val="Hyperlink"/>
                <w:rFonts w:eastAsia="Times New Roman"/>
                <w:noProof/>
                <w:lang w:eastAsia="bg-BG"/>
              </w:rPr>
              <w:t>Подкрепа на международни научни форуми, провеждани в Република България</w:t>
            </w:r>
            <w:r w:rsidR="00873F5E">
              <w:rPr>
                <w:noProof/>
                <w:webHidden/>
              </w:rPr>
              <w:tab/>
            </w:r>
            <w:r w:rsidR="00873F5E">
              <w:rPr>
                <w:noProof/>
                <w:webHidden/>
              </w:rPr>
              <w:fldChar w:fldCharType="begin"/>
            </w:r>
            <w:r w:rsidR="00873F5E">
              <w:rPr>
                <w:noProof/>
                <w:webHidden/>
              </w:rPr>
              <w:instrText xml:space="preserve"> PAGEREF _Toc527447842 \h </w:instrText>
            </w:r>
            <w:r w:rsidR="00873F5E">
              <w:rPr>
                <w:noProof/>
                <w:webHidden/>
              </w:rPr>
            </w:r>
            <w:r w:rsidR="00873F5E">
              <w:rPr>
                <w:noProof/>
                <w:webHidden/>
              </w:rPr>
              <w:fldChar w:fldCharType="separate"/>
            </w:r>
            <w:r w:rsidR="00873F5E">
              <w:rPr>
                <w:noProof/>
                <w:webHidden/>
              </w:rPr>
              <w:t>11</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43" w:history="1">
            <w:r w:rsidR="00873F5E" w:rsidRPr="00C95D12">
              <w:rPr>
                <w:rStyle w:val="Hyperlink"/>
                <w:rFonts w:ascii="Wingdings" w:eastAsia="Times New Roman" w:hAnsi="Wingdings"/>
                <w:noProof/>
                <w:lang w:eastAsia="bg-BG"/>
              </w:rPr>
              <w:t></w:t>
            </w:r>
            <w:r w:rsidR="00873F5E">
              <w:rPr>
                <w:rFonts w:asciiTheme="minorHAnsi" w:eastAsiaTheme="minorEastAsia" w:hAnsiTheme="minorHAnsi"/>
                <w:noProof/>
                <w:lang w:eastAsia="bg-BG"/>
              </w:rPr>
              <w:tab/>
            </w:r>
            <w:r w:rsidR="00873F5E" w:rsidRPr="00C95D12">
              <w:rPr>
                <w:rStyle w:val="Hyperlink"/>
                <w:rFonts w:eastAsia="Times New Roman"/>
                <w:noProof/>
                <w:lang w:eastAsia="bg-BG"/>
              </w:rPr>
              <w:t>Национално съфинансиране за участие на български колективи в утвърдени проекти по COST</w:t>
            </w:r>
            <w:r w:rsidR="00873F5E">
              <w:rPr>
                <w:noProof/>
                <w:webHidden/>
              </w:rPr>
              <w:tab/>
            </w:r>
            <w:r w:rsidR="00873F5E">
              <w:rPr>
                <w:noProof/>
                <w:webHidden/>
              </w:rPr>
              <w:fldChar w:fldCharType="begin"/>
            </w:r>
            <w:r w:rsidR="00873F5E">
              <w:rPr>
                <w:noProof/>
                <w:webHidden/>
              </w:rPr>
              <w:instrText xml:space="preserve"> PAGEREF _Toc527447843 \h </w:instrText>
            </w:r>
            <w:r w:rsidR="00873F5E">
              <w:rPr>
                <w:noProof/>
                <w:webHidden/>
              </w:rPr>
            </w:r>
            <w:r w:rsidR="00873F5E">
              <w:rPr>
                <w:noProof/>
                <w:webHidden/>
              </w:rPr>
              <w:fldChar w:fldCharType="separate"/>
            </w:r>
            <w:r w:rsidR="00873F5E">
              <w:rPr>
                <w:noProof/>
                <w:webHidden/>
              </w:rPr>
              <w:t>13</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44" w:history="1">
            <w:r w:rsidR="00873F5E" w:rsidRPr="00C95D12">
              <w:rPr>
                <w:rStyle w:val="Hyperlink"/>
                <w:rFonts w:ascii="Wingdings" w:hAnsi="Wingdings"/>
                <w:noProof/>
              </w:rPr>
              <w:t></w:t>
            </w:r>
            <w:r w:rsidR="00873F5E">
              <w:rPr>
                <w:rFonts w:asciiTheme="minorHAnsi" w:eastAsiaTheme="minorEastAsia" w:hAnsiTheme="minorHAnsi"/>
                <w:noProof/>
                <w:lang w:eastAsia="bg-BG"/>
              </w:rPr>
              <w:tab/>
            </w:r>
            <w:r w:rsidR="00873F5E" w:rsidRPr="00C95D12">
              <w:rPr>
                <w:rStyle w:val="Hyperlink"/>
                <w:noProof/>
              </w:rPr>
              <w:t>Конкурс за научни изследвания на Кралската академия на Белгия</w:t>
            </w:r>
            <w:r w:rsidR="00873F5E">
              <w:rPr>
                <w:noProof/>
                <w:webHidden/>
              </w:rPr>
              <w:tab/>
            </w:r>
            <w:r w:rsidR="00873F5E">
              <w:rPr>
                <w:noProof/>
                <w:webHidden/>
              </w:rPr>
              <w:fldChar w:fldCharType="begin"/>
            </w:r>
            <w:r w:rsidR="00873F5E">
              <w:rPr>
                <w:noProof/>
                <w:webHidden/>
              </w:rPr>
              <w:instrText xml:space="preserve"> PAGEREF _Toc527447844 \h </w:instrText>
            </w:r>
            <w:r w:rsidR="00873F5E">
              <w:rPr>
                <w:noProof/>
                <w:webHidden/>
              </w:rPr>
            </w:r>
            <w:r w:rsidR="00873F5E">
              <w:rPr>
                <w:noProof/>
                <w:webHidden/>
              </w:rPr>
              <w:fldChar w:fldCharType="separate"/>
            </w:r>
            <w:r w:rsidR="00873F5E">
              <w:rPr>
                <w:noProof/>
                <w:webHidden/>
              </w:rPr>
              <w:t>14</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45" w:history="1">
            <w:r w:rsidR="00873F5E" w:rsidRPr="00C95D12">
              <w:rPr>
                <w:rStyle w:val="Hyperlink"/>
                <w:rFonts w:ascii="Wingdings" w:hAnsi="Wingdings"/>
                <w:noProof/>
              </w:rPr>
              <w:t></w:t>
            </w:r>
            <w:r w:rsidR="00873F5E">
              <w:rPr>
                <w:rFonts w:asciiTheme="minorHAnsi" w:eastAsiaTheme="minorEastAsia" w:hAnsiTheme="minorHAnsi"/>
                <w:noProof/>
                <w:lang w:eastAsia="bg-BG"/>
              </w:rPr>
              <w:tab/>
            </w:r>
            <w:r w:rsidR="00873F5E" w:rsidRPr="00C95D12">
              <w:rPr>
                <w:rStyle w:val="Hyperlink"/>
                <w:noProof/>
              </w:rPr>
              <w:t>Програма: „Америка за България”</w:t>
            </w:r>
            <w:r w:rsidR="00873F5E">
              <w:rPr>
                <w:noProof/>
                <w:webHidden/>
              </w:rPr>
              <w:tab/>
            </w:r>
            <w:r w:rsidR="00873F5E">
              <w:rPr>
                <w:noProof/>
                <w:webHidden/>
              </w:rPr>
              <w:fldChar w:fldCharType="begin"/>
            </w:r>
            <w:r w:rsidR="00873F5E">
              <w:rPr>
                <w:noProof/>
                <w:webHidden/>
              </w:rPr>
              <w:instrText xml:space="preserve"> PAGEREF _Toc527447845 \h </w:instrText>
            </w:r>
            <w:r w:rsidR="00873F5E">
              <w:rPr>
                <w:noProof/>
                <w:webHidden/>
              </w:rPr>
            </w:r>
            <w:r w:rsidR="00873F5E">
              <w:rPr>
                <w:noProof/>
                <w:webHidden/>
              </w:rPr>
              <w:fldChar w:fldCharType="separate"/>
            </w:r>
            <w:r w:rsidR="00873F5E">
              <w:rPr>
                <w:noProof/>
                <w:webHidden/>
              </w:rPr>
              <w:t>14</w:t>
            </w:r>
            <w:r w:rsidR="00873F5E">
              <w:rPr>
                <w:noProof/>
                <w:webHidden/>
              </w:rPr>
              <w:fldChar w:fldCharType="end"/>
            </w:r>
          </w:hyperlink>
        </w:p>
        <w:p w:rsidR="00873F5E" w:rsidRDefault="00F236D1">
          <w:pPr>
            <w:pStyle w:val="TOC1"/>
            <w:tabs>
              <w:tab w:val="right" w:leader="dot" w:pos="9062"/>
            </w:tabs>
            <w:rPr>
              <w:rFonts w:asciiTheme="minorHAnsi" w:eastAsiaTheme="minorEastAsia" w:hAnsiTheme="minorHAnsi"/>
              <w:noProof/>
              <w:lang w:eastAsia="bg-BG"/>
            </w:rPr>
          </w:pPr>
          <w:hyperlink w:anchor="_Toc527447846" w:history="1">
            <w:r w:rsidR="00873F5E" w:rsidRPr="00C95D12">
              <w:rPr>
                <w:rStyle w:val="Hyperlink"/>
                <w:noProof/>
              </w:rPr>
              <w:t>СЪБИТИЯ</w:t>
            </w:r>
            <w:r w:rsidR="00873F5E">
              <w:rPr>
                <w:noProof/>
                <w:webHidden/>
              </w:rPr>
              <w:tab/>
            </w:r>
            <w:r w:rsidR="00873F5E">
              <w:rPr>
                <w:noProof/>
                <w:webHidden/>
              </w:rPr>
              <w:fldChar w:fldCharType="begin"/>
            </w:r>
            <w:r w:rsidR="00873F5E">
              <w:rPr>
                <w:noProof/>
                <w:webHidden/>
              </w:rPr>
              <w:instrText xml:space="preserve"> PAGEREF _Toc527447846 \h </w:instrText>
            </w:r>
            <w:r w:rsidR="00873F5E">
              <w:rPr>
                <w:noProof/>
                <w:webHidden/>
              </w:rPr>
            </w:r>
            <w:r w:rsidR="00873F5E">
              <w:rPr>
                <w:noProof/>
                <w:webHidden/>
              </w:rPr>
              <w:fldChar w:fldCharType="separate"/>
            </w:r>
            <w:r w:rsidR="00873F5E">
              <w:rPr>
                <w:noProof/>
                <w:webHidden/>
              </w:rPr>
              <w:t>16</w:t>
            </w:r>
            <w:r w:rsidR="00873F5E">
              <w:rPr>
                <w:noProof/>
                <w:webHidden/>
              </w:rPr>
              <w:fldChar w:fldCharType="end"/>
            </w:r>
          </w:hyperlink>
        </w:p>
        <w:p w:rsidR="00873F5E" w:rsidRDefault="00F236D1">
          <w:pPr>
            <w:pStyle w:val="TOC1"/>
            <w:tabs>
              <w:tab w:val="right" w:leader="dot" w:pos="9062"/>
            </w:tabs>
            <w:rPr>
              <w:rFonts w:asciiTheme="minorHAnsi" w:eastAsiaTheme="minorEastAsia" w:hAnsiTheme="minorHAnsi"/>
              <w:noProof/>
              <w:lang w:eastAsia="bg-BG"/>
            </w:rPr>
          </w:pPr>
          <w:hyperlink w:anchor="_Toc527447847" w:history="1">
            <w:r w:rsidR="00873F5E" w:rsidRPr="00C95D12">
              <w:rPr>
                <w:rStyle w:val="Hyperlink"/>
                <w:noProof/>
              </w:rPr>
              <w:t>ПУБЛИКАЦИИ</w:t>
            </w:r>
            <w:r w:rsidR="00873F5E">
              <w:rPr>
                <w:noProof/>
                <w:webHidden/>
              </w:rPr>
              <w:tab/>
            </w:r>
            <w:r w:rsidR="00873F5E">
              <w:rPr>
                <w:noProof/>
                <w:webHidden/>
              </w:rPr>
              <w:fldChar w:fldCharType="begin"/>
            </w:r>
            <w:r w:rsidR="00873F5E">
              <w:rPr>
                <w:noProof/>
                <w:webHidden/>
              </w:rPr>
              <w:instrText xml:space="preserve"> PAGEREF _Toc527447847 \h </w:instrText>
            </w:r>
            <w:r w:rsidR="00873F5E">
              <w:rPr>
                <w:noProof/>
                <w:webHidden/>
              </w:rPr>
            </w:r>
            <w:r w:rsidR="00873F5E">
              <w:rPr>
                <w:noProof/>
                <w:webHidden/>
              </w:rPr>
              <w:fldChar w:fldCharType="separate"/>
            </w:r>
            <w:r w:rsidR="00873F5E">
              <w:rPr>
                <w:noProof/>
                <w:webHidden/>
              </w:rPr>
              <w:t>21</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48" w:history="1">
            <w:r w:rsidR="00873F5E" w:rsidRPr="00C95D12">
              <w:rPr>
                <w:rStyle w:val="Hyperlink"/>
                <w:rFonts w:ascii="Wingdings" w:hAnsi="Wingdings"/>
                <w:noProof/>
              </w:rPr>
              <w:t></w:t>
            </w:r>
            <w:r w:rsidR="00873F5E">
              <w:rPr>
                <w:rFonts w:asciiTheme="minorHAnsi" w:eastAsiaTheme="minorEastAsia" w:hAnsiTheme="minorHAnsi"/>
                <w:noProof/>
                <w:lang w:eastAsia="bg-BG"/>
              </w:rPr>
              <w:tab/>
            </w:r>
            <w:r w:rsidR="00873F5E" w:rsidRPr="00C95D12">
              <w:rPr>
                <w:rStyle w:val="Hyperlink"/>
                <w:noProof/>
                <w:lang w:val="en-US"/>
              </w:rPr>
              <w:t>RESEARCH EU</w:t>
            </w:r>
            <w:r w:rsidR="00873F5E">
              <w:rPr>
                <w:noProof/>
                <w:webHidden/>
              </w:rPr>
              <w:tab/>
            </w:r>
            <w:r w:rsidR="00873F5E">
              <w:rPr>
                <w:noProof/>
                <w:webHidden/>
              </w:rPr>
              <w:fldChar w:fldCharType="begin"/>
            </w:r>
            <w:r w:rsidR="00873F5E">
              <w:rPr>
                <w:noProof/>
                <w:webHidden/>
              </w:rPr>
              <w:instrText xml:space="preserve"> PAGEREF _Toc527447848 \h </w:instrText>
            </w:r>
            <w:r w:rsidR="00873F5E">
              <w:rPr>
                <w:noProof/>
                <w:webHidden/>
              </w:rPr>
            </w:r>
            <w:r w:rsidR="00873F5E">
              <w:rPr>
                <w:noProof/>
                <w:webHidden/>
              </w:rPr>
              <w:fldChar w:fldCharType="separate"/>
            </w:r>
            <w:r w:rsidR="00873F5E">
              <w:rPr>
                <w:noProof/>
                <w:webHidden/>
              </w:rPr>
              <w:t>21</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49" w:history="1">
            <w:r w:rsidR="00873F5E" w:rsidRPr="00C95D12">
              <w:rPr>
                <w:rStyle w:val="Hyperlink"/>
                <w:rFonts w:ascii="Wingdings" w:hAnsi="Wingdings"/>
                <w:noProof/>
              </w:rPr>
              <w:t></w:t>
            </w:r>
            <w:r w:rsidR="00873F5E">
              <w:rPr>
                <w:rFonts w:asciiTheme="minorHAnsi" w:eastAsiaTheme="minorEastAsia" w:hAnsiTheme="minorHAnsi"/>
                <w:noProof/>
                <w:lang w:eastAsia="bg-BG"/>
              </w:rPr>
              <w:tab/>
            </w:r>
            <w:r w:rsidR="00873F5E" w:rsidRPr="00C95D12">
              <w:rPr>
                <w:rStyle w:val="Hyperlink"/>
                <w:noProof/>
              </w:rPr>
              <w:t>Nephrology Dialysis Transplantation, Volume 33 - Magnetic Resonance Imaging Biomarkers in Renal Disease</w:t>
            </w:r>
            <w:r w:rsidR="00873F5E">
              <w:rPr>
                <w:noProof/>
                <w:webHidden/>
              </w:rPr>
              <w:tab/>
            </w:r>
            <w:r w:rsidR="00873F5E">
              <w:rPr>
                <w:noProof/>
                <w:webHidden/>
              </w:rPr>
              <w:fldChar w:fldCharType="begin"/>
            </w:r>
            <w:r w:rsidR="00873F5E">
              <w:rPr>
                <w:noProof/>
                <w:webHidden/>
              </w:rPr>
              <w:instrText xml:space="preserve"> PAGEREF _Toc527447849 \h </w:instrText>
            </w:r>
            <w:r w:rsidR="00873F5E">
              <w:rPr>
                <w:noProof/>
                <w:webHidden/>
              </w:rPr>
            </w:r>
            <w:r w:rsidR="00873F5E">
              <w:rPr>
                <w:noProof/>
                <w:webHidden/>
              </w:rPr>
              <w:fldChar w:fldCharType="separate"/>
            </w:r>
            <w:r w:rsidR="00873F5E">
              <w:rPr>
                <w:noProof/>
                <w:webHidden/>
              </w:rPr>
              <w:t>21</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50" w:history="1">
            <w:r w:rsidR="00873F5E" w:rsidRPr="00C95D12">
              <w:rPr>
                <w:rStyle w:val="Hyperlink"/>
                <w:rFonts w:ascii="Wingdings" w:hAnsi="Wingdings"/>
                <w:noProof/>
              </w:rPr>
              <w:t></w:t>
            </w:r>
            <w:r w:rsidR="00873F5E">
              <w:rPr>
                <w:rFonts w:asciiTheme="minorHAnsi" w:eastAsiaTheme="minorEastAsia" w:hAnsiTheme="minorHAnsi"/>
                <w:noProof/>
                <w:lang w:eastAsia="bg-BG"/>
              </w:rPr>
              <w:tab/>
            </w:r>
            <w:r w:rsidR="00873F5E" w:rsidRPr="00C95D12">
              <w:rPr>
                <w:rStyle w:val="Hyperlink"/>
                <w:noProof/>
              </w:rPr>
              <w:t>Guidelines for supporting children with disabilities' play: Methodologies, tools, and contexts</w:t>
            </w:r>
            <w:r w:rsidR="00873F5E">
              <w:rPr>
                <w:noProof/>
                <w:webHidden/>
              </w:rPr>
              <w:tab/>
            </w:r>
            <w:r w:rsidR="00873F5E">
              <w:rPr>
                <w:noProof/>
                <w:webHidden/>
              </w:rPr>
              <w:fldChar w:fldCharType="begin"/>
            </w:r>
            <w:r w:rsidR="00873F5E">
              <w:rPr>
                <w:noProof/>
                <w:webHidden/>
              </w:rPr>
              <w:instrText xml:space="preserve"> PAGEREF _Toc527447850 \h </w:instrText>
            </w:r>
            <w:r w:rsidR="00873F5E">
              <w:rPr>
                <w:noProof/>
                <w:webHidden/>
              </w:rPr>
            </w:r>
            <w:r w:rsidR="00873F5E">
              <w:rPr>
                <w:noProof/>
                <w:webHidden/>
              </w:rPr>
              <w:fldChar w:fldCharType="separate"/>
            </w:r>
            <w:r w:rsidR="00873F5E">
              <w:rPr>
                <w:noProof/>
                <w:webHidden/>
              </w:rPr>
              <w:t>22</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51" w:history="1">
            <w:r w:rsidR="00873F5E" w:rsidRPr="00C95D12">
              <w:rPr>
                <w:rStyle w:val="Hyperlink"/>
                <w:rFonts w:ascii="Wingdings" w:hAnsi="Wingdings"/>
                <w:noProof/>
              </w:rPr>
              <w:t></w:t>
            </w:r>
            <w:r w:rsidR="00873F5E">
              <w:rPr>
                <w:rFonts w:asciiTheme="minorHAnsi" w:eastAsiaTheme="minorEastAsia" w:hAnsiTheme="minorHAnsi"/>
                <w:noProof/>
                <w:lang w:eastAsia="bg-BG"/>
              </w:rPr>
              <w:tab/>
            </w:r>
            <w:r w:rsidR="00873F5E" w:rsidRPr="00C95D12">
              <w:rPr>
                <w:rStyle w:val="Hyperlink"/>
                <w:noProof/>
              </w:rPr>
              <w:t>Autonomous Control for a Reliable Internet of Services: Methods, Models, Approaches, Techniques, Algorithms, and Tools</w:t>
            </w:r>
            <w:r w:rsidR="00873F5E">
              <w:rPr>
                <w:noProof/>
                <w:webHidden/>
              </w:rPr>
              <w:tab/>
            </w:r>
            <w:r w:rsidR="00873F5E">
              <w:rPr>
                <w:noProof/>
                <w:webHidden/>
              </w:rPr>
              <w:fldChar w:fldCharType="begin"/>
            </w:r>
            <w:r w:rsidR="00873F5E">
              <w:rPr>
                <w:noProof/>
                <w:webHidden/>
              </w:rPr>
              <w:instrText xml:space="preserve"> PAGEREF _Toc527447851 \h </w:instrText>
            </w:r>
            <w:r w:rsidR="00873F5E">
              <w:rPr>
                <w:noProof/>
                <w:webHidden/>
              </w:rPr>
            </w:r>
            <w:r w:rsidR="00873F5E">
              <w:rPr>
                <w:noProof/>
                <w:webHidden/>
              </w:rPr>
              <w:fldChar w:fldCharType="separate"/>
            </w:r>
            <w:r w:rsidR="00873F5E">
              <w:rPr>
                <w:noProof/>
                <w:webHidden/>
              </w:rPr>
              <w:t>23</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52" w:history="1">
            <w:r w:rsidR="00873F5E" w:rsidRPr="00C95D12">
              <w:rPr>
                <w:rStyle w:val="Hyperlink"/>
                <w:rFonts w:ascii="Wingdings" w:hAnsi="Wingdings"/>
                <w:noProof/>
                <w:lang w:val="en-GB"/>
              </w:rPr>
              <w:t></w:t>
            </w:r>
            <w:r w:rsidR="00873F5E">
              <w:rPr>
                <w:rFonts w:asciiTheme="minorHAnsi" w:eastAsiaTheme="minorEastAsia" w:hAnsiTheme="minorHAnsi"/>
                <w:noProof/>
                <w:lang w:eastAsia="bg-BG"/>
              </w:rPr>
              <w:tab/>
            </w:r>
            <w:r w:rsidR="00873F5E" w:rsidRPr="00C95D12">
              <w:rPr>
                <w:rStyle w:val="Hyperlink"/>
                <w:noProof/>
                <w:lang w:val="en-GB"/>
              </w:rPr>
              <w:t>CERN Courier</w:t>
            </w:r>
            <w:r w:rsidR="00873F5E">
              <w:rPr>
                <w:noProof/>
                <w:webHidden/>
              </w:rPr>
              <w:tab/>
            </w:r>
            <w:r w:rsidR="00873F5E">
              <w:rPr>
                <w:noProof/>
                <w:webHidden/>
              </w:rPr>
              <w:fldChar w:fldCharType="begin"/>
            </w:r>
            <w:r w:rsidR="00873F5E">
              <w:rPr>
                <w:noProof/>
                <w:webHidden/>
              </w:rPr>
              <w:instrText xml:space="preserve"> PAGEREF _Toc527447852 \h </w:instrText>
            </w:r>
            <w:r w:rsidR="00873F5E">
              <w:rPr>
                <w:noProof/>
                <w:webHidden/>
              </w:rPr>
            </w:r>
            <w:r w:rsidR="00873F5E">
              <w:rPr>
                <w:noProof/>
                <w:webHidden/>
              </w:rPr>
              <w:fldChar w:fldCharType="separate"/>
            </w:r>
            <w:r w:rsidR="00873F5E">
              <w:rPr>
                <w:noProof/>
                <w:webHidden/>
              </w:rPr>
              <w:t>23</w:t>
            </w:r>
            <w:r w:rsidR="00873F5E">
              <w:rPr>
                <w:noProof/>
                <w:webHidden/>
              </w:rPr>
              <w:fldChar w:fldCharType="end"/>
            </w:r>
          </w:hyperlink>
        </w:p>
        <w:p w:rsidR="00873F5E" w:rsidRDefault="00F236D1">
          <w:pPr>
            <w:pStyle w:val="TOC2"/>
            <w:tabs>
              <w:tab w:val="left" w:pos="660"/>
              <w:tab w:val="right" w:leader="dot" w:pos="9062"/>
            </w:tabs>
            <w:rPr>
              <w:rFonts w:asciiTheme="minorHAnsi" w:eastAsiaTheme="minorEastAsia" w:hAnsiTheme="minorHAnsi"/>
              <w:noProof/>
              <w:lang w:eastAsia="bg-BG"/>
            </w:rPr>
          </w:pPr>
          <w:hyperlink w:anchor="_Toc527447853" w:history="1">
            <w:r w:rsidR="00873F5E" w:rsidRPr="00C95D12">
              <w:rPr>
                <w:rStyle w:val="Hyperlink"/>
                <w:rFonts w:ascii="Wingdings" w:eastAsia="Times New Roman" w:hAnsi="Wingdings"/>
                <w:noProof/>
                <w:lang w:eastAsia="bg-BG"/>
              </w:rPr>
              <w:t></w:t>
            </w:r>
            <w:r w:rsidR="00873F5E">
              <w:rPr>
                <w:rFonts w:asciiTheme="minorHAnsi" w:eastAsiaTheme="minorEastAsia" w:hAnsiTheme="minorHAnsi"/>
                <w:noProof/>
                <w:lang w:eastAsia="bg-BG"/>
              </w:rPr>
              <w:tab/>
            </w:r>
            <w:r w:rsidR="00873F5E" w:rsidRPr="00C95D12">
              <w:rPr>
                <w:rStyle w:val="Hyperlink"/>
                <w:rFonts w:eastAsia="Times New Roman"/>
                <w:noProof/>
                <w:lang w:eastAsia="bg-BG"/>
              </w:rPr>
              <w:t>Network Coding and Subspace Designs</w:t>
            </w:r>
            <w:r w:rsidR="00873F5E">
              <w:rPr>
                <w:noProof/>
                <w:webHidden/>
              </w:rPr>
              <w:tab/>
            </w:r>
            <w:r w:rsidR="00873F5E">
              <w:rPr>
                <w:noProof/>
                <w:webHidden/>
              </w:rPr>
              <w:fldChar w:fldCharType="begin"/>
            </w:r>
            <w:r w:rsidR="00873F5E">
              <w:rPr>
                <w:noProof/>
                <w:webHidden/>
              </w:rPr>
              <w:instrText xml:space="preserve"> PAGEREF _Toc527447853 \h </w:instrText>
            </w:r>
            <w:r w:rsidR="00873F5E">
              <w:rPr>
                <w:noProof/>
                <w:webHidden/>
              </w:rPr>
            </w:r>
            <w:r w:rsidR="00873F5E">
              <w:rPr>
                <w:noProof/>
                <w:webHidden/>
              </w:rPr>
              <w:fldChar w:fldCharType="separate"/>
            </w:r>
            <w:r w:rsidR="00873F5E">
              <w:rPr>
                <w:noProof/>
                <w:webHidden/>
              </w:rPr>
              <w:t>24</w:t>
            </w:r>
            <w:r w:rsidR="00873F5E">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527447831"/>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F505B8" w:rsidRPr="00F505B8" w:rsidRDefault="00F505B8" w:rsidP="001D3E1A">
      <w:pPr>
        <w:pStyle w:val="Heading2"/>
        <w:ind w:left="426"/>
      </w:pPr>
      <w:bookmarkStart w:id="2" w:name="_Toc527447832"/>
      <w:r w:rsidRPr="00F505B8">
        <w:t>Ritchie-Jennings Memorial Scholarship Program</w:t>
      </w:r>
      <w:bookmarkEnd w:id="2"/>
    </w:p>
    <w:p w:rsidR="00F505B8" w:rsidRPr="00FA556E" w:rsidRDefault="00F505B8" w:rsidP="00F505B8">
      <w:pPr>
        <w:spacing w:before="120" w:after="120"/>
        <w:rPr>
          <w:sz w:val="24"/>
          <w:szCs w:val="24"/>
        </w:rPr>
      </w:pPr>
      <w:r w:rsidRPr="00FA556E">
        <w:rPr>
          <w:sz w:val="24"/>
          <w:szCs w:val="24"/>
        </w:rPr>
        <w:t>Through the Ritchie-Jennings Memorial Scholarship, the ACFE Foundation supports the education of students who have an interest in pursuing a career in fraud examination. The scholarship provides an opportunity for students to advance their education and anti-fraud career paths. Many of these outstanding and deserving students go on to become Certified Fraud Examiners.</w:t>
      </w:r>
    </w:p>
    <w:p w:rsidR="00F505B8" w:rsidRPr="00FA556E" w:rsidRDefault="00F505B8" w:rsidP="00F505B8">
      <w:pPr>
        <w:spacing w:before="120" w:after="120"/>
        <w:rPr>
          <w:sz w:val="24"/>
          <w:szCs w:val="24"/>
        </w:rPr>
      </w:pPr>
      <w:r w:rsidRPr="00FA556E">
        <w:rPr>
          <w:sz w:val="24"/>
          <w:szCs w:val="24"/>
        </w:rPr>
        <w:t xml:space="preserve">The Ritchie-Jennings Memorial scholarship award amounts are $10,000, $5,000, $2,500, and $1,000. Scholarships are awarded in U.S. dollars and include a one-year ACFE Student Associate membership . Awards will be paid directly </w:t>
      </w:r>
      <w:proofErr w:type="spellStart"/>
      <w:r w:rsidRPr="00FA556E">
        <w:rPr>
          <w:sz w:val="24"/>
          <w:szCs w:val="24"/>
        </w:rPr>
        <w:t>to</w:t>
      </w:r>
      <w:proofErr w:type="spellEnd"/>
      <w:r w:rsidRPr="00FA556E">
        <w:rPr>
          <w:sz w:val="24"/>
          <w:szCs w:val="24"/>
        </w:rPr>
        <w:t xml:space="preserve"> </w:t>
      </w:r>
      <w:proofErr w:type="spellStart"/>
      <w:r w:rsidRPr="00FA556E">
        <w:rPr>
          <w:sz w:val="24"/>
          <w:szCs w:val="24"/>
        </w:rPr>
        <w:t>the</w:t>
      </w:r>
      <w:proofErr w:type="spellEnd"/>
      <w:r w:rsidRPr="00FA556E">
        <w:rPr>
          <w:sz w:val="24"/>
          <w:szCs w:val="24"/>
        </w:rPr>
        <w:t xml:space="preserve"> </w:t>
      </w:r>
      <w:proofErr w:type="spellStart"/>
      <w:r w:rsidRPr="00FA556E">
        <w:rPr>
          <w:sz w:val="24"/>
          <w:szCs w:val="24"/>
        </w:rPr>
        <w:t>award</w:t>
      </w:r>
      <w:proofErr w:type="spellEnd"/>
      <w:r w:rsidRPr="00FA556E">
        <w:rPr>
          <w:sz w:val="24"/>
          <w:szCs w:val="24"/>
        </w:rPr>
        <w:t xml:space="preserve"> </w:t>
      </w:r>
      <w:proofErr w:type="spellStart"/>
      <w:r w:rsidRPr="00FA556E">
        <w:rPr>
          <w:sz w:val="24"/>
          <w:szCs w:val="24"/>
        </w:rPr>
        <w:t>recipient’s</w:t>
      </w:r>
      <w:proofErr w:type="spellEnd"/>
      <w:r w:rsidRPr="00FA556E">
        <w:rPr>
          <w:sz w:val="24"/>
          <w:szCs w:val="24"/>
        </w:rPr>
        <w:t xml:space="preserve"> </w:t>
      </w:r>
      <w:proofErr w:type="spellStart"/>
      <w:r w:rsidRPr="00FA556E">
        <w:rPr>
          <w:sz w:val="24"/>
          <w:szCs w:val="24"/>
        </w:rPr>
        <w:t>university</w:t>
      </w:r>
      <w:proofErr w:type="spellEnd"/>
      <w:r w:rsidRPr="00FA556E">
        <w:rPr>
          <w:sz w:val="24"/>
          <w:szCs w:val="24"/>
        </w:rPr>
        <w:t>.</w:t>
      </w:r>
    </w:p>
    <w:p w:rsidR="00F505B8" w:rsidRPr="00FA556E" w:rsidRDefault="00F505B8" w:rsidP="00F505B8">
      <w:pPr>
        <w:spacing w:before="120" w:after="120"/>
        <w:rPr>
          <w:sz w:val="24"/>
          <w:szCs w:val="24"/>
        </w:rPr>
      </w:pPr>
      <w:r w:rsidRPr="00FA556E">
        <w:rPr>
          <w:sz w:val="24"/>
          <w:szCs w:val="24"/>
        </w:rPr>
        <w:t>2019-2020 Scholarship Schedule:</w:t>
      </w:r>
    </w:p>
    <w:p w:rsidR="00F505B8" w:rsidRPr="001D3E1A" w:rsidRDefault="00F505B8" w:rsidP="001D3E1A">
      <w:pPr>
        <w:pStyle w:val="ListParagraph"/>
        <w:numPr>
          <w:ilvl w:val="0"/>
          <w:numId w:val="42"/>
        </w:numPr>
        <w:spacing w:before="120" w:after="120"/>
        <w:rPr>
          <w:sz w:val="24"/>
          <w:szCs w:val="24"/>
        </w:rPr>
      </w:pPr>
      <w:r w:rsidRPr="001D3E1A">
        <w:rPr>
          <w:sz w:val="24"/>
          <w:szCs w:val="24"/>
        </w:rPr>
        <w:t>2019-2020 Application - NOW OPEN</w:t>
      </w:r>
    </w:p>
    <w:p w:rsidR="00F505B8" w:rsidRPr="001D3E1A" w:rsidRDefault="00F505B8" w:rsidP="001D3E1A">
      <w:pPr>
        <w:pStyle w:val="ListParagraph"/>
        <w:numPr>
          <w:ilvl w:val="0"/>
          <w:numId w:val="42"/>
        </w:numPr>
        <w:spacing w:before="120" w:after="120"/>
        <w:rPr>
          <w:sz w:val="24"/>
          <w:szCs w:val="24"/>
        </w:rPr>
      </w:pPr>
      <w:r w:rsidRPr="001D3E1A">
        <w:rPr>
          <w:sz w:val="24"/>
          <w:szCs w:val="24"/>
        </w:rPr>
        <w:t>Application Deadline – Completed online by January 30, 2019</w:t>
      </w:r>
    </w:p>
    <w:p w:rsidR="00F505B8" w:rsidRPr="001D3E1A" w:rsidRDefault="00F505B8" w:rsidP="001D3E1A">
      <w:pPr>
        <w:pStyle w:val="ListParagraph"/>
        <w:numPr>
          <w:ilvl w:val="0"/>
          <w:numId w:val="42"/>
        </w:numPr>
        <w:spacing w:before="120" w:after="120"/>
        <w:rPr>
          <w:sz w:val="24"/>
          <w:szCs w:val="24"/>
        </w:rPr>
      </w:pPr>
      <w:r w:rsidRPr="001D3E1A">
        <w:rPr>
          <w:sz w:val="24"/>
          <w:szCs w:val="24"/>
        </w:rPr>
        <w:t>Scholarship Award Recipients Announced – April 20, 2019</w:t>
      </w:r>
    </w:p>
    <w:p w:rsidR="00F505B8" w:rsidRPr="001D3E1A" w:rsidRDefault="00F505B8" w:rsidP="001D3E1A">
      <w:pPr>
        <w:pStyle w:val="ListParagraph"/>
        <w:numPr>
          <w:ilvl w:val="0"/>
          <w:numId w:val="42"/>
        </w:numPr>
        <w:spacing w:before="120" w:after="120"/>
        <w:rPr>
          <w:sz w:val="24"/>
          <w:szCs w:val="24"/>
        </w:rPr>
      </w:pPr>
      <w:r w:rsidRPr="001D3E1A">
        <w:rPr>
          <w:sz w:val="24"/>
          <w:szCs w:val="24"/>
        </w:rPr>
        <w:t>Scholarship Awards Distributed – April 30, 2019</w:t>
      </w:r>
    </w:p>
    <w:p w:rsidR="00F505B8" w:rsidRPr="00FA556E" w:rsidRDefault="00F505B8" w:rsidP="00F505B8">
      <w:pPr>
        <w:spacing w:before="120" w:after="120"/>
        <w:rPr>
          <w:sz w:val="24"/>
          <w:szCs w:val="24"/>
        </w:rPr>
      </w:pPr>
      <w:r w:rsidRPr="00FA556E">
        <w:rPr>
          <w:sz w:val="24"/>
          <w:szCs w:val="24"/>
        </w:rPr>
        <w:t xml:space="preserve">Eligibility Criteria  </w:t>
      </w:r>
    </w:p>
    <w:p w:rsidR="00F505B8" w:rsidRPr="00FA556E" w:rsidRDefault="00F505B8" w:rsidP="00F505B8">
      <w:pPr>
        <w:spacing w:before="120" w:after="120"/>
        <w:rPr>
          <w:sz w:val="24"/>
          <w:szCs w:val="24"/>
        </w:rPr>
      </w:pPr>
      <w:r w:rsidRPr="00FA556E">
        <w:rPr>
          <w:sz w:val="24"/>
          <w:szCs w:val="24"/>
        </w:rPr>
        <w:t>Scholarship applicants must currently be enrolled full-time and similarly enrolled during the 2019-2020 academic year at an accredited, four-year college or university. Applicants must have a declared major or minor in accounting, business administration, finance or criminal justice and demonstrate a desire to pursue a career in fraud examination or similar anti-fraud profession.</w:t>
      </w:r>
    </w:p>
    <w:p w:rsidR="00F505B8" w:rsidRPr="00FA556E" w:rsidRDefault="00F505B8" w:rsidP="00F505B8">
      <w:pPr>
        <w:spacing w:before="120" w:after="120"/>
        <w:rPr>
          <w:sz w:val="24"/>
          <w:szCs w:val="24"/>
        </w:rPr>
      </w:pPr>
      <w:r w:rsidRPr="00FA556E">
        <w:rPr>
          <w:sz w:val="24"/>
          <w:szCs w:val="24"/>
        </w:rPr>
        <w:t xml:space="preserve">Applicants must meet the following requirements in order to be eligible: </w:t>
      </w:r>
    </w:p>
    <w:p w:rsidR="00F505B8" w:rsidRPr="001D3E1A" w:rsidRDefault="00F505B8" w:rsidP="001D3E1A">
      <w:pPr>
        <w:pStyle w:val="ListParagraph"/>
        <w:numPr>
          <w:ilvl w:val="0"/>
          <w:numId w:val="43"/>
        </w:numPr>
        <w:spacing w:before="120" w:after="120"/>
        <w:rPr>
          <w:sz w:val="24"/>
          <w:szCs w:val="24"/>
        </w:rPr>
      </w:pPr>
      <w:r w:rsidRPr="001D3E1A">
        <w:rPr>
          <w:sz w:val="24"/>
          <w:szCs w:val="24"/>
        </w:rPr>
        <w:t xml:space="preserve">Undergraduates must be enrolled 9 semester hours (or equivalent) per term </w:t>
      </w:r>
    </w:p>
    <w:p w:rsidR="00F505B8" w:rsidRPr="001D3E1A" w:rsidRDefault="00F505B8" w:rsidP="001D3E1A">
      <w:pPr>
        <w:pStyle w:val="ListParagraph"/>
        <w:numPr>
          <w:ilvl w:val="0"/>
          <w:numId w:val="43"/>
        </w:numPr>
        <w:spacing w:before="120" w:after="120"/>
        <w:rPr>
          <w:sz w:val="24"/>
          <w:szCs w:val="24"/>
        </w:rPr>
      </w:pPr>
      <w:r w:rsidRPr="001D3E1A">
        <w:rPr>
          <w:sz w:val="24"/>
          <w:szCs w:val="24"/>
        </w:rPr>
        <w:t xml:space="preserve">Graduates must be enrolled 6 semester hours (or equivalent) per term </w:t>
      </w:r>
    </w:p>
    <w:p w:rsidR="00F505B8" w:rsidRPr="001D3E1A" w:rsidRDefault="00F505B8" w:rsidP="001D3E1A">
      <w:pPr>
        <w:pStyle w:val="ListParagraph"/>
        <w:numPr>
          <w:ilvl w:val="0"/>
          <w:numId w:val="43"/>
        </w:numPr>
        <w:spacing w:before="120" w:after="120"/>
        <w:rPr>
          <w:sz w:val="24"/>
          <w:szCs w:val="24"/>
        </w:rPr>
      </w:pPr>
      <w:r w:rsidRPr="001D3E1A">
        <w:rPr>
          <w:sz w:val="24"/>
          <w:szCs w:val="24"/>
        </w:rPr>
        <w:t>Be currently enrolled at an accredited, four-year college or university with enrollment through the 2019-2020 academic year</w:t>
      </w:r>
    </w:p>
    <w:p w:rsidR="00F505B8" w:rsidRPr="001D3E1A" w:rsidRDefault="00F505B8" w:rsidP="001D3E1A">
      <w:pPr>
        <w:pStyle w:val="ListParagraph"/>
        <w:numPr>
          <w:ilvl w:val="0"/>
          <w:numId w:val="43"/>
        </w:numPr>
        <w:spacing w:before="120" w:after="120"/>
        <w:rPr>
          <w:sz w:val="24"/>
          <w:szCs w:val="24"/>
        </w:rPr>
      </w:pPr>
      <w:r w:rsidRPr="001D3E1A">
        <w:rPr>
          <w:sz w:val="24"/>
          <w:szCs w:val="24"/>
        </w:rPr>
        <w:t xml:space="preserve">Submit a Completed Ritchie-Jennings Memorial Scholarship application  </w:t>
      </w:r>
    </w:p>
    <w:p w:rsidR="00F505B8" w:rsidRPr="001D3E1A" w:rsidRDefault="00F505B8" w:rsidP="001D3E1A">
      <w:pPr>
        <w:pStyle w:val="ListParagraph"/>
        <w:numPr>
          <w:ilvl w:val="0"/>
          <w:numId w:val="43"/>
        </w:numPr>
        <w:spacing w:before="120" w:after="120"/>
        <w:rPr>
          <w:sz w:val="24"/>
          <w:szCs w:val="24"/>
        </w:rPr>
      </w:pPr>
      <w:r w:rsidRPr="001D3E1A">
        <w:rPr>
          <w:sz w:val="24"/>
          <w:szCs w:val="24"/>
        </w:rPr>
        <w:t xml:space="preserve">Provide Official Transcript(s) showing all completed college or university courses </w:t>
      </w:r>
    </w:p>
    <w:p w:rsidR="00F505B8" w:rsidRPr="001D3E1A" w:rsidRDefault="00F505B8" w:rsidP="001D3E1A">
      <w:pPr>
        <w:pStyle w:val="ListParagraph"/>
        <w:numPr>
          <w:ilvl w:val="0"/>
          <w:numId w:val="43"/>
        </w:numPr>
        <w:spacing w:before="120" w:after="120"/>
        <w:rPr>
          <w:sz w:val="24"/>
          <w:szCs w:val="24"/>
        </w:rPr>
      </w:pPr>
      <w:r w:rsidRPr="001D3E1A">
        <w:rPr>
          <w:sz w:val="24"/>
          <w:szCs w:val="24"/>
        </w:rPr>
        <w:t>Two recommendation forms must be submitted on behalf of the applicant*</w:t>
      </w:r>
    </w:p>
    <w:p w:rsidR="00F505B8" w:rsidRPr="00FA556E" w:rsidRDefault="00F505B8" w:rsidP="00F505B8">
      <w:pPr>
        <w:spacing w:before="120" w:after="120"/>
        <w:rPr>
          <w:sz w:val="24"/>
          <w:szCs w:val="24"/>
        </w:rPr>
      </w:pPr>
      <w:r w:rsidRPr="00FA556E">
        <w:rPr>
          <w:sz w:val="24"/>
          <w:szCs w:val="24"/>
        </w:rPr>
        <w:t xml:space="preserve">*At least one form is preferred to be from a Certified Fraud Examiner (CFE) or a professor. Students are encouraged to meet with a Local ACFE Chapter to become acquainted with a CFE. Additional recommendation forms should be requested from an individual who may be familiar with your fraud-related education, interests, goals, and anti-fraud career path such as an employer or professor. </w:t>
      </w:r>
    </w:p>
    <w:p w:rsidR="00F505B8" w:rsidRPr="00FA556E" w:rsidRDefault="00F505B8" w:rsidP="00F505B8">
      <w:pPr>
        <w:spacing w:before="120" w:after="120"/>
        <w:rPr>
          <w:sz w:val="24"/>
          <w:szCs w:val="24"/>
        </w:rPr>
      </w:pPr>
      <w:r w:rsidRPr="00FA556E">
        <w:rPr>
          <w:sz w:val="24"/>
          <w:szCs w:val="24"/>
        </w:rPr>
        <w:t>During the application process, you will provide information on two recommenders. These individuals will receive a link to upload their individual recommendation forms on your behalf.</w:t>
      </w:r>
    </w:p>
    <w:p w:rsidR="00F505B8" w:rsidRDefault="00F236D1" w:rsidP="00F505B8">
      <w:pPr>
        <w:spacing w:before="120" w:after="120"/>
        <w:rPr>
          <w:rStyle w:val="Hyperlink"/>
          <w:sz w:val="24"/>
          <w:szCs w:val="24"/>
          <w:lang w:val="en-US"/>
        </w:rPr>
      </w:pPr>
      <w:hyperlink r:id="rId11" w:history="1">
        <w:r w:rsidR="00FA556E" w:rsidRPr="00FA556E">
          <w:rPr>
            <w:rStyle w:val="Hyperlink"/>
            <w:sz w:val="24"/>
            <w:szCs w:val="24"/>
            <w:lang w:val="en-US"/>
          </w:rPr>
          <w:t>More information</w:t>
        </w:r>
      </w:hyperlink>
    </w:p>
    <w:p w:rsidR="001D3E1A" w:rsidRPr="001D3E1A" w:rsidRDefault="001D3E1A" w:rsidP="00F505B8">
      <w:pPr>
        <w:spacing w:before="120" w:after="120"/>
        <w:rPr>
          <w:b/>
          <w:sz w:val="24"/>
          <w:szCs w:val="24"/>
          <w:lang w:val="en-US"/>
        </w:rPr>
      </w:pPr>
      <w:r w:rsidRPr="001D3E1A">
        <w:rPr>
          <w:rStyle w:val="Hyperlink"/>
          <w:b/>
          <w:color w:val="auto"/>
          <w:sz w:val="24"/>
          <w:szCs w:val="24"/>
          <w:u w:val="none"/>
          <w:lang w:val="en-US"/>
        </w:rPr>
        <w:t xml:space="preserve">Deadline: </w:t>
      </w:r>
      <w:r>
        <w:rPr>
          <w:rStyle w:val="Hyperlink"/>
          <w:b/>
          <w:color w:val="auto"/>
          <w:sz w:val="24"/>
          <w:szCs w:val="24"/>
          <w:u w:val="none"/>
          <w:lang w:val="en-US"/>
        </w:rPr>
        <w:t xml:space="preserve">30 </w:t>
      </w:r>
      <w:r w:rsidRPr="001D3E1A">
        <w:rPr>
          <w:b/>
          <w:sz w:val="24"/>
          <w:szCs w:val="24"/>
        </w:rPr>
        <w:t>January 2019</w:t>
      </w:r>
    </w:p>
    <w:p w:rsidR="00F505B8" w:rsidRDefault="00F505B8" w:rsidP="00F505B8">
      <w:pPr>
        <w:spacing w:before="120" w:after="120"/>
      </w:pPr>
    </w:p>
    <w:p w:rsidR="00FE78DA" w:rsidRDefault="00345C1B" w:rsidP="00FE78DA">
      <w:pPr>
        <w:pStyle w:val="Heading2"/>
        <w:ind w:left="426"/>
      </w:pPr>
      <w:bookmarkStart w:id="3" w:name="_Toc527447833"/>
      <w:r w:rsidRPr="00E45ECE">
        <w:lastRenderedPageBreak/>
        <w:t>Конкурс за студентски реферати</w:t>
      </w:r>
      <w:bookmarkEnd w:id="3"/>
      <w:r w:rsidRPr="00E45ECE">
        <w:t> </w:t>
      </w:r>
    </w:p>
    <w:p w:rsidR="00FE78DA" w:rsidRDefault="00345C1B" w:rsidP="00FE78DA">
      <w:pPr>
        <w:spacing w:before="120" w:after="120"/>
        <w:rPr>
          <w:sz w:val="24"/>
          <w:szCs w:val="24"/>
        </w:rPr>
      </w:pPr>
      <w:r w:rsidRPr="00E45ECE">
        <w:rPr>
          <w:sz w:val="24"/>
          <w:szCs w:val="24"/>
        </w:rPr>
        <w:t xml:space="preserve">Във връзка с отбелязване на 10 години от влизането в сила на Конвенцията на ООН за правата на хората с увреждания, Правната програма на Институт Отворено общество – София организира конкурс за студентски реферати по темата „Проблеми на правния статут на хората с интелектуални затруднения или </w:t>
      </w:r>
      <w:proofErr w:type="spellStart"/>
      <w:r w:rsidRPr="00E45ECE">
        <w:rPr>
          <w:sz w:val="24"/>
          <w:szCs w:val="24"/>
        </w:rPr>
        <w:t>психосоциални</w:t>
      </w:r>
      <w:proofErr w:type="spellEnd"/>
      <w:r w:rsidRPr="00E45ECE">
        <w:rPr>
          <w:sz w:val="24"/>
          <w:szCs w:val="24"/>
        </w:rPr>
        <w:t xml:space="preserve"> разстройства в България“.</w:t>
      </w:r>
    </w:p>
    <w:p w:rsidR="00FE78DA" w:rsidRDefault="00345C1B" w:rsidP="00FE78DA">
      <w:pPr>
        <w:spacing w:before="120" w:after="120"/>
        <w:rPr>
          <w:sz w:val="24"/>
          <w:szCs w:val="24"/>
        </w:rPr>
      </w:pPr>
      <w:r w:rsidRPr="00E45ECE">
        <w:rPr>
          <w:sz w:val="24"/>
          <w:szCs w:val="24"/>
        </w:rPr>
        <w:t>В конкурса за реферати могат да участват студенти от специалност „Право“ на всички български висши училища и на висши училища от държавите членки на Европейския съюз, без значение на формата на обучение.</w:t>
      </w:r>
    </w:p>
    <w:p w:rsidR="00FE78DA" w:rsidRDefault="00345C1B" w:rsidP="00FE78DA">
      <w:pPr>
        <w:spacing w:before="120" w:after="120"/>
        <w:rPr>
          <w:sz w:val="24"/>
          <w:szCs w:val="24"/>
        </w:rPr>
      </w:pPr>
      <w:r w:rsidRPr="00E45ECE">
        <w:rPr>
          <w:sz w:val="24"/>
          <w:szCs w:val="24"/>
        </w:rPr>
        <w:t>Рефератите трябва да представляват писмена авторска работа, която не е публикувана и не е предложена за публикуване в печатно или електронно издание.</w:t>
      </w:r>
    </w:p>
    <w:p w:rsidR="00345C1B" w:rsidRPr="008575C4" w:rsidRDefault="00345C1B" w:rsidP="00FE78DA">
      <w:pPr>
        <w:spacing w:before="120" w:after="120"/>
        <w:rPr>
          <w:sz w:val="24"/>
          <w:szCs w:val="24"/>
          <w:lang w:val="ru-RU"/>
        </w:rPr>
      </w:pPr>
      <w:r w:rsidRPr="00E45ECE">
        <w:rPr>
          <w:sz w:val="24"/>
          <w:szCs w:val="24"/>
        </w:rPr>
        <w:t>Рефератите трябва да са написани на български език, във формат Microsoft Word, трябва да са в обем до 20 стандартни страници ( т.е. максимум 36 хил. знака).</w:t>
      </w:r>
    </w:p>
    <w:p w:rsidR="00345C1B" w:rsidRPr="00FE78DA" w:rsidRDefault="00FE78DA" w:rsidP="00FE78DA">
      <w:pPr>
        <w:spacing w:before="120" w:after="120"/>
        <w:rPr>
          <w:b/>
          <w:sz w:val="24"/>
          <w:szCs w:val="24"/>
        </w:rPr>
      </w:pPr>
      <w:r w:rsidRPr="00FE78DA">
        <w:rPr>
          <w:b/>
          <w:sz w:val="24"/>
          <w:szCs w:val="24"/>
        </w:rPr>
        <w:t>Краен срок: 29 октомври 2018 г. 17:30 часа </w:t>
      </w:r>
    </w:p>
    <w:p w:rsidR="00C177E1" w:rsidRPr="00FE7B4C" w:rsidRDefault="00C177E1" w:rsidP="00170D2F">
      <w:pPr>
        <w:pStyle w:val="Heading2"/>
        <w:ind w:left="425" w:hanging="357"/>
        <w:rPr>
          <w:lang w:val="ru-RU"/>
        </w:rPr>
      </w:pPr>
      <w:bookmarkStart w:id="4" w:name="_Toc527447834"/>
      <w:r>
        <w:t>Платен стаж в Световната търговска организация</w:t>
      </w:r>
      <w:bookmarkEnd w:id="4"/>
    </w:p>
    <w:p w:rsidR="00C177E1" w:rsidRPr="00D279B4" w:rsidRDefault="00C177E1" w:rsidP="00850114">
      <w:pPr>
        <w:spacing w:after="120"/>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850114">
      <w:pPr>
        <w:spacing w:before="120" w:after="120"/>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850114">
      <w:pPr>
        <w:spacing w:before="120" w:after="120"/>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2"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277450">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5" w:name="_Toc527447835"/>
      <w:r>
        <w:t xml:space="preserve">Стажантска програма на </w:t>
      </w:r>
      <w:r w:rsidRPr="005851AE">
        <w:rPr>
          <w:rFonts w:ascii="Times New Roman" w:hAnsi="Times New Roman"/>
        </w:rPr>
        <w:t>УниКредит Булбанк</w:t>
      </w:r>
      <w:bookmarkEnd w:id="5"/>
    </w:p>
    <w:p w:rsidR="00C177E1" w:rsidRPr="005851AE" w:rsidRDefault="00C177E1" w:rsidP="00850114">
      <w:pPr>
        <w:spacing w:before="100" w:beforeAutospacing="1" w:after="120"/>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w:t>
      </w:r>
      <w:proofErr w:type="spellStart"/>
      <w:r w:rsidRPr="00A83FCB">
        <w:rPr>
          <w:rFonts w:cs="Times New Roman"/>
          <w:sz w:val="24"/>
          <w:szCs w:val="24"/>
        </w:rPr>
        <w:t>УниКредитФакторинг</w:t>
      </w:r>
      <w:proofErr w:type="spellEnd"/>
      <w:r w:rsidRPr="00A83FCB">
        <w:rPr>
          <w:rFonts w:cs="Times New Roman"/>
          <w:sz w:val="24"/>
          <w:szCs w:val="24"/>
        </w:rPr>
        <w:t xml:space="preserve"> и </w:t>
      </w:r>
      <w:proofErr w:type="spellStart"/>
      <w:r w:rsidRPr="00A83FCB">
        <w:rPr>
          <w:rFonts w:cs="Times New Roman"/>
          <w:sz w:val="24"/>
          <w:szCs w:val="24"/>
        </w:rPr>
        <w:t>УниКиредитКънсюмърФайненсинг</w:t>
      </w:r>
      <w:proofErr w:type="spellEnd"/>
      <w:r w:rsidRPr="00A83FCB">
        <w:rPr>
          <w:rFonts w:cs="Times New Roman"/>
          <w:sz w:val="24"/>
          <w:szCs w:val="24"/>
        </w:rPr>
        <w:t xml:space="preserve">. Желаещите да се включат в програмата могат да кандидатстват през </w:t>
      </w:r>
      <w:hyperlink r:id="rId13"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14" w:history="1">
        <w:r w:rsidRPr="005851AE">
          <w:rPr>
            <w:rFonts w:cs="Times New Roman"/>
            <w:color w:val="2C80D5"/>
            <w:sz w:val="24"/>
            <w:szCs w:val="24"/>
          </w:rPr>
          <w:t>internship@unicreditgroup.bg</w:t>
        </w:r>
      </w:hyperlink>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EF248B">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6" w:name="_Toc527447836"/>
      <w:r w:rsidRPr="001A023B">
        <w:lastRenderedPageBreak/>
        <w:t>Стаж в Организацията по прехрана и земеделие (FAO) към ООН</w:t>
      </w:r>
      <w:bookmarkEnd w:id="6"/>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2E3A3F">
      <w:pPr>
        <w:spacing w:before="120" w:after="120"/>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15"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2E3A3F" w:rsidRDefault="00C177E1" w:rsidP="002E3A3F">
      <w:pPr>
        <w:spacing w:after="36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7" w:name="_Toc527447837"/>
      <w:r w:rsidRPr="00A724B3">
        <w:t>Стажове в Международната академия на нюрнбергските принципи</w:t>
      </w:r>
      <w:bookmarkEnd w:id="7"/>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 xml:space="preserve">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w:t>
      </w:r>
      <w:proofErr w:type="spellStart"/>
      <w:r w:rsidRPr="00A724B3">
        <w:rPr>
          <w:rFonts w:cs="Times New Roman"/>
          <w:sz w:val="24"/>
          <w:szCs w:val="24"/>
        </w:rPr>
        <w:t>закандидатстването</w:t>
      </w:r>
      <w:proofErr w:type="spellEnd"/>
      <w:r w:rsidRPr="00A724B3">
        <w:rPr>
          <w:rFonts w:cs="Times New Roman"/>
          <w:sz w:val="24"/>
          <w:szCs w:val="24"/>
        </w:rPr>
        <w:t xml:space="preserve">, което продължава през цялата година, можете да намерите на </w:t>
      </w:r>
      <w:proofErr w:type="spellStart"/>
      <w:r w:rsidRPr="00A724B3">
        <w:rPr>
          <w:rFonts w:cs="Times New Roman"/>
          <w:sz w:val="24"/>
          <w:szCs w:val="24"/>
        </w:rPr>
        <w:t>официалния</w:t>
      </w:r>
      <w:hyperlink r:id="rId16" w:tgtFrame="_blank" w:history="1">
        <w:r w:rsidRPr="00A724B3">
          <w:rPr>
            <w:rFonts w:cs="Times New Roman"/>
            <w:color w:val="2C80D5"/>
            <w:sz w:val="24"/>
            <w:szCs w:val="24"/>
          </w:rPr>
          <w:t>сайт</w:t>
        </w:r>
        <w:proofErr w:type="spellEnd"/>
      </w:hyperlink>
      <w:r>
        <w:rPr>
          <w:rFonts w:cs="Times New Roman"/>
          <w:color w:val="2C80D5"/>
          <w:sz w:val="24"/>
          <w:szCs w:val="24"/>
        </w:rPr>
        <w:t xml:space="preserve"> на академията</w:t>
      </w:r>
      <w:r w:rsidRPr="00A724B3">
        <w:rPr>
          <w:rFonts w:cs="Times New Roman"/>
          <w:color w:val="515151"/>
          <w:sz w:val="24"/>
          <w:szCs w:val="24"/>
        </w:rPr>
        <w:t>.</w:t>
      </w:r>
    </w:p>
    <w:p w:rsidR="00FC7476" w:rsidRPr="006317F0" w:rsidRDefault="00C177E1" w:rsidP="00CC4770">
      <w:pPr>
        <w:spacing w:before="120" w:after="480"/>
        <w:rPr>
          <w:rFonts w:cs="Times New Roman"/>
          <w:b/>
          <w:sz w:val="24"/>
          <w:szCs w:val="24"/>
          <w:lang w:val="ru-RU"/>
        </w:rPr>
      </w:pPr>
      <w:r w:rsidRPr="00A724B3">
        <w:rPr>
          <w:rFonts w:cs="Times New Roman"/>
          <w:b/>
          <w:sz w:val="24"/>
          <w:szCs w:val="24"/>
        </w:rPr>
        <w:t>Краен срок: целогодишно</w:t>
      </w:r>
    </w:p>
    <w:p w:rsidR="00C83823" w:rsidRPr="00C83823" w:rsidRDefault="00C83823" w:rsidP="00C83823">
      <w:pPr>
        <w:pStyle w:val="Heading2"/>
        <w:ind w:left="426"/>
      </w:pPr>
      <w:bookmarkStart w:id="8" w:name="_Toc527447838"/>
      <w:r>
        <w:t>Студентски стаж по иновации</w:t>
      </w:r>
      <w:bookmarkEnd w:id="8"/>
    </w:p>
    <w:p w:rsidR="00C83823" w:rsidRDefault="00C83823" w:rsidP="00C83823">
      <w:pPr>
        <w:spacing w:before="120" w:after="120"/>
        <w:rPr>
          <w:rFonts w:cs="Times New Roman"/>
          <w:bCs/>
          <w:sz w:val="24"/>
          <w:szCs w:val="24"/>
        </w:rPr>
      </w:pPr>
      <w:r>
        <w:rPr>
          <w:rFonts w:cs="Times New Roman"/>
          <w:sz w:val="24"/>
          <w:szCs w:val="24"/>
        </w:rPr>
        <w:t>Н</w:t>
      </w:r>
      <w:r w:rsidRPr="00513221">
        <w:rPr>
          <w:rFonts w:cs="Times New Roman"/>
          <w:sz w:val="24"/>
          <w:szCs w:val="24"/>
        </w:rPr>
        <w:t xml:space="preserve">еправителствената организация "Промяна 2018" в партньорство с бранда </w:t>
      </w:r>
      <w:proofErr w:type="spellStart"/>
      <w:r w:rsidRPr="00513221">
        <w:rPr>
          <w:rFonts w:cs="Times New Roman"/>
          <w:sz w:val="24"/>
          <w:szCs w:val="24"/>
        </w:rPr>
        <w:t>Bioderma</w:t>
      </w:r>
      <w:proofErr w:type="spellEnd"/>
      <w:r w:rsidRPr="00513221">
        <w:rPr>
          <w:rFonts w:cs="Times New Roman"/>
          <w:sz w:val="24"/>
          <w:szCs w:val="24"/>
        </w:rPr>
        <w:t xml:space="preserve"> на </w:t>
      </w:r>
      <w:r>
        <w:rPr>
          <w:rFonts w:cs="Times New Roman"/>
          <w:sz w:val="24"/>
          <w:szCs w:val="24"/>
        </w:rPr>
        <w:t>к</w:t>
      </w:r>
      <w:r w:rsidRPr="00513221">
        <w:rPr>
          <w:rFonts w:cs="Times New Roman"/>
          <w:sz w:val="24"/>
          <w:szCs w:val="24"/>
        </w:rPr>
        <w:t>озметичната компания Naos</w:t>
      </w:r>
      <w:r w:rsidRPr="00513221">
        <w:rPr>
          <w:rFonts w:cs="Times New Roman"/>
          <w:bCs/>
          <w:sz w:val="24"/>
          <w:szCs w:val="24"/>
        </w:rPr>
        <w:t xml:space="preserve"> </w:t>
      </w:r>
      <w:r>
        <w:rPr>
          <w:rFonts w:cs="Times New Roman"/>
          <w:bCs/>
          <w:sz w:val="24"/>
          <w:szCs w:val="24"/>
        </w:rPr>
        <w:t xml:space="preserve">организира </w:t>
      </w:r>
      <w:r w:rsidR="00513221" w:rsidRPr="00513221">
        <w:rPr>
          <w:rFonts w:cs="Times New Roman"/>
          <w:bCs/>
          <w:sz w:val="24"/>
          <w:szCs w:val="24"/>
        </w:rPr>
        <w:t>стаж за иновации по метода "Дизайн мислене"</w:t>
      </w:r>
      <w:r>
        <w:rPr>
          <w:rFonts w:cs="Times New Roman"/>
          <w:bCs/>
          <w:sz w:val="24"/>
          <w:szCs w:val="24"/>
        </w:rPr>
        <w:t xml:space="preserve"> в периода </w:t>
      </w:r>
      <w:r w:rsidRPr="00513221">
        <w:rPr>
          <w:rFonts w:cs="Times New Roman"/>
          <w:bCs/>
          <w:sz w:val="24"/>
          <w:szCs w:val="24"/>
        </w:rPr>
        <w:t xml:space="preserve">5 </w:t>
      </w:r>
      <w:r>
        <w:rPr>
          <w:rFonts w:cs="Times New Roman"/>
          <w:bCs/>
          <w:sz w:val="24"/>
          <w:szCs w:val="24"/>
        </w:rPr>
        <w:t xml:space="preserve">- </w:t>
      </w:r>
      <w:r w:rsidRPr="00513221">
        <w:rPr>
          <w:rFonts w:cs="Times New Roman"/>
          <w:bCs/>
          <w:sz w:val="24"/>
          <w:szCs w:val="24"/>
        </w:rPr>
        <w:t>17 ноември</w:t>
      </w:r>
      <w:r>
        <w:rPr>
          <w:rFonts w:cs="Times New Roman"/>
          <w:bCs/>
          <w:sz w:val="24"/>
          <w:szCs w:val="24"/>
        </w:rPr>
        <w:t xml:space="preserve"> 2018 г. </w:t>
      </w:r>
    </w:p>
    <w:p w:rsidR="00C83823" w:rsidRDefault="00513221" w:rsidP="00CC4770">
      <w:pPr>
        <w:spacing w:before="120" w:after="480"/>
        <w:rPr>
          <w:rFonts w:cs="Times New Roman"/>
          <w:sz w:val="24"/>
          <w:szCs w:val="24"/>
        </w:rPr>
      </w:pPr>
      <w:r w:rsidRPr="00513221">
        <w:rPr>
          <w:rFonts w:cs="Times New Roman"/>
          <w:sz w:val="24"/>
          <w:szCs w:val="24"/>
        </w:rPr>
        <w:t xml:space="preserve">В рамките на стажа по иновации студенти от различни специалности ще участват в проект с цел решаване на реално бизнес предизвикателство на бранда </w:t>
      </w:r>
      <w:proofErr w:type="spellStart"/>
      <w:r w:rsidRPr="00513221">
        <w:rPr>
          <w:rFonts w:cs="Times New Roman"/>
          <w:sz w:val="24"/>
          <w:szCs w:val="24"/>
        </w:rPr>
        <w:t>Bioderma</w:t>
      </w:r>
      <w:proofErr w:type="spellEnd"/>
      <w:r w:rsidRPr="00513221">
        <w:rPr>
          <w:rFonts w:cs="Times New Roman"/>
          <w:sz w:val="24"/>
          <w:szCs w:val="24"/>
        </w:rPr>
        <w:t xml:space="preserve">. Те ще работят в екипи по казус, който изисква креативност, иновативни идеи и различни гледни точки. Ще се запознаят на практика с метода на дизайн. </w:t>
      </w:r>
    </w:p>
    <w:p w:rsidR="008C18B9" w:rsidRDefault="00513221" w:rsidP="00C83823">
      <w:pPr>
        <w:spacing w:before="120" w:after="120"/>
        <w:rPr>
          <w:rFonts w:cs="Times New Roman"/>
          <w:sz w:val="24"/>
          <w:szCs w:val="24"/>
        </w:rPr>
      </w:pPr>
      <w:r w:rsidRPr="00513221">
        <w:rPr>
          <w:rFonts w:cs="Times New Roman"/>
          <w:sz w:val="24"/>
          <w:szCs w:val="24"/>
        </w:rPr>
        <w:lastRenderedPageBreak/>
        <w:t xml:space="preserve">Стажантската програма е подходяща за студенти, учещи графичен дизайн, архитектура, бизнес или предприемачество, но за организаторите е по-важно настройката и желанието за успех на кандидатите. Желаещите да се включат в стажа по иновации трябва да </w:t>
      </w:r>
      <w:hyperlink r:id="rId17" w:tgtFrame="_blank" w:history="1">
        <w:r w:rsidRPr="00513221">
          <w:rPr>
            <w:rStyle w:val="Hyperlink"/>
            <w:rFonts w:cs="Times New Roman"/>
            <w:sz w:val="24"/>
            <w:szCs w:val="24"/>
          </w:rPr>
          <w:t>кандидатстват</w:t>
        </w:r>
      </w:hyperlink>
      <w:r w:rsidRPr="00513221">
        <w:rPr>
          <w:rFonts w:cs="Times New Roman"/>
          <w:sz w:val="24"/>
          <w:szCs w:val="24"/>
        </w:rPr>
        <w:t xml:space="preserve"> до 27 октомври. Повече информация вижте на </w:t>
      </w:r>
      <w:hyperlink r:id="rId18" w:tgtFrame="_blank" w:history="1">
        <w:r w:rsidRPr="00513221">
          <w:rPr>
            <w:rStyle w:val="Hyperlink"/>
            <w:rFonts w:cs="Times New Roman"/>
            <w:sz w:val="24"/>
            <w:szCs w:val="24"/>
          </w:rPr>
          <w:t>сайта на проекта</w:t>
        </w:r>
      </w:hyperlink>
      <w:r w:rsidRPr="00513221">
        <w:rPr>
          <w:rFonts w:cs="Times New Roman"/>
          <w:sz w:val="24"/>
          <w:szCs w:val="24"/>
        </w:rPr>
        <w:t>.</w:t>
      </w:r>
    </w:p>
    <w:p w:rsidR="00C83823" w:rsidRPr="00C83823" w:rsidRDefault="00C83823" w:rsidP="0035459C">
      <w:pPr>
        <w:spacing w:before="120" w:after="480"/>
        <w:rPr>
          <w:rFonts w:cs="Times New Roman"/>
          <w:b/>
          <w:sz w:val="24"/>
          <w:szCs w:val="24"/>
          <w:lang w:val="ru-RU"/>
        </w:rPr>
      </w:pPr>
      <w:r w:rsidRPr="00C83823">
        <w:rPr>
          <w:rFonts w:cs="Times New Roman"/>
          <w:b/>
          <w:sz w:val="24"/>
          <w:szCs w:val="24"/>
        </w:rPr>
        <w:t>Краен срок: 27 октомври 2018</w:t>
      </w:r>
    </w:p>
    <w:p w:rsidR="008C18B9" w:rsidRPr="0035459C" w:rsidRDefault="008C18B9" w:rsidP="0035459C">
      <w:pPr>
        <w:pStyle w:val="Heading2"/>
        <w:ind w:left="426"/>
      </w:pPr>
      <w:bookmarkStart w:id="9" w:name="_Toc527447839"/>
      <w:r w:rsidRPr="0035459C">
        <w:t>Конкурс за прием в програми на „Телерик академия”</w:t>
      </w:r>
      <w:bookmarkEnd w:id="9"/>
    </w:p>
    <w:p w:rsidR="0035459C" w:rsidRDefault="008C18B9" w:rsidP="0035459C">
      <w:pPr>
        <w:spacing w:before="120" w:after="120"/>
        <w:rPr>
          <w:rFonts w:cs="Times New Roman"/>
          <w:sz w:val="24"/>
          <w:szCs w:val="24"/>
        </w:rPr>
      </w:pPr>
      <w:r w:rsidRPr="0035459C">
        <w:rPr>
          <w:rStyle w:val="Strong"/>
          <w:rFonts w:cs="Times New Roman"/>
          <w:b w:val="0"/>
          <w:sz w:val="24"/>
          <w:szCs w:val="24"/>
        </w:rPr>
        <w:t>"</w:t>
      </w:r>
      <w:proofErr w:type="spellStart"/>
      <w:r w:rsidRPr="0035459C">
        <w:rPr>
          <w:rStyle w:val="Strong"/>
          <w:rFonts w:cs="Times New Roman"/>
          <w:b w:val="0"/>
          <w:sz w:val="24"/>
          <w:szCs w:val="24"/>
        </w:rPr>
        <w:t>Телерик</w:t>
      </w:r>
      <w:proofErr w:type="spellEnd"/>
      <w:r w:rsidRPr="0035459C">
        <w:rPr>
          <w:rStyle w:val="Strong"/>
          <w:rFonts w:cs="Times New Roman"/>
          <w:b w:val="0"/>
          <w:sz w:val="24"/>
          <w:szCs w:val="24"/>
        </w:rPr>
        <w:t xml:space="preserve"> академия" обявява старт на приема за първите за 2019 г. Telerik Academy Alpha програми</w:t>
      </w:r>
      <w:r w:rsidRPr="0035459C">
        <w:rPr>
          <w:rFonts w:cs="Times New Roman"/>
          <w:sz w:val="24"/>
          <w:szCs w:val="24"/>
        </w:rPr>
        <w:t xml:space="preserve">. Кандидатстването е отворено до 23 ноември за студенти и професионалисти, които искат да започнат кариера в областта на ИТ. </w:t>
      </w:r>
    </w:p>
    <w:p w:rsidR="0035459C" w:rsidRDefault="008C18B9" w:rsidP="0035459C">
      <w:pPr>
        <w:spacing w:before="120" w:after="120"/>
        <w:rPr>
          <w:rFonts w:cs="Times New Roman"/>
          <w:sz w:val="24"/>
          <w:szCs w:val="24"/>
        </w:rPr>
      </w:pPr>
      <w:r w:rsidRPr="0035459C">
        <w:rPr>
          <w:rFonts w:cs="Times New Roman"/>
          <w:sz w:val="24"/>
          <w:szCs w:val="24"/>
        </w:rPr>
        <w:t>Желаещите могат да избират между технологиите .NET и JavaScript. Програмите стартират на 2 януари 2019 г. и ще се провеждат в обучителния център на "</w:t>
      </w:r>
      <w:proofErr w:type="spellStart"/>
      <w:r w:rsidRPr="0035459C">
        <w:rPr>
          <w:rFonts w:cs="Times New Roman"/>
          <w:sz w:val="24"/>
          <w:szCs w:val="24"/>
        </w:rPr>
        <w:t>Телерик</w:t>
      </w:r>
      <w:proofErr w:type="spellEnd"/>
      <w:r w:rsidRPr="0035459C">
        <w:rPr>
          <w:rFonts w:cs="Times New Roman"/>
          <w:sz w:val="24"/>
          <w:szCs w:val="24"/>
        </w:rPr>
        <w:t xml:space="preserve"> академия" в София. Кандидатите е необходимо да изпратят CV и мотивационно писмо на</w:t>
      </w:r>
      <w:r w:rsidRPr="0035459C">
        <w:rPr>
          <w:rFonts w:cs="Times New Roman"/>
          <w:color w:val="515151"/>
          <w:sz w:val="24"/>
          <w:szCs w:val="24"/>
        </w:rPr>
        <w:t xml:space="preserve"> </w:t>
      </w:r>
      <w:hyperlink r:id="rId19" w:tgtFrame="_blank" w:history="1">
        <w:r w:rsidRPr="0035459C">
          <w:rPr>
            <w:rStyle w:val="Hyperlink"/>
            <w:rFonts w:cs="Times New Roman"/>
            <w:sz w:val="24"/>
            <w:szCs w:val="24"/>
          </w:rPr>
          <w:t>сайта на "</w:t>
        </w:r>
        <w:proofErr w:type="spellStart"/>
        <w:r w:rsidRPr="0035459C">
          <w:rPr>
            <w:rStyle w:val="Hyperlink"/>
            <w:rFonts w:cs="Times New Roman"/>
            <w:sz w:val="24"/>
            <w:szCs w:val="24"/>
          </w:rPr>
          <w:t>Телерик</w:t>
        </w:r>
        <w:proofErr w:type="spellEnd"/>
        <w:r w:rsidRPr="0035459C">
          <w:rPr>
            <w:rStyle w:val="Hyperlink"/>
            <w:rFonts w:cs="Times New Roman"/>
            <w:sz w:val="24"/>
            <w:szCs w:val="24"/>
          </w:rPr>
          <w:t xml:space="preserve"> </w:t>
        </w:r>
      </w:hyperlink>
      <w:hyperlink r:id="rId20" w:tgtFrame="_blank" w:history="1">
        <w:r w:rsidRPr="0035459C">
          <w:rPr>
            <w:rStyle w:val="Hyperlink"/>
            <w:rFonts w:cs="Times New Roman"/>
            <w:sz w:val="24"/>
            <w:szCs w:val="24"/>
          </w:rPr>
          <w:t>академия"</w:t>
        </w:r>
      </w:hyperlink>
      <w:r w:rsidRPr="0035459C">
        <w:rPr>
          <w:rFonts w:cs="Times New Roman"/>
          <w:color w:val="515151"/>
          <w:sz w:val="24"/>
          <w:szCs w:val="24"/>
        </w:rPr>
        <w:t xml:space="preserve">, </w:t>
      </w:r>
      <w:r w:rsidRPr="0035459C">
        <w:rPr>
          <w:rFonts w:cs="Times New Roman"/>
          <w:sz w:val="24"/>
          <w:szCs w:val="24"/>
        </w:rPr>
        <w:t xml:space="preserve">след което трябва да се явят на входен изпит с Java, а за .NET могат да избират между езиците C#, JavaScript, Java, C++, Kotlin, PHP, Python или Swift. </w:t>
      </w:r>
    </w:p>
    <w:p w:rsidR="008C18B9" w:rsidRDefault="008C18B9" w:rsidP="0035459C">
      <w:pPr>
        <w:spacing w:before="120" w:after="120"/>
        <w:rPr>
          <w:rFonts w:cs="Times New Roman"/>
          <w:color w:val="515151"/>
          <w:sz w:val="24"/>
          <w:szCs w:val="24"/>
        </w:rPr>
      </w:pPr>
      <w:r w:rsidRPr="0035459C">
        <w:rPr>
          <w:rFonts w:cs="Times New Roman"/>
          <w:sz w:val="24"/>
          <w:szCs w:val="24"/>
        </w:rPr>
        <w:t>Основните изисквания към кандидатите са да имат навършени 18 години, базови познания по програмиране и мотивация да започнат кариерното си развитие в IT сектора. Подготвителни материали за входния изпит на Telerik Academy Alpha могат да бъдат намерени онлайн. Повече информация може да намерите на</w:t>
      </w:r>
      <w:r w:rsidRPr="0035459C">
        <w:rPr>
          <w:rFonts w:cs="Times New Roman"/>
          <w:color w:val="515151"/>
          <w:sz w:val="24"/>
          <w:szCs w:val="24"/>
        </w:rPr>
        <w:t xml:space="preserve"> </w:t>
      </w:r>
      <w:hyperlink r:id="rId21" w:tgtFrame="_blank" w:history="1">
        <w:r w:rsidRPr="0035459C">
          <w:rPr>
            <w:rStyle w:val="Hyperlink"/>
            <w:rFonts w:cs="Times New Roman"/>
            <w:sz w:val="24"/>
            <w:szCs w:val="24"/>
          </w:rPr>
          <w:t>страницата на "</w:t>
        </w:r>
        <w:proofErr w:type="spellStart"/>
        <w:r w:rsidRPr="0035459C">
          <w:rPr>
            <w:rStyle w:val="Hyperlink"/>
            <w:rFonts w:cs="Times New Roman"/>
            <w:sz w:val="24"/>
            <w:szCs w:val="24"/>
          </w:rPr>
          <w:t>Телерик</w:t>
        </w:r>
        <w:proofErr w:type="spellEnd"/>
        <w:r w:rsidRPr="0035459C">
          <w:rPr>
            <w:rStyle w:val="Hyperlink"/>
            <w:rFonts w:cs="Times New Roman"/>
            <w:sz w:val="24"/>
            <w:szCs w:val="24"/>
          </w:rPr>
          <w:t xml:space="preserve"> Академия"</w:t>
        </w:r>
      </w:hyperlink>
      <w:r w:rsidRPr="0035459C">
        <w:rPr>
          <w:rFonts w:cs="Times New Roman"/>
          <w:color w:val="515151"/>
          <w:sz w:val="24"/>
          <w:szCs w:val="24"/>
        </w:rPr>
        <w:t>.</w:t>
      </w:r>
    </w:p>
    <w:p w:rsidR="0035459C" w:rsidRPr="0035459C" w:rsidRDefault="0035459C" w:rsidP="00CC4770">
      <w:pPr>
        <w:spacing w:before="120" w:after="480"/>
        <w:rPr>
          <w:rFonts w:cs="Times New Roman"/>
          <w:b/>
          <w:sz w:val="24"/>
          <w:szCs w:val="24"/>
          <w:lang w:val="ru-RU"/>
        </w:rPr>
      </w:pPr>
      <w:r>
        <w:rPr>
          <w:rFonts w:cs="Times New Roman"/>
          <w:b/>
          <w:sz w:val="24"/>
          <w:szCs w:val="24"/>
          <w:lang w:val="ru-RU"/>
        </w:rPr>
        <w:t>Краен срок: 23 ноември 2018</w:t>
      </w:r>
    </w:p>
    <w:p w:rsidR="00CF7687" w:rsidRPr="006317F0" w:rsidRDefault="00CF7687" w:rsidP="001E2550">
      <w:pPr>
        <w:spacing w:before="120" w:after="120"/>
        <w:rPr>
          <w:sz w:val="24"/>
          <w:szCs w:val="24"/>
          <w:lang w:val="ru-RU"/>
        </w:rPr>
      </w:pPr>
    </w:p>
    <w:p w:rsidR="00CF7687" w:rsidRPr="006317F0" w:rsidRDefault="00CF7687" w:rsidP="001E2550">
      <w:pPr>
        <w:spacing w:before="120" w:after="120"/>
        <w:rPr>
          <w:sz w:val="24"/>
          <w:szCs w:val="24"/>
          <w:lang w:val="ru-RU"/>
        </w:rPr>
        <w:sectPr w:rsidR="00CF7687" w:rsidRPr="006317F0" w:rsidSect="00AA7F9B">
          <w:footerReference w:type="default" r:id="rId22"/>
          <w:pgSz w:w="11906" w:h="16838"/>
          <w:pgMar w:top="1440" w:right="1080" w:bottom="1440" w:left="1080" w:header="708" w:footer="708" w:gutter="0"/>
          <w:cols w:space="708"/>
          <w:docGrid w:linePitch="360"/>
        </w:sectPr>
      </w:pPr>
    </w:p>
    <w:p w:rsidR="00D00941" w:rsidRDefault="00912146" w:rsidP="00B278E8">
      <w:pPr>
        <w:pStyle w:val="Programs"/>
      </w:pPr>
      <w:bookmarkStart w:id="10" w:name="_Toc527447840"/>
      <w:r>
        <w:lastRenderedPageBreak/>
        <w:t>ПРОГРАМИ</w:t>
      </w:r>
      <w:bookmarkEnd w:id="10"/>
    </w:p>
    <w:p w:rsidR="00F24BA6" w:rsidRPr="00F24BA6" w:rsidRDefault="00F24BA6" w:rsidP="00F24BA6">
      <w:pPr>
        <w:pStyle w:val="Heading2"/>
        <w:ind w:left="426"/>
      </w:pPr>
      <w:bookmarkStart w:id="11" w:name="_Toc527447841"/>
      <w:r w:rsidRPr="00F24BA6">
        <w:rPr>
          <w:lang w:val="ru-RU"/>
        </w:rPr>
        <w:t>К</w:t>
      </w:r>
      <w:r w:rsidRPr="00F24BA6">
        <w:t>онкурс за проекти по програми за двустранно сътрудничество 2018 г. – България – Индия</w:t>
      </w:r>
      <w:bookmarkEnd w:id="11"/>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bCs/>
          <w:color w:val="000000"/>
          <w:sz w:val="24"/>
          <w:szCs w:val="24"/>
        </w:rPr>
        <w:t xml:space="preserve">Фонд „Научни изследвания“ отправя покана за участие в „КОНКУРС ЗА ПРОЕКТИ ПО ПРОГРАМИ ЗА ДВУСТРАННО СЪТРУДНИЧЕСТВО 2018 г. – БЪЛГАРИЯ – ИНДИЯ“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Целта на настоящата процедура е подкрепа на дейности, свързани с международно научно и технологично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Финансирането по настоящата процедура е единствено в подкрепа на осъществяване на нестопанска научна дейност за международно научно и технологично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w:t>
      </w:r>
      <w:r w:rsidRPr="00F24BA6">
        <w:rPr>
          <w:rFonts w:cs="Times New Roman"/>
          <w:b/>
          <w:bCs/>
          <w:color w:val="000000"/>
          <w:sz w:val="24"/>
          <w:szCs w:val="24"/>
        </w:rPr>
        <w:t xml:space="preserve">Допълнение „Специфични условия“ </w:t>
      </w:r>
      <w:r w:rsidRPr="00F24BA6">
        <w:rPr>
          <w:rFonts w:cs="Times New Roman"/>
          <w:color w:val="000000"/>
          <w:sz w:val="24"/>
          <w:szCs w:val="24"/>
        </w:rPr>
        <w:t xml:space="preserve">към документацията на настоящата процедура.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 партниращата институция от държавата партньор.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Научните областите, в които ще бъдат финансирани проектите са: </w:t>
      </w:r>
    </w:p>
    <w:p w:rsidR="009513A3" w:rsidRPr="00F24BA6" w:rsidRDefault="009513A3" w:rsidP="00F24BA6">
      <w:pPr>
        <w:pStyle w:val="ListParagraph"/>
        <w:numPr>
          <w:ilvl w:val="0"/>
          <w:numId w:val="45"/>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Информационни и комуникационни технологии </w:t>
      </w:r>
    </w:p>
    <w:p w:rsidR="009513A3" w:rsidRPr="00F24BA6" w:rsidRDefault="00F24BA6" w:rsidP="00F24BA6">
      <w:pPr>
        <w:pStyle w:val="ListParagraph"/>
        <w:numPr>
          <w:ilvl w:val="0"/>
          <w:numId w:val="45"/>
        </w:numPr>
        <w:autoSpaceDE w:val="0"/>
        <w:autoSpaceDN w:val="0"/>
        <w:adjustRightInd w:val="0"/>
        <w:spacing w:before="120" w:after="120"/>
        <w:rPr>
          <w:rFonts w:cs="Times New Roman"/>
          <w:color w:val="000000"/>
          <w:sz w:val="24"/>
          <w:szCs w:val="24"/>
        </w:rPr>
      </w:pPr>
      <w:r>
        <w:rPr>
          <w:rFonts w:cs="Times New Roman"/>
          <w:color w:val="000000"/>
          <w:sz w:val="24"/>
          <w:szCs w:val="24"/>
        </w:rPr>
        <w:t>Материали и м</w:t>
      </w:r>
      <w:r w:rsidR="009513A3" w:rsidRPr="00F24BA6">
        <w:rPr>
          <w:rFonts w:cs="Times New Roman"/>
          <w:color w:val="000000"/>
          <w:sz w:val="24"/>
          <w:szCs w:val="24"/>
        </w:rPr>
        <w:t xml:space="preserve">атериалознание </w:t>
      </w:r>
    </w:p>
    <w:p w:rsidR="009513A3" w:rsidRPr="00F24BA6" w:rsidRDefault="009513A3" w:rsidP="00F24BA6">
      <w:pPr>
        <w:pStyle w:val="ListParagraph"/>
        <w:numPr>
          <w:ilvl w:val="0"/>
          <w:numId w:val="45"/>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Физика, включително лазерна наука и технологии, ядрена физика, астрономия и изследване на космическото пространство и технологии </w:t>
      </w:r>
    </w:p>
    <w:p w:rsidR="009513A3" w:rsidRPr="00F24BA6" w:rsidRDefault="009513A3" w:rsidP="00F24BA6">
      <w:pPr>
        <w:pStyle w:val="ListParagraph"/>
        <w:numPr>
          <w:ilvl w:val="0"/>
          <w:numId w:val="45"/>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Химически науки </w:t>
      </w:r>
    </w:p>
    <w:p w:rsidR="009513A3" w:rsidRPr="00F24BA6" w:rsidRDefault="009513A3" w:rsidP="00F24BA6">
      <w:pPr>
        <w:pStyle w:val="ListParagraph"/>
        <w:numPr>
          <w:ilvl w:val="0"/>
          <w:numId w:val="45"/>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Възобновяема енергия </w:t>
      </w:r>
    </w:p>
    <w:p w:rsidR="009513A3" w:rsidRPr="00F24BA6" w:rsidRDefault="009513A3" w:rsidP="00F24BA6">
      <w:pPr>
        <w:pStyle w:val="ListParagraph"/>
        <w:numPr>
          <w:ilvl w:val="0"/>
          <w:numId w:val="45"/>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Наука за земята, геофизика, изследвания на климата, океанология и опазване на околната среда, включително управление на отпадъците </w:t>
      </w:r>
    </w:p>
    <w:p w:rsidR="009513A3" w:rsidRPr="00F24BA6" w:rsidRDefault="009513A3" w:rsidP="00F24BA6">
      <w:pPr>
        <w:pStyle w:val="ListParagraph"/>
        <w:numPr>
          <w:ilvl w:val="0"/>
          <w:numId w:val="45"/>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Биотехнологии, селско стопанство и хранителни технологии </w:t>
      </w:r>
    </w:p>
    <w:p w:rsidR="009513A3" w:rsidRPr="00F24BA6" w:rsidRDefault="009513A3" w:rsidP="00F24BA6">
      <w:pPr>
        <w:pStyle w:val="ListParagraph"/>
        <w:numPr>
          <w:ilvl w:val="0"/>
          <w:numId w:val="45"/>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Здравеопазване, </w:t>
      </w:r>
      <w:proofErr w:type="spellStart"/>
      <w:r w:rsidRPr="00F24BA6">
        <w:rPr>
          <w:rFonts w:cs="Times New Roman"/>
          <w:color w:val="000000"/>
          <w:sz w:val="24"/>
          <w:szCs w:val="24"/>
        </w:rPr>
        <w:t>биомедицински</w:t>
      </w:r>
      <w:proofErr w:type="spellEnd"/>
      <w:r w:rsidRPr="00F24BA6">
        <w:rPr>
          <w:rFonts w:cs="Times New Roman"/>
          <w:color w:val="000000"/>
          <w:sz w:val="24"/>
          <w:szCs w:val="24"/>
        </w:rPr>
        <w:t xml:space="preserve"> уреди, </w:t>
      </w:r>
      <w:proofErr w:type="spellStart"/>
      <w:r w:rsidRPr="00F24BA6">
        <w:rPr>
          <w:rFonts w:cs="Times New Roman"/>
          <w:color w:val="000000"/>
          <w:sz w:val="24"/>
          <w:szCs w:val="24"/>
        </w:rPr>
        <w:t>биоетика</w:t>
      </w:r>
      <w:proofErr w:type="spellEnd"/>
      <w:r w:rsidRPr="00F24BA6">
        <w:rPr>
          <w:rFonts w:cs="Times New Roman"/>
          <w:color w:val="000000"/>
          <w:sz w:val="24"/>
          <w:szCs w:val="24"/>
        </w:rPr>
        <w:t xml:space="preserve">, фармация и традиционна медицина </w:t>
      </w:r>
    </w:p>
    <w:p w:rsidR="00F24BA6" w:rsidRPr="00F24BA6" w:rsidRDefault="009513A3" w:rsidP="00F24BA6">
      <w:pPr>
        <w:pStyle w:val="ListParagraph"/>
        <w:numPr>
          <w:ilvl w:val="0"/>
          <w:numId w:val="45"/>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Обществени науки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b/>
          <w:bCs/>
          <w:color w:val="000000"/>
          <w:sz w:val="24"/>
          <w:szCs w:val="24"/>
        </w:rPr>
        <w:lastRenderedPageBreak/>
        <w:t xml:space="preserve">1. Общ бюджет на конкурса: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Прогнозният общ бюджет на конкурса е 400 000 </w:t>
      </w:r>
      <w:proofErr w:type="spellStart"/>
      <w:r w:rsidRPr="00F24BA6">
        <w:rPr>
          <w:rFonts w:cs="Times New Roman"/>
          <w:color w:val="000000"/>
          <w:sz w:val="24"/>
          <w:szCs w:val="24"/>
        </w:rPr>
        <w:t>лв</w:t>
      </w:r>
      <w:proofErr w:type="spellEnd"/>
      <w:r w:rsidRPr="00F24BA6">
        <w:rPr>
          <w:rFonts w:cs="Times New Roman"/>
          <w:color w:val="000000"/>
          <w:sz w:val="24"/>
          <w:szCs w:val="24"/>
        </w:rPr>
        <w:t xml:space="preserve">,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b/>
          <w:bCs/>
          <w:color w:val="000000"/>
          <w:sz w:val="24"/>
          <w:szCs w:val="24"/>
        </w:rPr>
        <w:t xml:space="preserve">2. Минимален и максимален размер на финансирането за конкретен проект: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Общият размер на финансирането за всеки индивидуален проект следва да бъде съобразен с допустимите разходи по настоящата процедура.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Максималната сума за всеки отделен проект е 28 000 лв.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b/>
          <w:bCs/>
          <w:color w:val="000000"/>
          <w:sz w:val="24"/>
          <w:szCs w:val="24"/>
        </w:rPr>
        <w:t xml:space="preserve">3. Срок за изпълнение на проекта: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Срок за изпълнение на одобрените проекти: 24 месеца.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За начална дата на проекта се счита датата на подписване на договора за финансиране.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b/>
          <w:bCs/>
          <w:color w:val="000000"/>
          <w:sz w:val="24"/>
          <w:szCs w:val="24"/>
        </w:rPr>
        <w:t xml:space="preserve">4. Срок за подаване на проектните предложения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Проектните предложения се представят до 17 часа на 26.11.2018 г. в деловодството на Фонд "Научни изследвания" на хартиен и електронен носител, както следва: </w:t>
      </w:r>
    </w:p>
    <w:p w:rsidR="009513A3" w:rsidRPr="00F24BA6" w:rsidRDefault="009513A3" w:rsidP="00F24BA6">
      <w:pPr>
        <w:pStyle w:val="ListParagraph"/>
        <w:numPr>
          <w:ilvl w:val="0"/>
          <w:numId w:val="46"/>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на хартиен носител в един екземпляр на български език с оригинални подписи и печати; </w:t>
      </w:r>
    </w:p>
    <w:p w:rsidR="009513A3" w:rsidRPr="00F24BA6" w:rsidRDefault="009513A3" w:rsidP="00F24BA6">
      <w:pPr>
        <w:pStyle w:val="ListParagraph"/>
        <w:numPr>
          <w:ilvl w:val="0"/>
          <w:numId w:val="46"/>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в електронен формат на български език, като документите, съдържащи подписи, са сканирани.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Биографиите на учените от държавата-партньор се подават на български и английски език, а останалите документи се подават само на български език.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Срокове по конкурса: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Срок за обявяване на конкурса: 08.10.2018 г.;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Дата за затваряне на конкурса: до 26.11.2018 г.;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Индикативен срок за оценяване: 28.03.2019 г.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Индикативен срок за решение за финансиране от смесената комисия 18.04.2019 г.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Стартиране на проектите м. май 2019 г.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b/>
          <w:bCs/>
          <w:color w:val="000000"/>
          <w:sz w:val="24"/>
          <w:szCs w:val="24"/>
        </w:rPr>
        <w:t xml:space="preserve">5. Изисквания към кандидатите и проектите.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b/>
          <w:bCs/>
          <w:color w:val="000000"/>
          <w:sz w:val="24"/>
          <w:szCs w:val="24"/>
        </w:rPr>
        <w:t xml:space="preserve">Допустими кандидати: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b/>
          <w:bCs/>
          <w:color w:val="000000"/>
          <w:sz w:val="24"/>
          <w:szCs w:val="24"/>
        </w:rPr>
        <w:t xml:space="preserve">Критерии за допустимост на кандидатите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Допустими по настоящата процедура за подбор на проекти са само кандидати, които са: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1) акредитирани висши училища по чл. 85 ал. 1, т. 7 на ЗВО, които са акредитирани от НАОА да провеждат обучение по образователна и научна степен "доктор"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Проверката за горепосочените обстоятелства се извършва в регистъра на НАОА. Кандидатите по настоящата процедура трябва да са пряко отговорни за изпълнението на </w:t>
      </w:r>
      <w:r w:rsidRPr="00F24BA6">
        <w:rPr>
          <w:rFonts w:cs="Times New Roman"/>
          <w:color w:val="000000"/>
          <w:sz w:val="24"/>
          <w:szCs w:val="24"/>
        </w:rPr>
        <w:lastRenderedPageBreak/>
        <w:t xml:space="preserve">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Кандидатите по процедурата трябва да са субекти: </w:t>
      </w:r>
    </w:p>
    <w:p w:rsidR="009513A3" w:rsidRPr="00F24BA6" w:rsidRDefault="009513A3" w:rsidP="00F24BA6">
      <w:pPr>
        <w:pStyle w:val="ListParagraph"/>
        <w:numPr>
          <w:ilvl w:val="0"/>
          <w:numId w:val="47"/>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осъществяващи научни изследвания;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и </w:t>
      </w:r>
    </w:p>
    <w:p w:rsidR="009513A3" w:rsidRPr="00F24BA6" w:rsidRDefault="009513A3" w:rsidP="00F24BA6">
      <w:pPr>
        <w:pStyle w:val="ListParagraph"/>
        <w:numPr>
          <w:ilvl w:val="0"/>
          <w:numId w:val="47"/>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чиито дейности са изцяло с нестопански характер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или </w:t>
      </w:r>
    </w:p>
    <w:p w:rsidR="009513A3" w:rsidRPr="00F24BA6" w:rsidRDefault="009513A3" w:rsidP="00F24BA6">
      <w:pPr>
        <w:pStyle w:val="ListParagraph"/>
        <w:numPr>
          <w:ilvl w:val="0"/>
          <w:numId w:val="47"/>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чиито дейности са със стопански и нестопански характер, но тези дейно </w:t>
      </w:r>
      <w:proofErr w:type="spellStart"/>
      <w:r w:rsidRPr="00F24BA6">
        <w:rPr>
          <w:rFonts w:cs="Times New Roman"/>
          <w:color w:val="000000"/>
          <w:sz w:val="24"/>
          <w:szCs w:val="24"/>
        </w:rPr>
        <w:t>сти</w:t>
      </w:r>
      <w:proofErr w:type="spellEnd"/>
      <w:r w:rsidRPr="00F24BA6">
        <w:rPr>
          <w:rFonts w:cs="Times New Roman"/>
          <w:color w:val="000000"/>
          <w:sz w:val="24"/>
          <w:szCs w:val="24"/>
        </w:rPr>
        <w:t xml:space="preserve">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 </w:t>
      </w:r>
    </w:p>
    <w:p w:rsidR="009513A3" w:rsidRPr="00F24BA6" w:rsidRDefault="009513A3" w:rsidP="00F24BA6">
      <w:pPr>
        <w:pStyle w:val="ListParagraph"/>
        <w:numPr>
          <w:ilvl w:val="0"/>
          <w:numId w:val="47"/>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научни изследвания по договор с предприятия/отрасъл; </w:t>
      </w:r>
    </w:p>
    <w:p w:rsidR="009513A3" w:rsidRPr="00F24BA6" w:rsidRDefault="009513A3" w:rsidP="00F24BA6">
      <w:pPr>
        <w:pStyle w:val="ListParagraph"/>
        <w:numPr>
          <w:ilvl w:val="0"/>
          <w:numId w:val="47"/>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консултантски или други услуги, предоставяни на предприятия/отрасъл; </w:t>
      </w:r>
    </w:p>
    <w:p w:rsidR="009513A3" w:rsidRPr="00F24BA6" w:rsidRDefault="009513A3" w:rsidP="00F24BA6">
      <w:pPr>
        <w:pStyle w:val="ListParagraph"/>
        <w:numPr>
          <w:ilvl w:val="0"/>
          <w:numId w:val="47"/>
        </w:num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отдаване под наем на активите (инфраструктурата/оборудването).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разпространението на резултатите от фундаменталните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b/>
          <w:bCs/>
          <w:color w:val="000000"/>
          <w:sz w:val="24"/>
          <w:szCs w:val="24"/>
        </w:rPr>
        <w:t xml:space="preserve">6. Критерии за допустимост и недопустимост на проектните предложения /дейностите/.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Потенциалните български кандидати </w:t>
      </w:r>
      <w:r w:rsidRPr="00F24BA6">
        <w:rPr>
          <w:rFonts w:cs="Times New Roman"/>
          <w:b/>
          <w:bCs/>
          <w:color w:val="000000"/>
          <w:sz w:val="24"/>
          <w:szCs w:val="24"/>
        </w:rPr>
        <w:t xml:space="preserve">не могат </w:t>
      </w:r>
      <w:r w:rsidRPr="00F24BA6">
        <w:rPr>
          <w:rFonts w:cs="Times New Roman"/>
          <w:color w:val="000000"/>
          <w:sz w:val="24"/>
          <w:szCs w:val="24"/>
        </w:rPr>
        <w:t xml:space="preserve">да участват в конкурса за финансиране на проекти и да получат финансиране в случай че: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а) са обявени в несъстоятелност или са в ликвидация, тяхната дейност е поставена под съдебен надзор, сключили са споразумение с кредитори, преустановили са дейността си, обект са на производство, свързано с такива въпроси, или се намират в подобна процедура съгласно националните законови и подзаконови актове;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б) те или лицата с правомощия за представителство, вземане на решения или контрол спрямо тях са осъдени за престъпление по служба с влязла в сила присъда; в) признати са за виновни за тежки правонарушения при упражняване на професионалната си дейност, доказани с всякакви средства, които Изпълнителният съвет на Фонда може да обоснове, включително с решения на Европейската комисия и на международни организации;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lastRenderedPageBreak/>
        <w:t xml:space="preserve">г) те или лицата с правомощия за представителство, вземане на решения или контрол спрямо тях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д) умишлено са представили невярна информация с оглед получаване на финансиране по настоящата процедура или не са представили изискваната информация;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е) подадени от кандидати, които към датата на подаване на документите за кандидатстване имат невъзстановени суми към Фонд „Научни изследвания“ от предходни процедури и конкурси, което е доказано с влязло в сила съдебно решение преди датата на обявяване на конкурса;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ж) обект са на неизпълнено разпореждане за възстановяване вследствие на предходно решение на Европейската комисия, с което дадена помощ се обявява за незаконосъобразна и несъвместима с общия пазар.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За да бъдат одобрени за финансиране по настоящата процедура, кандидатите следва да докажат, че са юридическо лице, чиято основна цел е осъществяване на фундаментални изследвания, индустриални изследвания и експериментални разработки и разпространението на техните резултати посредством преподаване, публикуване или трансфер на технологии. Посоченото следва да бъде доказано чрез представянето на следните документи при подаване на проектното предложение: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Устав или учредителен акт, от който да е видна основната дейност, за която е регистрирано юридическото лице с нестопанска цел. Ако съответният документ е публикуван в Държавен вестник или може да бъде посочен достоверен източник на публична информация, документът не се прилага, а само се посочва източникът;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Устройствен правилник или друг правилник за дейността, устав или други правила, уреждащи осъществяваните дейности и начина на финансирането им;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Утвърден индивидуален сметкоплан, от който е видно разделяне на икономическите и неикономическите дейности, за целите на проекта.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Горепосочените документи могат да бъдат представени в един екземпляр от допустимите кандидати по т. 3.1.1, като са валидни за всички проектни предложения, в които кандидатът участва като базова или партньорска организация по конкурси от текущата година. Одобрените за финансиране кандидати, преди да сключат договора, следва да представят като доказателства, в случай че осъществяват дейности от икономически и неикономически характер, тези два вида дейности, както и средствата и разходите за тях, да могат да бъдат ясно разграничени, следните документи: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Годишен финансов отчет на кандидата за последната приключила финансова година към датата на представяне на документа (вкл. годишен отчет за касовото изпълнение на бюджета, за кандидатите, които го съставят);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Информационен източник, свързан с водената от кандидата стопанска отчетност, от който може да се проследи за кои дейности (стопански и нестопански) се използват съответните активи на кандидата;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lastRenderedPageBreak/>
        <w:t xml:space="preserve">- Годишна данъчна декларация с входящ номер от Националната агенция за приходите (НАП) на кандидата за последната приключила финансова година към датата на представяне на документа.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В случай, че кандидатите не докажат горното декларирано обстоятелство, с тях няма да бъде сключен договор. Ако една организация участва като базова организация с повече от едно проектни предложения, тя подава тези документи само в един екземпляр.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В случай че с кандидата бъде сключен договор, той ще поеме договорно задължение придобитото с финансирането по проекта оборудване да бъде използвано само за неикономическите дейности съгласно т.19 на Рамката, а именно: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а) основните дейности на научноизследователските организации и инфраструктури, по- специално: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обучение за по голям брой човешки ресурси с по-добри квалификации;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независими НИРД за повече знания и по-добро разбиране, включително съвместни НИРД, при които научноизследователската организация или инфраструктура участва в ефективно сътрудничество;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 широко разпространение на резултатите от научните изследвания, при неизключителни и недискриминационни условия, например чрез преподаване, бази данни със свободен достъп, открити публика </w:t>
      </w:r>
      <w:proofErr w:type="spellStart"/>
      <w:r w:rsidRPr="00F24BA6">
        <w:rPr>
          <w:rFonts w:cs="Times New Roman"/>
          <w:color w:val="000000"/>
          <w:sz w:val="24"/>
          <w:szCs w:val="24"/>
        </w:rPr>
        <w:t>ции</w:t>
      </w:r>
      <w:proofErr w:type="spellEnd"/>
      <w:r w:rsidRPr="00F24BA6">
        <w:rPr>
          <w:rFonts w:cs="Times New Roman"/>
          <w:color w:val="000000"/>
          <w:sz w:val="24"/>
          <w:szCs w:val="24"/>
        </w:rPr>
        <w:t xml:space="preserve"> или софтуер с отворен код;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б) дейностите по трансфер на знания, когато се извършват от научноизследователската организация или инфраструктура (включително от нейните отдели или дъщерни структури), или съвместно с научноизследователска инфраструктура, или от името на други такива субекти, и когато всички печалби от тези дейности се реинвестират в основните дейности на научноизследователската организация или инфраструктура. Възлагането на предоставянето на съответните услуги на трети страни посредством открити тръжни процедури не засяга нестопанското естество на тези дейности.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 </w:t>
      </w:r>
    </w:p>
    <w:p w:rsidR="009513A3" w:rsidRPr="00F24BA6" w:rsidRDefault="009513A3" w:rsidP="00F24BA6">
      <w:pPr>
        <w:autoSpaceDE w:val="0"/>
        <w:autoSpaceDN w:val="0"/>
        <w:adjustRightInd w:val="0"/>
        <w:spacing w:before="120" w:after="120"/>
        <w:rPr>
          <w:rFonts w:cs="Times New Roman"/>
          <w:color w:val="000000"/>
          <w:sz w:val="24"/>
          <w:szCs w:val="24"/>
        </w:rPr>
      </w:pPr>
      <w:r w:rsidRPr="00F24BA6">
        <w:rPr>
          <w:rFonts w:cs="Times New Roman"/>
          <w:color w:val="000000"/>
          <w:sz w:val="24"/>
          <w:szCs w:val="24"/>
        </w:rPr>
        <w:t xml:space="preserve">Поканата се публикува в централен ежедневник и на интернет страниците на Министерство на образованието и науката и Фонд „Научни изследвания“. </w:t>
      </w:r>
    </w:p>
    <w:p w:rsidR="009513A3" w:rsidRDefault="009513A3" w:rsidP="00876057">
      <w:pPr>
        <w:autoSpaceDE w:val="0"/>
        <w:autoSpaceDN w:val="0"/>
        <w:adjustRightInd w:val="0"/>
        <w:spacing w:before="120" w:after="120"/>
        <w:rPr>
          <w:rFonts w:cs="Times New Roman"/>
          <w:b/>
          <w:bCs/>
          <w:color w:val="000000"/>
          <w:sz w:val="24"/>
          <w:szCs w:val="24"/>
        </w:rPr>
      </w:pPr>
      <w:r w:rsidRPr="00F24BA6">
        <w:rPr>
          <w:rFonts w:cs="Times New Roman"/>
          <w:color w:val="000000"/>
          <w:sz w:val="24"/>
          <w:szCs w:val="24"/>
        </w:rPr>
        <w:t>Пълната информация за конкурса и процедурите за кандидатстване може да намерите на интернет страницат</w:t>
      </w:r>
      <w:r w:rsidR="00876057">
        <w:rPr>
          <w:rFonts w:cs="Times New Roman"/>
          <w:color w:val="000000"/>
          <w:sz w:val="24"/>
          <w:szCs w:val="24"/>
        </w:rPr>
        <w:t xml:space="preserve">а на Фонд „Научни изследвания“ </w:t>
      </w:r>
      <w:hyperlink r:id="rId23" w:history="1">
        <w:r w:rsidR="00876057" w:rsidRPr="00564516">
          <w:rPr>
            <w:rStyle w:val="Hyperlink"/>
            <w:rFonts w:cs="Times New Roman"/>
            <w:b/>
            <w:bCs/>
            <w:sz w:val="24"/>
            <w:szCs w:val="24"/>
          </w:rPr>
          <w:t>http://www.fni.bg</w:t>
        </w:r>
      </w:hyperlink>
    </w:p>
    <w:p w:rsidR="00876057" w:rsidRPr="00876057" w:rsidRDefault="00876057" w:rsidP="00876057">
      <w:pPr>
        <w:autoSpaceDE w:val="0"/>
        <w:autoSpaceDN w:val="0"/>
        <w:adjustRightInd w:val="0"/>
        <w:spacing w:before="120" w:after="480"/>
        <w:rPr>
          <w:rFonts w:cs="Times New Roman"/>
          <w:b/>
          <w:sz w:val="24"/>
          <w:szCs w:val="24"/>
          <w:lang w:val="ru-RU"/>
        </w:rPr>
      </w:pPr>
      <w:r>
        <w:rPr>
          <w:rFonts w:cs="Times New Roman"/>
          <w:b/>
          <w:bCs/>
          <w:color w:val="000000"/>
          <w:sz w:val="24"/>
          <w:szCs w:val="24"/>
        </w:rPr>
        <w:t xml:space="preserve">Краен срок: </w:t>
      </w:r>
      <w:r w:rsidRPr="00876057">
        <w:rPr>
          <w:rFonts w:cs="Times New Roman"/>
          <w:b/>
          <w:color w:val="000000"/>
          <w:sz w:val="24"/>
          <w:szCs w:val="24"/>
        </w:rPr>
        <w:t>17 часа на 26.11.2018</w:t>
      </w:r>
    </w:p>
    <w:p w:rsidR="00476F9B" w:rsidRPr="0006717A" w:rsidRDefault="00476F9B" w:rsidP="00476F9B">
      <w:pPr>
        <w:pStyle w:val="Heading2"/>
        <w:ind w:left="426"/>
        <w:rPr>
          <w:rFonts w:eastAsia="Times New Roman"/>
          <w:lang w:eastAsia="bg-BG"/>
        </w:rPr>
      </w:pPr>
      <w:bookmarkStart w:id="12" w:name="_Toc503363226"/>
      <w:bookmarkStart w:id="13" w:name="_Toc527447842"/>
      <w:r w:rsidRPr="0006717A">
        <w:rPr>
          <w:rFonts w:eastAsia="Times New Roman"/>
          <w:lang w:eastAsia="bg-BG"/>
        </w:rPr>
        <w:t>Подкрепа на международни научни форуми, провеждани в Република България</w:t>
      </w:r>
      <w:bookmarkEnd w:id="12"/>
      <w:bookmarkEnd w:id="13"/>
    </w:p>
    <w:p w:rsidR="00476F9B" w:rsidRPr="00B040B1" w:rsidRDefault="00476F9B" w:rsidP="00476F9B">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476F9B" w:rsidRPr="00B040B1" w:rsidRDefault="00476F9B" w:rsidP="00476F9B">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lastRenderedPageBreak/>
        <w:t>Ц</w:t>
      </w:r>
      <w:r>
        <w:rPr>
          <w:rFonts w:eastAsia="Times New Roman" w:cs="Times New Roman"/>
          <w:color w:val="000000"/>
          <w:sz w:val="24"/>
          <w:szCs w:val="24"/>
          <w:lang w:eastAsia="bg-BG"/>
        </w:rPr>
        <w:t>елта на процедурата е п</w:t>
      </w:r>
      <w:r w:rsidRPr="00B040B1">
        <w:rPr>
          <w:rFonts w:eastAsia="Times New Roman" w:cs="Times New Roman"/>
          <w:color w:val="000000"/>
          <w:sz w:val="24"/>
          <w:szCs w:val="24"/>
          <w:lang w:eastAsia="bg-BG"/>
        </w:rPr>
        <w:t>одпомагане провеждането на международни научни  форуми на принципа на споделено финансиране  с цел установяване и задълбочаване на сътрудничеството на българските учени с водещи учени от чужбина, популяризиране на техните научни резултати и публикуване на материалите в реферирани издания.</w:t>
      </w:r>
    </w:p>
    <w:p w:rsidR="00476F9B" w:rsidRPr="00B040B1" w:rsidRDefault="00476F9B" w:rsidP="00476F9B">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ДОПУСТИМИ КАНДИДАТИ</w:t>
      </w:r>
    </w:p>
    <w:p w:rsidR="00476F9B" w:rsidRPr="00B040B1" w:rsidRDefault="00476F9B" w:rsidP="00220F22">
      <w:pPr>
        <w:numPr>
          <w:ilvl w:val="0"/>
          <w:numId w:val="3"/>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Акредитирани висши училища по чл. 85 ал.1 т.7 (ЗВО </w:t>
      </w:r>
      <w:proofErr w:type="spellStart"/>
      <w:r w:rsidRPr="00B040B1">
        <w:rPr>
          <w:rFonts w:eastAsia="Times New Roman" w:cs="Times New Roman"/>
          <w:color w:val="000000"/>
          <w:sz w:val="24"/>
          <w:szCs w:val="24"/>
          <w:lang w:eastAsia="bg-BG"/>
        </w:rPr>
        <w:t>Обн</w:t>
      </w:r>
      <w:proofErr w:type="spellEnd"/>
      <w:r w:rsidRPr="00B040B1">
        <w:rPr>
          <w:rFonts w:eastAsia="Times New Roman" w:cs="Times New Roman"/>
          <w:color w:val="000000"/>
          <w:sz w:val="24"/>
          <w:szCs w:val="24"/>
          <w:lang w:eastAsia="bg-BG"/>
        </w:rPr>
        <w:t>. ДВ. бр.112 от 27 Декември 1995г. изм. ДВ. бр.107 от 24 Декември 2014г).</w:t>
      </w:r>
    </w:p>
    <w:p w:rsidR="00476F9B" w:rsidRPr="00B040B1" w:rsidRDefault="00476F9B" w:rsidP="00220F22">
      <w:pPr>
        <w:numPr>
          <w:ilvl w:val="0"/>
          <w:numId w:val="3"/>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Научни организации по чл. 47 ал. 1 на (ЗВО </w:t>
      </w:r>
      <w:proofErr w:type="spellStart"/>
      <w:r w:rsidRPr="00B040B1">
        <w:rPr>
          <w:rFonts w:eastAsia="Times New Roman" w:cs="Times New Roman"/>
          <w:color w:val="000000"/>
          <w:sz w:val="24"/>
          <w:szCs w:val="24"/>
          <w:lang w:eastAsia="bg-BG"/>
        </w:rPr>
        <w:t>Обн</w:t>
      </w:r>
      <w:proofErr w:type="spellEnd"/>
      <w:r w:rsidRPr="00B040B1">
        <w:rPr>
          <w:rFonts w:eastAsia="Times New Roman" w:cs="Times New Roman"/>
          <w:color w:val="000000"/>
          <w:sz w:val="24"/>
          <w:szCs w:val="24"/>
          <w:lang w:eastAsia="bg-BG"/>
        </w:rPr>
        <w:t>. ДВ. бр.112 от 27 Декември 1995г. изм. ДВ. бр.107 от 24 Декември 2014г).</w:t>
      </w:r>
    </w:p>
    <w:p w:rsidR="00476F9B" w:rsidRPr="00B040B1" w:rsidRDefault="00476F9B" w:rsidP="00476F9B">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КРИТЕРИИ ЗА ОЦЕНКА:</w:t>
      </w:r>
    </w:p>
    <w:p w:rsidR="00476F9B" w:rsidRPr="00B040B1" w:rsidRDefault="00476F9B" w:rsidP="00220F22">
      <w:pPr>
        <w:numPr>
          <w:ilvl w:val="0"/>
          <w:numId w:val="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Събитието да се провежда на територията на Република България;</w:t>
      </w:r>
    </w:p>
    <w:p w:rsidR="00476F9B" w:rsidRPr="00B040B1" w:rsidRDefault="00476F9B" w:rsidP="00220F22">
      <w:pPr>
        <w:numPr>
          <w:ilvl w:val="0"/>
          <w:numId w:val="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Доказано международно участие;</w:t>
      </w:r>
    </w:p>
    <w:p w:rsidR="00476F9B" w:rsidRPr="00B040B1" w:rsidRDefault="00476F9B" w:rsidP="00220F22">
      <w:pPr>
        <w:numPr>
          <w:ilvl w:val="0"/>
          <w:numId w:val="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Проявата да съответства на целите в чл. 2, ал. 1 на ЗННИ или да попада в приоритетните области на Националната стратегия за развитие на научните изследвания или на Иновационната стратегия за интелигентна специализация;</w:t>
      </w:r>
    </w:p>
    <w:p w:rsidR="00476F9B" w:rsidRPr="00B040B1" w:rsidRDefault="00476F9B" w:rsidP="00220F22">
      <w:pPr>
        <w:numPr>
          <w:ilvl w:val="0"/>
          <w:numId w:val="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Структурирана програма;</w:t>
      </w:r>
    </w:p>
    <w:p w:rsidR="00476F9B" w:rsidRPr="00B040B1" w:rsidRDefault="00476F9B" w:rsidP="00220F22">
      <w:pPr>
        <w:numPr>
          <w:ilvl w:val="0"/>
          <w:numId w:val="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Минимален брой участници - 50 души, с минимум 10% доказано участие на млади учени;</w:t>
      </w:r>
    </w:p>
    <w:p w:rsidR="00476F9B" w:rsidRPr="00B040B1" w:rsidRDefault="00476F9B" w:rsidP="00220F22">
      <w:pPr>
        <w:numPr>
          <w:ilvl w:val="0"/>
          <w:numId w:val="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Престиж на международните лектори;</w:t>
      </w:r>
    </w:p>
    <w:p w:rsidR="00476F9B" w:rsidRPr="00B040B1" w:rsidRDefault="00476F9B" w:rsidP="00220F22">
      <w:pPr>
        <w:numPr>
          <w:ilvl w:val="0"/>
          <w:numId w:val="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Бюджет на исканото съфинансиране от ФНИ, както и задължително посочване на финансовия принос от други и/или собствени  източници. Средствата от ФНИ, могат да се разходват за организационни разходи и за разходи за настаняване на поканените лектори и настаняване и командировъчни разходи на млади учени, както и други разходи, посочени в описанието на Процедурата.</w:t>
      </w:r>
    </w:p>
    <w:p w:rsidR="00476F9B" w:rsidRPr="00B040B1" w:rsidRDefault="00476F9B" w:rsidP="00476F9B">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b/>
          <w:bCs/>
          <w:color w:val="000000"/>
          <w:sz w:val="24"/>
          <w:szCs w:val="24"/>
          <w:lang w:eastAsia="bg-BG"/>
        </w:rPr>
        <w:t xml:space="preserve">БЮДЖЕТЪТ </w:t>
      </w:r>
      <w:r w:rsidRPr="00B040B1">
        <w:rPr>
          <w:rFonts w:eastAsia="Times New Roman" w:cs="Times New Roman"/>
          <w:color w:val="000000"/>
          <w:sz w:val="24"/>
          <w:szCs w:val="24"/>
          <w:lang w:eastAsia="bg-BG"/>
        </w:rPr>
        <w:t xml:space="preserve">за конкурса се определя в Годишната оперативна програма за съответната година. Максималният размер на съфинансирането на една конференция е </w:t>
      </w:r>
      <w:r w:rsidRPr="00B040B1">
        <w:rPr>
          <w:rFonts w:eastAsia="Times New Roman" w:cs="Times New Roman"/>
          <w:b/>
          <w:bCs/>
          <w:color w:val="000000"/>
          <w:sz w:val="24"/>
          <w:szCs w:val="24"/>
          <w:lang w:eastAsia="bg-BG"/>
        </w:rPr>
        <w:t xml:space="preserve">до </w:t>
      </w:r>
      <w:r w:rsidRPr="00B040B1">
        <w:rPr>
          <w:rFonts w:eastAsia="Times New Roman" w:cs="Times New Roman"/>
          <w:color w:val="000000"/>
          <w:sz w:val="24"/>
          <w:szCs w:val="24"/>
          <w:lang w:eastAsia="bg-BG"/>
        </w:rPr>
        <w:t xml:space="preserve">8 000 лв. както следва: </w:t>
      </w:r>
    </w:p>
    <w:p w:rsidR="00476F9B" w:rsidRPr="00B040B1" w:rsidRDefault="00476F9B" w:rsidP="00476F9B">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 за форуми за един ден (програмата не по-къса от 7 работни часа): до 3 000 лв. </w:t>
      </w:r>
    </w:p>
    <w:p w:rsidR="00476F9B" w:rsidRPr="00B040B1" w:rsidRDefault="00476F9B" w:rsidP="00476F9B">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 за форуми за два дни (програма не по-къса от 14 работни часа): до 5 000 лв. </w:t>
      </w:r>
    </w:p>
    <w:p w:rsidR="00476F9B" w:rsidRPr="00B040B1" w:rsidRDefault="00476F9B" w:rsidP="00476F9B">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 за форуми за три или повече дни (програма не по-къса от 20 работни часа): до 8 000 лв. </w:t>
      </w:r>
    </w:p>
    <w:p w:rsidR="00476F9B" w:rsidRPr="00B040B1" w:rsidRDefault="00476F9B" w:rsidP="00476F9B">
      <w:pPr>
        <w:shd w:val="clear" w:color="auto" w:fill="FFFFFF"/>
        <w:spacing w:before="120" w:after="120"/>
        <w:rPr>
          <w:rFonts w:eastAsia="Times New Roman" w:cs="Times New Roman"/>
          <w:color w:val="000000"/>
          <w:sz w:val="24"/>
          <w:szCs w:val="24"/>
          <w:lang w:val="ru-RU" w:eastAsia="bg-BG"/>
        </w:rPr>
      </w:pPr>
      <w:r w:rsidRPr="00B040B1">
        <w:rPr>
          <w:rFonts w:eastAsia="Times New Roman" w:cs="Times New Roman"/>
          <w:color w:val="000000"/>
          <w:sz w:val="24"/>
          <w:szCs w:val="24"/>
          <w:lang w:eastAsia="bg-BG"/>
        </w:rPr>
        <w:t xml:space="preserve">В продължителността на програмата на форума се включват времето за доклади, </w:t>
      </w:r>
      <w:proofErr w:type="spellStart"/>
      <w:r w:rsidRPr="00B040B1">
        <w:rPr>
          <w:rFonts w:eastAsia="Times New Roman" w:cs="Times New Roman"/>
          <w:color w:val="000000"/>
          <w:sz w:val="24"/>
          <w:szCs w:val="24"/>
          <w:lang w:eastAsia="bg-BG"/>
        </w:rPr>
        <w:t>постерни</w:t>
      </w:r>
      <w:proofErr w:type="spellEnd"/>
      <w:r w:rsidRPr="00B040B1">
        <w:rPr>
          <w:rFonts w:eastAsia="Times New Roman" w:cs="Times New Roman"/>
          <w:color w:val="000000"/>
          <w:sz w:val="24"/>
          <w:szCs w:val="24"/>
          <w:lang w:eastAsia="bg-BG"/>
        </w:rPr>
        <w:t xml:space="preserve"> сесии, дискусии и други форми на представяне и обсъждане на научни проблеми, времето за откриване и закриване на форума, както и времето за кафе-паузи.</w:t>
      </w:r>
    </w:p>
    <w:p w:rsidR="00476F9B" w:rsidRPr="00B040B1" w:rsidRDefault="00476F9B" w:rsidP="00476F9B">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Проектните предложения ще бъдат разглеждани от Временна научно-експертна комисия за подбор на предложенията всяко тримесечие</w:t>
      </w:r>
      <w:r w:rsidRPr="00B040B1">
        <w:rPr>
          <w:rFonts w:eastAsia="Times New Roman" w:cs="Times New Roman"/>
          <w:b/>
          <w:bCs/>
          <w:color w:val="000000"/>
          <w:sz w:val="24"/>
          <w:szCs w:val="24"/>
          <w:lang w:eastAsia="bg-BG"/>
        </w:rPr>
        <w:t xml:space="preserve">. </w:t>
      </w:r>
    </w:p>
    <w:p w:rsidR="00476F9B" w:rsidRPr="00B040B1" w:rsidRDefault="00476F9B" w:rsidP="00476F9B">
      <w:pPr>
        <w:shd w:val="clear" w:color="auto" w:fill="FFFFFF"/>
        <w:spacing w:before="120" w:after="120"/>
        <w:rPr>
          <w:rFonts w:eastAsia="Times New Roman" w:cs="Times New Roman"/>
          <w:color w:val="000000"/>
          <w:sz w:val="24"/>
          <w:szCs w:val="24"/>
          <w:lang w:val="ru-RU" w:eastAsia="bg-BG"/>
        </w:rPr>
      </w:pPr>
      <w:r w:rsidRPr="00B040B1">
        <w:rPr>
          <w:rFonts w:eastAsia="Times New Roman" w:cs="Times New Roman"/>
          <w:color w:val="000000"/>
          <w:sz w:val="24"/>
          <w:szCs w:val="24"/>
          <w:lang w:eastAsia="bg-BG"/>
        </w:rPr>
        <w:t xml:space="preserve">В рамките на една сесия могат да бъдат </w:t>
      </w:r>
      <w:proofErr w:type="spellStart"/>
      <w:r w:rsidRPr="00B040B1">
        <w:rPr>
          <w:rFonts w:eastAsia="Times New Roman" w:cs="Times New Roman"/>
          <w:color w:val="000000"/>
          <w:sz w:val="24"/>
          <w:szCs w:val="24"/>
          <w:lang w:eastAsia="bg-BG"/>
        </w:rPr>
        <w:t>подкрепeни</w:t>
      </w:r>
      <w:proofErr w:type="spellEnd"/>
      <w:r w:rsidRPr="00B040B1">
        <w:rPr>
          <w:rFonts w:eastAsia="Times New Roman" w:cs="Times New Roman"/>
          <w:color w:val="000000"/>
          <w:sz w:val="24"/>
          <w:szCs w:val="24"/>
          <w:lang w:eastAsia="bg-BG"/>
        </w:rPr>
        <w:t xml:space="preserve"> до две предложения от научна организация.</w:t>
      </w:r>
    </w:p>
    <w:p w:rsidR="00476F9B" w:rsidRPr="00B040B1" w:rsidRDefault="00476F9B" w:rsidP="00476F9B">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lastRenderedPageBreak/>
        <w:t xml:space="preserve">Пълният текст на процедурата и допълнителна информация можете да намерите </w:t>
      </w:r>
      <w:hyperlink r:id="rId24" w:history="1">
        <w:r w:rsidRPr="00B040B1">
          <w:rPr>
            <w:rStyle w:val="Hyperlink"/>
            <w:rFonts w:eastAsia="Times New Roman" w:cs="Times New Roman"/>
            <w:sz w:val="24"/>
            <w:szCs w:val="24"/>
            <w:lang w:eastAsia="bg-BG"/>
          </w:rPr>
          <w:t>ТУК</w:t>
        </w:r>
      </w:hyperlink>
    </w:p>
    <w:p w:rsidR="00476F9B" w:rsidRPr="00B040B1" w:rsidRDefault="00476F9B" w:rsidP="001B12ED">
      <w:pPr>
        <w:shd w:val="clear" w:color="auto" w:fill="FFFFFF"/>
        <w:spacing w:before="120" w:after="120"/>
        <w:rPr>
          <w:rFonts w:eastAsia="Times New Roman" w:cs="Times New Roman"/>
          <w:b/>
          <w:color w:val="000000"/>
          <w:sz w:val="24"/>
          <w:szCs w:val="24"/>
          <w:lang w:eastAsia="bg-BG"/>
        </w:rPr>
      </w:pPr>
      <w:r w:rsidRPr="00B040B1">
        <w:rPr>
          <w:rFonts w:eastAsia="Times New Roman" w:cs="Times New Roman"/>
          <w:b/>
          <w:color w:val="000000"/>
          <w:sz w:val="24"/>
          <w:szCs w:val="24"/>
          <w:lang w:eastAsia="bg-BG"/>
        </w:rPr>
        <w:t>Краен срок: текущ</w:t>
      </w:r>
    </w:p>
    <w:p w:rsidR="00476F9B" w:rsidRPr="00AB0EFA" w:rsidRDefault="00476F9B" w:rsidP="00476F9B">
      <w:pPr>
        <w:pStyle w:val="Heading2"/>
        <w:ind w:left="426"/>
        <w:rPr>
          <w:rFonts w:eastAsia="Times New Roman"/>
          <w:lang w:eastAsia="bg-BG"/>
        </w:rPr>
      </w:pPr>
      <w:bookmarkStart w:id="14" w:name="_Toc503363227"/>
      <w:bookmarkStart w:id="15" w:name="_Toc527447843"/>
      <w:r w:rsidRPr="00AB0EFA">
        <w:rPr>
          <w:rFonts w:eastAsia="Times New Roman"/>
          <w:lang w:eastAsia="bg-BG"/>
        </w:rPr>
        <w:t>Национално съфинансиране за участие на български колективи в утвърдени проекти по COST</w:t>
      </w:r>
      <w:bookmarkEnd w:id="14"/>
      <w:bookmarkEnd w:id="15"/>
    </w:p>
    <w:p w:rsidR="00476F9B" w:rsidRPr="00AB0EFA" w:rsidRDefault="00476F9B" w:rsidP="00476F9B">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ДОПУСТИМИ КАНДИДАТИ</w:t>
      </w:r>
    </w:p>
    <w:p w:rsidR="00476F9B" w:rsidRPr="00AB0EFA" w:rsidRDefault="00476F9B" w:rsidP="00220F22">
      <w:pPr>
        <w:numPr>
          <w:ilvl w:val="0"/>
          <w:numId w:val="5"/>
        </w:numPr>
        <w:rPr>
          <w:rFonts w:eastAsia="Calibri" w:cs="Times New Roman"/>
          <w:sz w:val="24"/>
          <w:szCs w:val="24"/>
          <w:lang w:eastAsia="bg-BG"/>
        </w:rPr>
      </w:pPr>
      <w:r w:rsidRPr="00AB0EFA">
        <w:rPr>
          <w:rFonts w:eastAsia="Calibri" w:cs="Times New Roman"/>
          <w:sz w:val="24"/>
          <w:szCs w:val="24"/>
          <w:lang w:eastAsia="bg-BG"/>
        </w:rPr>
        <w:t xml:space="preserve">Акредитирани висши училища по чл. 85 ал.1 т.7 (ЗВО </w:t>
      </w:r>
      <w:proofErr w:type="spellStart"/>
      <w:r w:rsidRPr="00AB0EFA">
        <w:rPr>
          <w:rFonts w:eastAsia="Calibri" w:cs="Times New Roman"/>
          <w:sz w:val="24"/>
          <w:szCs w:val="24"/>
          <w:lang w:eastAsia="bg-BG"/>
        </w:rPr>
        <w:t>Обн</w:t>
      </w:r>
      <w:proofErr w:type="spellEnd"/>
      <w:r w:rsidRPr="00AB0EFA">
        <w:rPr>
          <w:rFonts w:eastAsia="Calibri" w:cs="Times New Roman"/>
          <w:sz w:val="24"/>
          <w:szCs w:val="24"/>
          <w:lang w:eastAsia="bg-BG"/>
        </w:rPr>
        <w:t>. ДВ. бр.112 от 27 Декември 1995г. изм. ДВ. бр.107 от 24 Декември 2014г).</w:t>
      </w:r>
    </w:p>
    <w:p w:rsidR="00476F9B" w:rsidRPr="00AB0EFA" w:rsidRDefault="00476F9B" w:rsidP="00220F22">
      <w:pPr>
        <w:numPr>
          <w:ilvl w:val="0"/>
          <w:numId w:val="5"/>
        </w:numPr>
        <w:rPr>
          <w:rFonts w:eastAsia="Calibri" w:cs="Times New Roman"/>
          <w:sz w:val="24"/>
          <w:szCs w:val="24"/>
          <w:lang w:eastAsia="bg-BG"/>
        </w:rPr>
      </w:pPr>
      <w:r w:rsidRPr="00AB0EFA">
        <w:rPr>
          <w:rFonts w:eastAsia="Calibri" w:cs="Times New Roman"/>
          <w:sz w:val="24"/>
          <w:szCs w:val="24"/>
          <w:lang w:eastAsia="bg-BG"/>
        </w:rPr>
        <w:t xml:space="preserve">Научни организации по чл. 47 ал. 1 на (ЗВО </w:t>
      </w:r>
      <w:proofErr w:type="spellStart"/>
      <w:r w:rsidRPr="00AB0EFA">
        <w:rPr>
          <w:rFonts w:eastAsia="Calibri" w:cs="Times New Roman"/>
          <w:sz w:val="24"/>
          <w:szCs w:val="24"/>
          <w:lang w:eastAsia="bg-BG"/>
        </w:rPr>
        <w:t>Обн</w:t>
      </w:r>
      <w:proofErr w:type="spellEnd"/>
      <w:r w:rsidRPr="00AB0EFA">
        <w:rPr>
          <w:rFonts w:eastAsia="Calibri" w:cs="Times New Roman"/>
          <w:sz w:val="24"/>
          <w:szCs w:val="24"/>
          <w:lang w:eastAsia="bg-BG"/>
        </w:rPr>
        <w:t>. ДВ. бр.112 от 27 Декември 1995г. изм. ДВ. бр.107 от 24 Декември 2014г).</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КРИТЕРИИ ЗА ОЦЕНКА: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 xml:space="preserve">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w:t>
      </w:r>
      <w:proofErr w:type="spellStart"/>
      <w:r w:rsidRPr="00AB0EFA">
        <w:rPr>
          <w:rFonts w:eastAsia="Calibri" w:cs="Times New Roman"/>
          <w:sz w:val="24"/>
          <w:szCs w:val="24"/>
          <w:lang w:eastAsia="bg-BG"/>
        </w:rPr>
        <w:t>oт</w:t>
      </w:r>
      <w:proofErr w:type="spellEnd"/>
      <w:r w:rsidRPr="00AB0EFA">
        <w:rPr>
          <w:rFonts w:eastAsia="Calibri" w:cs="Times New Roman"/>
          <w:sz w:val="24"/>
          <w:szCs w:val="24"/>
          <w:lang w:eastAsia="bg-BG"/>
        </w:rPr>
        <w:t xml:space="preserve"> Съвета на висшите представители на програмата. </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rsidR="00476F9B" w:rsidRPr="00E1455C" w:rsidRDefault="00F236D1" w:rsidP="00476F9B">
      <w:pPr>
        <w:rPr>
          <w:rFonts w:cs="Times New Roman"/>
          <w:color w:val="000000"/>
          <w:sz w:val="24"/>
          <w:szCs w:val="24"/>
        </w:rPr>
      </w:pPr>
      <w:hyperlink r:id="rId25" w:tgtFrame="_blank" w:history="1">
        <w:r w:rsidR="00476F9B" w:rsidRPr="00E1455C">
          <w:rPr>
            <w:rStyle w:val="Hyperlink"/>
            <w:rFonts w:cs="Times New Roman"/>
            <w:sz w:val="24"/>
            <w:szCs w:val="24"/>
          </w:rPr>
          <w:t>Пълен текст на процедурата</w:t>
        </w:r>
      </w:hyperlink>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26" w:history="1">
        <w:r w:rsidRPr="00E1455C">
          <w:rPr>
            <w:rFonts w:eastAsia="Calibri" w:cs="Times New Roman"/>
            <w:color w:val="0000FF" w:themeColor="hyperlink"/>
            <w:sz w:val="24"/>
            <w:szCs w:val="24"/>
            <w:u w:val="single"/>
            <w:lang w:eastAsia="bg-BG"/>
          </w:rPr>
          <w:t>fni-konkursi@mon.bg</w:t>
        </w:r>
      </w:hyperlink>
    </w:p>
    <w:p w:rsidR="00476F9B" w:rsidRDefault="00476F9B" w:rsidP="001B0974">
      <w:pPr>
        <w:spacing w:after="360"/>
        <w:rPr>
          <w:rFonts w:eastAsia="Calibri" w:cs="Times New Roman"/>
          <w:b/>
          <w:sz w:val="24"/>
          <w:szCs w:val="24"/>
          <w:lang w:eastAsia="bg-BG"/>
        </w:rPr>
      </w:pPr>
      <w:r w:rsidRPr="00AB0EFA">
        <w:rPr>
          <w:rFonts w:eastAsia="Calibri" w:cs="Times New Roman"/>
          <w:b/>
          <w:sz w:val="24"/>
          <w:szCs w:val="24"/>
          <w:lang w:eastAsia="bg-BG"/>
        </w:rPr>
        <w:t>Краен срок: текущ</w:t>
      </w:r>
    </w:p>
    <w:p w:rsidR="002E339B" w:rsidRDefault="00F236D1" w:rsidP="001B0974">
      <w:pPr>
        <w:spacing w:after="360"/>
        <w:rPr>
          <w:b/>
          <w:color w:val="0000FF" w:themeColor="hyperlink"/>
          <w:sz w:val="24"/>
          <w:szCs w:val="24"/>
          <w:u w:val="single"/>
        </w:rPr>
      </w:pPr>
      <w:hyperlink r:id="rId27" w:history="1">
        <w:bookmarkStart w:id="16" w:name="_Toc428806822"/>
        <w:r w:rsidR="002E339B" w:rsidRPr="00476F9B">
          <w:rPr>
            <w:b/>
            <w:color w:val="0000FF" w:themeColor="hyperlink"/>
            <w:sz w:val="24"/>
            <w:szCs w:val="24"/>
            <w:u w:val="single"/>
            <w:lang w:val="en-US"/>
          </w:rPr>
          <w:t>R&amp;D Calls HORIZON 2020</w:t>
        </w:r>
        <w:bookmarkEnd w:id="16"/>
      </w:hyperlink>
    </w:p>
    <w:p w:rsidR="004B75C6" w:rsidRPr="00F12A88" w:rsidRDefault="004B75C6" w:rsidP="004B75C6">
      <w:pPr>
        <w:pStyle w:val="Heading2"/>
        <w:ind w:left="426"/>
      </w:pPr>
      <w:bookmarkStart w:id="17" w:name="_Toc527447844"/>
      <w:r w:rsidRPr="00F12A88">
        <w:t>Конкурс за научни изследвания на Кралската академия на Белгия</w:t>
      </w:r>
      <w:bookmarkEnd w:id="17"/>
    </w:p>
    <w:p w:rsidR="004B75C6" w:rsidRPr="00F12A88" w:rsidRDefault="004B75C6" w:rsidP="004B75C6">
      <w:pPr>
        <w:autoSpaceDE w:val="0"/>
        <w:autoSpaceDN w:val="0"/>
        <w:adjustRightInd w:val="0"/>
        <w:spacing w:after="120"/>
        <w:rPr>
          <w:rFonts w:cs="Times New Roman"/>
          <w:bCs/>
          <w:color w:val="000000"/>
          <w:sz w:val="24"/>
          <w:szCs w:val="24"/>
        </w:rPr>
      </w:pPr>
      <w:r w:rsidRPr="00F12A88">
        <w:rPr>
          <w:rFonts w:cs="Times New Roman"/>
          <w:bCs/>
          <w:color w:val="000000"/>
          <w:sz w:val="24"/>
          <w:szCs w:val="24"/>
        </w:rPr>
        <w:t>Кралската академия на Белгия за науки организира ежегоден конкурс, с цел стимулиране на висококачествени научни изследвания, свързани с проблемите на отвъдморските региони.</w:t>
      </w:r>
    </w:p>
    <w:p w:rsidR="004B75C6" w:rsidRPr="00F12A88" w:rsidRDefault="004B75C6" w:rsidP="004B75C6">
      <w:pPr>
        <w:autoSpaceDE w:val="0"/>
        <w:autoSpaceDN w:val="0"/>
        <w:adjustRightInd w:val="0"/>
        <w:spacing w:before="120" w:after="120"/>
        <w:rPr>
          <w:rFonts w:cs="Times New Roman"/>
          <w:bCs/>
          <w:color w:val="000000"/>
          <w:sz w:val="24"/>
          <w:szCs w:val="24"/>
        </w:rPr>
      </w:pPr>
      <w:r w:rsidRPr="00F12A88">
        <w:rPr>
          <w:rFonts w:cs="Times New Roman"/>
          <w:bCs/>
          <w:color w:val="000000"/>
          <w:sz w:val="24"/>
          <w:szCs w:val="24"/>
        </w:rPr>
        <w:t>За участие в конкурса е необходимо да бъде представен оригинален и скорошен (максимум петгодишен) научен ръкопис по определените теми.</w:t>
      </w:r>
    </w:p>
    <w:p w:rsidR="004B75C6" w:rsidRPr="00F12A88" w:rsidRDefault="004B75C6" w:rsidP="004B75C6">
      <w:pPr>
        <w:autoSpaceDE w:val="0"/>
        <w:autoSpaceDN w:val="0"/>
        <w:adjustRightInd w:val="0"/>
        <w:spacing w:after="120"/>
        <w:rPr>
          <w:rFonts w:cs="Times New Roman"/>
          <w:bCs/>
          <w:color w:val="000000"/>
          <w:sz w:val="24"/>
          <w:szCs w:val="24"/>
        </w:rPr>
      </w:pPr>
      <w:r w:rsidRPr="00F12A88">
        <w:rPr>
          <w:rFonts w:cs="Times New Roman"/>
          <w:bCs/>
          <w:color w:val="000000"/>
          <w:sz w:val="24"/>
          <w:szCs w:val="24"/>
        </w:rPr>
        <w:t xml:space="preserve">Темите на конкурса през 2019 г. са свързани с проучване на устойчивостта на местните традиции в съвременния глобален свят; проучване </w:t>
      </w:r>
      <w:r>
        <w:rPr>
          <w:rFonts w:cs="Times New Roman"/>
          <w:bCs/>
          <w:color w:val="000000"/>
          <w:sz w:val="24"/>
          <w:szCs w:val="24"/>
        </w:rPr>
        <w:t xml:space="preserve">на </w:t>
      </w:r>
      <w:r w:rsidRPr="00F12A88">
        <w:rPr>
          <w:rFonts w:cs="Times New Roman"/>
          <w:bCs/>
          <w:color w:val="000000"/>
          <w:sz w:val="24"/>
          <w:szCs w:val="24"/>
        </w:rPr>
        <w:t>въздействието на урбанизацията, селскостопанското стопанство и/или индустриалното развитие върху природните екосистеми и биоразнообразието в тропическите страни и проучване относно техническото, научното или икономическото въздействие на развиващите се страни върху събирането и рециклирането на остатъци, съдържащи метали. Изследванията трябва да бъдат изпратени до секретариата на Академията преди 1 март 2019 г.</w:t>
      </w:r>
    </w:p>
    <w:p w:rsidR="004B75C6" w:rsidRPr="00F12A88" w:rsidRDefault="004B75C6" w:rsidP="001B0974">
      <w:pPr>
        <w:autoSpaceDE w:val="0"/>
        <w:autoSpaceDN w:val="0"/>
        <w:adjustRightInd w:val="0"/>
        <w:spacing w:after="120"/>
        <w:rPr>
          <w:rFonts w:cs="Times New Roman"/>
          <w:bCs/>
          <w:color w:val="000000"/>
          <w:sz w:val="24"/>
          <w:szCs w:val="24"/>
        </w:rPr>
      </w:pPr>
      <w:r w:rsidRPr="00F12A88">
        <w:rPr>
          <w:rFonts w:cs="Times New Roman"/>
          <w:bCs/>
          <w:color w:val="000000"/>
          <w:sz w:val="24"/>
          <w:szCs w:val="24"/>
        </w:rPr>
        <w:t xml:space="preserve">Темите на конкурса през 2020 г. са свързани с антропологично проучване свързано с трансформацията на половите връзки в настоящия контекст на икономическата промяна в отвъдморско пространство; проучване относно въздействието на изменението на климата в тропиците върху </w:t>
      </w:r>
      <w:proofErr w:type="spellStart"/>
      <w:r w:rsidRPr="00F12A88">
        <w:rPr>
          <w:rFonts w:cs="Times New Roman"/>
          <w:bCs/>
          <w:color w:val="000000"/>
          <w:sz w:val="24"/>
          <w:szCs w:val="24"/>
        </w:rPr>
        <w:t>екосистемните</w:t>
      </w:r>
      <w:proofErr w:type="spellEnd"/>
      <w:r w:rsidRPr="00F12A88">
        <w:rPr>
          <w:rFonts w:cs="Times New Roman"/>
          <w:bCs/>
          <w:color w:val="000000"/>
          <w:sz w:val="24"/>
          <w:szCs w:val="24"/>
        </w:rPr>
        <w:t xml:space="preserve"> услуги, като част от предоставянето, регулирането или подпомагането на услугите и проучване относно управлението на енергията, храните, водата и връзката им за постигане на целите за устойчиво развитие в развиващите се страни. Изследванията трябва да бъдат изпратени до секретариата на Академията преди 1 март 2020 г.</w:t>
      </w:r>
      <w:r w:rsidR="001B0974" w:rsidRPr="001B0974">
        <w:rPr>
          <w:rFonts w:cs="Times New Roman"/>
          <w:bCs/>
          <w:color w:val="000000"/>
          <w:sz w:val="24"/>
          <w:szCs w:val="24"/>
          <w:lang w:val="ru-RU"/>
        </w:rPr>
        <w:t xml:space="preserve"> </w:t>
      </w:r>
      <w:r w:rsidRPr="00F12A88">
        <w:rPr>
          <w:rFonts w:cs="Times New Roman"/>
          <w:bCs/>
          <w:color w:val="000000"/>
          <w:sz w:val="24"/>
          <w:szCs w:val="24"/>
        </w:rPr>
        <w:t xml:space="preserve">Повече информация може да бъде намерена на сайта на Кралската академия на Белгия за науки: </w:t>
      </w:r>
      <w:hyperlink r:id="rId28" w:tgtFrame="_blank" w:history="1">
        <w:r w:rsidRPr="00F12A88">
          <w:rPr>
            <w:rStyle w:val="Hyperlink"/>
            <w:rFonts w:cs="Times New Roman"/>
            <w:bCs/>
            <w:sz w:val="24"/>
            <w:szCs w:val="24"/>
          </w:rPr>
          <w:t>http://www.kaowarsom.be</w:t>
        </w:r>
      </w:hyperlink>
      <w:r w:rsidRPr="00F12A88">
        <w:rPr>
          <w:rFonts w:cs="Times New Roman"/>
          <w:bCs/>
          <w:color w:val="000000"/>
          <w:sz w:val="24"/>
          <w:szCs w:val="24"/>
        </w:rPr>
        <w:t>.</w:t>
      </w:r>
    </w:p>
    <w:p w:rsidR="004B75C6" w:rsidRPr="00F12A88" w:rsidRDefault="004B75C6" w:rsidP="004B75C6">
      <w:pPr>
        <w:autoSpaceDE w:val="0"/>
        <w:autoSpaceDN w:val="0"/>
        <w:adjustRightInd w:val="0"/>
        <w:spacing w:after="480"/>
        <w:rPr>
          <w:rFonts w:cs="Times New Roman"/>
          <w:bCs/>
          <w:color w:val="000000"/>
          <w:sz w:val="24"/>
          <w:szCs w:val="24"/>
        </w:rPr>
      </w:pPr>
      <w:r>
        <w:rPr>
          <w:rFonts w:cs="Times New Roman"/>
          <w:b/>
          <w:bCs/>
          <w:color w:val="000000"/>
          <w:sz w:val="24"/>
          <w:szCs w:val="24"/>
        </w:rPr>
        <w:t xml:space="preserve">Краен срок: </w:t>
      </w:r>
      <w:r w:rsidRPr="0051662A">
        <w:rPr>
          <w:rFonts w:cs="Times New Roman"/>
          <w:b/>
          <w:bCs/>
          <w:color w:val="000000"/>
          <w:sz w:val="24"/>
          <w:szCs w:val="24"/>
        </w:rPr>
        <w:t>1 март 2019 г</w:t>
      </w:r>
      <w:r>
        <w:rPr>
          <w:rFonts w:cs="Times New Roman"/>
          <w:b/>
          <w:bCs/>
          <w:color w:val="000000"/>
          <w:sz w:val="24"/>
          <w:szCs w:val="24"/>
        </w:rPr>
        <w:t>.</w:t>
      </w:r>
    </w:p>
    <w:p w:rsidR="002E339B" w:rsidRDefault="002E339B" w:rsidP="002E339B">
      <w:pPr>
        <w:pStyle w:val="Heading2"/>
        <w:ind w:left="357" w:hanging="357"/>
      </w:pPr>
      <w:bookmarkStart w:id="18" w:name="_Toc527447845"/>
      <w:r w:rsidRPr="0052108C">
        <w:t>Програма: „Америка за България”</w:t>
      </w:r>
      <w:bookmarkEnd w:id="18"/>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lastRenderedPageBreak/>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proofErr w:type="spellStart"/>
      <w:r w:rsidRPr="00036946">
        <w:rPr>
          <w:rFonts w:cs="Times New Roman"/>
          <w:sz w:val="24"/>
          <w:szCs w:val="24"/>
        </w:rPr>
        <w:t>препоръчваелектронн</w:t>
      </w:r>
      <w:r>
        <w:rPr>
          <w:rFonts w:cs="Times New Roman"/>
          <w:sz w:val="24"/>
          <w:szCs w:val="24"/>
        </w:rPr>
        <w:t>ият</w:t>
      </w:r>
      <w:proofErr w:type="spellEnd"/>
      <w:r>
        <w:rPr>
          <w:rFonts w:cs="Times New Roman"/>
          <w:sz w:val="24"/>
          <w:szCs w:val="24"/>
        </w:rPr>
        <w:t xml:space="preserve">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083A5C" w:rsidRDefault="002E339B" w:rsidP="001B0974">
      <w:pPr>
        <w:autoSpaceDE w:val="0"/>
        <w:autoSpaceDN w:val="0"/>
        <w:adjustRightInd w:val="0"/>
        <w:spacing w:after="360"/>
      </w:pPr>
      <w:r w:rsidRPr="00036946">
        <w:rPr>
          <w:rFonts w:cs="Times New Roman"/>
          <w:b/>
          <w:bCs/>
          <w:color w:val="000000"/>
          <w:sz w:val="24"/>
          <w:szCs w:val="24"/>
        </w:rPr>
        <w:t xml:space="preserve">Краен срок: текущ </w:t>
      </w:r>
    </w:p>
    <w:p w:rsidR="00B57F79" w:rsidRDefault="00B57F79" w:rsidP="00460469">
      <w:pPr>
        <w:sectPr w:rsidR="00B57F79" w:rsidSect="00EF7FA2">
          <w:footerReference w:type="default" r:id="rId29"/>
          <w:pgSz w:w="11906" w:h="16838"/>
          <w:pgMar w:top="1417" w:right="1133" w:bottom="1417" w:left="1417" w:header="708" w:footer="708" w:gutter="0"/>
          <w:cols w:space="708"/>
          <w:docGrid w:linePitch="360"/>
        </w:sectPr>
      </w:pPr>
    </w:p>
    <w:p w:rsidR="00AC582E" w:rsidRPr="00544F92" w:rsidRDefault="00912146" w:rsidP="00510D99">
      <w:pPr>
        <w:pStyle w:val="Events"/>
      </w:pPr>
      <w:bookmarkStart w:id="19" w:name="_Toc527447846"/>
      <w:r>
        <w:lastRenderedPageBreak/>
        <w:t>СЪБИТИЯ</w:t>
      </w:r>
      <w:bookmarkEnd w:id="19"/>
    </w:p>
    <w:p w:rsidR="00A414F7" w:rsidRPr="00A414F7" w:rsidRDefault="00A414F7" w:rsidP="00A414F7">
      <w:pPr>
        <w:spacing w:after="100" w:afterAutospacing="1"/>
        <w:rPr>
          <w:rFonts w:eastAsia="Calibri" w:cs="Times New Roman"/>
          <w:b/>
          <w:bCs/>
          <w:color w:val="E36C0A"/>
          <w:sz w:val="24"/>
          <w:szCs w:val="24"/>
          <w:u w:val="single"/>
        </w:rPr>
      </w:pPr>
      <w:r w:rsidRPr="00A414F7">
        <w:rPr>
          <w:rFonts w:eastAsia="Calibri" w:cs="Times New Roman"/>
          <w:b/>
          <w:bCs/>
          <w:color w:val="E36C0A"/>
          <w:sz w:val="24"/>
          <w:szCs w:val="24"/>
          <w:u w:val="single"/>
        </w:rPr>
        <w:t>International Brokerage Event - Europe in a changing world – inclusive, innovative and reflective Societies, 8 November 2018, Warsaw, Poland</w:t>
      </w:r>
    </w:p>
    <w:p w:rsidR="00A414F7" w:rsidRPr="00A414F7" w:rsidRDefault="00A414F7" w:rsidP="00A414F7">
      <w:pPr>
        <w:spacing w:after="100" w:afterAutospacing="1"/>
        <w:rPr>
          <w:rFonts w:eastAsia="Calibri" w:cs="Times New Roman"/>
          <w:bCs/>
          <w:sz w:val="24"/>
          <w:szCs w:val="24"/>
        </w:rPr>
      </w:pPr>
      <w:r w:rsidRPr="00A414F7">
        <w:rPr>
          <w:rFonts w:eastAsia="Calibri" w:cs="Times New Roman"/>
          <w:bCs/>
          <w:sz w:val="24"/>
          <w:szCs w:val="24"/>
        </w:rPr>
        <w:t>This international information-day event will highlight research topics covered within the 2019 calls for proposals in Societal Challenge 6 </w:t>
      </w:r>
      <w:r w:rsidRPr="00A414F7">
        <w:rPr>
          <w:rFonts w:eastAsia="Calibri" w:cs="Times New Roman"/>
          <w:bCs/>
          <w:i/>
          <w:iCs/>
          <w:sz w:val="24"/>
          <w:szCs w:val="24"/>
        </w:rPr>
        <w:t>Europe in a changing world – inclusive, innovative and reflective Societies</w:t>
      </w:r>
      <w:r w:rsidRPr="00A414F7">
        <w:rPr>
          <w:rFonts w:eastAsia="Calibri" w:cs="Times New Roman"/>
          <w:bCs/>
          <w:sz w:val="24"/>
          <w:szCs w:val="24"/>
        </w:rPr>
        <w:t> of Horizon 2020. Participants will have the possibility to join in a matchmaking event dedicated to the topics of the 2019 Societal Challenge 6 call for proposals. The matchmaking event will give participants the opportunity to join pre-arranged meetings with other participants in order to identify possible collaborators and to facilitate the setup of Horizon 2020 project consortia.</w:t>
      </w:r>
    </w:p>
    <w:p w:rsidR="00A414F7" w:rsidRPr="00A414F7" w:rsidRDefault="00F236D1" w:rsidP="00A414F7">
      <w:pPr>
        <w:spacing w:after="100" w:afterAutospacing="1"/>
        <w:rPr>
          <w:rFonts w:eastAsia="Calibri" w:cs="Times New Roman"/>
          <w:bCs/>
          <w:color w:val="E36C0A"/>
          <w:sz w:val="24"/>
          <w:szCs w:val="24"/>
          <w:u w:val="single"/>
        </w:rPr>
      </w:pPr>
      <w:hyperlink r:id="rId30" w:tgtFrame="_blank" w:history="1">
        <w:r w:rsidR="00A414F7" w:rsidRPr="00A414F7">
          <w:rPr>
            <w:rFonts w:eastAsia="Calibri" w:cs="Times New Roman"/>
            <w:bCs/>
            <w:color w:val="0000FF"/>
            <w:sz w:val="24"/>
            <w:szCs w:val="24"/>
            <w:u w:val="single"/>
          </w:rPr>
          <w:t>More information</w:t>
        </w:r>
      </w:hyperlink>
    </w:p>
    <w:p w:rsidR="00A414F7" w:rsidRPr="004C5C0A" w:rsidRDefault="00A414F7" w:rsidP="00A414F7">
      <w:pPr>
        <w:spacing w:after="100" w:afterAutospacing="1"/>
        <w:rPr>
          <w:rFonts w:eastAsia="Calibri" w:cs="Times New Roman"/>
          <w:b/>
          <w:bCs/>
          <w:color w:val="E36C0A" w:themeColor="accent6" w:themeShade="BF"/>
          <w:sz w:val="24"/>
          <w:szCs w:val="24"/>
          <w:u w:val="single"/>
        </w:rPr>
      </w:pPr>
      <w:r w:rsidRPr="004C5C0A">
        <w:rPr>
          <w:rFonts w:eastAsia="Calibri" w:cs="Times New Roman"/>
          <w:b/>
          <w:bCs/>
          <w:color w:val="E36C0A" w:themeColor="accent6" w:themeShade="BF"/>
          <w:sz w:val="24"/>
          <w:szCs w:val="24"/>
          <w:u w:val="single"/>
        </w:rPr>
        <w:t>The Fair of European Innovators in Cultural Heritage, 15-16 November 2018, Brussels, Belgium</w:t>
      </w:r>
    </w:p>
    <w:p w:rsidR="00A414F7" w:rsidRPr="00A414F7" w:rsidRDefault="00A414F7" w:rsidP="005B0D4F">
      <w:pPr>
        <w:spacing w:before="100" w:beforeAutospacing="1" w:after="100" w:afterAutospacing="1" w:line="240" w:lineRule="auto"/>
        <w:rPr>
          <w:rFonts w:eastAsia="Times New Roman" w:cs="Times New Roman"/>
          <w:color w:val="4D4D4D"/>
          <w:sz w:val="24"/>
          <w:szCs w:val="24"/>
          <w:lang w:eastAsia="bg-BG"/>
        </w:rPr>
      </w:pPr>
      <w:r w:rsidRPr="00A414F7">
        <w:rPr>
          <w:rFonts w:eastAsia="Times New Roman" w:cs="Times New Roman"/>
          <w:color w:val="4D4D4D"/>
          <w:sz w:val="24"/>
          <w:szCs w:val="24"/>
          <w:lang w:eastAsia="bg-BG"/>
        </w:rPr>
        <w:t xml:space="preserve">The Fair is a wonderful occasion to see how the EU is promoting research &amp; innovation in cultural heritage, fostering creativity and new connections across countries. The event will build on the results of </w:t>
      </w:r>
      <w:proofErr w:type="spellStart"/>
      <w:r w:rsidRPr="00A414F7">
        <w:rPr>
          <w:rFonts w:eastAsia="Times New Roman" w:cs="Times New Roman"/>
          <w:color w:val="4D4D4D"/>
          <w:sz w:val="24"/>
          <w:szCs w:val="24"/>
          <w:lang w:eastAsia="bg-BG"/>
        </w:rPr>
        <w:t>the</w:t>
      </w:r>
      <w:proofErr w:type="spellEnd"/>
      <w:r w:rsidRPr="00A414F7">
        <w:rPr>
          <w:rFonts w:eastAsia="Times New Roman" w:cs="Times New Roman"/>
          <w:color w:val="4D4D4D"/>
          <w:sz w:val="24"/>
          <w:szCs w:val="24"/>
          <w:lang w:eastAsia="bg-BG"/>
        </w:rPr>
        <w:t xml:space="preserve"> '</w:t>
      </w:r>
      <w:proofErr w:type="spellStart"/>
      <w:r w:rsidR="00F236D1">
        <w:rPr>
          <w:rFonts w:eastAsia="Times New Roman" w:cs="Times New Roman"/>
          <w:color w:val="0000FF"/>
          <w:sz w:val="24"/>
          <w:szCs w:val="24"/>
          <w:u w:val="single"/>
          <w:lang w:eastAsia="bg-BG"/>
        </w:rPr>
        <w:fldChar w:fldCharType="begin"/>
      </w:r>
      <w:r w:rsidR="00F236D1">
        <w:rPr>
          <w:rFonts w:eastAsia="Times New Roman" w:cs="Times New Roman"/>
          <w:color w:val="0000FF"/>
          <w:sz w:val="24"/>
          <w:szCs w:val="24"/>
          <w:u w:val="single"/>
          <w:lang w:eastAsia="bg-BG"/>
        </w:rPr>
        <w:instrText xml:space="preserve"> HYPERLINK "https://ec.europa.eu</w:instrText>
      </w:r>
      <w:r w:rsidR="00F236D1">
        <w:rPr>
          <w:rFonts w:eastAsia="Times New Roman" w:cs="Times New Roman"/>
          <w:color w:val="0000FF"/>
          <w:sz w:val="24"/>
          <w:szCs w:val="24"/>
          <w:u w:val="single"/>
          <w:lang w:eastAsia="bg-BG"/>
        </w:rPr>
        <w:instrText xml:space="preserve">/info/events/innovation-and-cultural-heritage-2018-mar-20_en" \t "_blank" </w:instrText>
      </w:r>
      <w:r w:rsidR="00F236D1">
        <w:rPr>
          <w:rFonts w:eastAsia="Times New Roman" w:cs="Times New Roman"/>
          <w:color w:val="0000FF"/>
          <w:sz w:val="24"/>
          <w:szCs w:val="24"/>
          <w:u w:val="single"/>
          <w:lang w:eastAsia="bg-BG"/>
        </w:rPr>
        <w:fldChar w:fldCharType="separate"/>
      </w:r>
      <w:r w:rsidRPr="00A414F7">
        <w:rPr>
          <w:rFonts w:eastAsia="Times New Roman" w:cs="Times New Roman"/>
          <w:color w:val="0000FF"/>
          <w:sz w:val="24"/>
          <w:szCs w:val="24"/>
          <w:u w:val="single"/>
          <w:lang w:eastAsia="bg-BG"/>
        </w:rPr>
        <w:t>Heritage</w:t>
      </w:r>
      <w:proofErr w:type="spellEnd"/>
      <w:r w:rsidRPr="00A414F7">
        <w:rPr>
          <w:rFonts w:eastAsia="Times New Roman" w:cs="Times New Roman"/>
          <w:color w:val="0000FF"/>
          <w:sz w:val="24"/>
          <w:szCs w:val="24"/>
          <w:u w:val="single"/>
          <w:lang w:eastAsia="bg-BG"/>
        </w:rPr>
        <w:t xml:space="preserve"> </w:t>
      </w:r>
      <w:proofErr w:type="spellStart"/>
      <w:r w:rsidRPr="00A414F7">
        <w:rPr>
          <w:rFonts w:eastAsia="Times New Roman" w:cs="Times New Roman"/>
          <w:color w:val="0000FF"/>
          <w:sz w:val="24"/>
          <w:szCs w:val="24"/>
          <w:u w:val="single"/>
          <w:lang w:eastAsia="bg-BG"/>
        </w:rPr>
        <w:t>and</w:t>
      </w:r>
      <w:proofErr w:type="spellEnd"/>
      <w:r w:rsidRPr="00A414F7">
        <w:rPr>
          <w:rFonts w:eastAsia="Times New Roman" w:cs="Times New Roman"/>
          <w:color w:val="0000FF"/>
          <w:sz w:val="24"/>
          <w:szCs w:val="24"/>
          <w:u w:val="single"/>
          <w:lang w:eastAsia="bg-BG"/>
        </w:rPr>
        <w:t xml:space="preserve"> </w:t>
      </w:r>
      <w:proofErr w:type="spellStart"/>
      <w:r w:rsidRPr="00A414F7">
        <w:rPr>
          <w:rFonts w:eastAsia="Times New Roman" w:cs="Times New Roman"/>
          <w:color w:val="0000FF"/>
          <w:sz w:val="24"/>
          <w:szCs w:val="24"/>
          <w:u w:val="single"/>
          <w:lang w:eastAsia="bg-BG"/>
        </w:rPr>
        <w:t>Innovation</w:t>
      </w:r>
      <w:proofErr w:type="spellEnd"/>
      <w:r w:rsidR="00F236D1">
        <w:rPr>
          <w:rFonts w:eastAsia="Times New Roman" w:cs="Times New Roman"/>
          <w:color w:val="0000FF"/>
          <w:sz w:val="24"/>
          <w:szCs w:val="24"/>
          <w:u w:val="single"/>
          <w:lang w:eastAsia="bg-BG"/>
        </w:rPr>
        <w:fldChar w:fldCharType="end"/>
      </w:r>
      <w:r w:rsidRPr="00A414F7">
        <w:rPr>
          <w:rFonts w:eastAsia="Times New Roman" w:cs="Times New Roman"/>
          <w:color w:val="4D4D4D"/>
          <w:sz w:val="24"/>
          <w:szCs w:val="24"/>
          <w:lang w:eastAsia="bg-BG"/>
        </w:rPr>
        <w:t xml:space="preserve">' </w:t>
      </w:r>
      <w:proofErr w:type="spellStart"/>
      <w:r w:rsidRPr="00A414F7">
        <w:rPr>
          <w:rFonts w:eastAsia="Times New Roman" w:cs="Times New Roman"/>
          <w:color w:val="4D4D4D"/>
          <w:sz w:val="24"/>
          <w:szCs w:val="24"/>
          <w:lang w:eastAsia="bg-BG"/>
        </w:rPr>
        <w:t>conference</w:t>
      </w:r>
      <w:proofErr w:type="spellEnd"/>
      <w:r w:rsidRPr="00A414F7">
        <w:rPr>
          <w:rFonts w:eastAsia="Times New Roman" w:cs="Times New Roman"/>
          <w:color w:val="4D4D4D"/>
          <w:sz w:val="24"/>
          <w:szCs w:val="24"/>
          <w:lang w:eastAsia="bg-BG"/>
        </w:rPr>
        <w:t xml:space="preserve"> </w:t>
      </w:r>
      <w:proofErr w:type="spellStart"/>
      <w:r w:rsidRPr="00A414F7">
        <w:rPr>
          <w:rFonts w:eastAsia="Times New Roman" w:cs="Times New Roman"/>
          <w:color w:val="4D4D4D"/>
          <w:sz w:val="24"/>
          <w:szCs w:val="24"/>
          <w:lang w:eastAsia="bg-BG"/>
        </w:rPr>
        <w:t>and</w:t>
      </w:r>
      <w:proofErr w:type="spellEnd"/>
      <w:r w:rsidRPr="00A414F7">
        <w:rPr>
          <w:rFonts w:eastAsia="Times New Roman" w:cs="Times New Roman"/>
          <w:color w:val="4D4D4D"/>
          <w:sz w:val="24"/>
          <w:szCs w:val="24"/>
          <w:lang w:eastAsia="bg-BG"/>
        </w:rPr>
        <w:t xml:space="preserve"> </w:t>
      </w:r>
      <w:proofErr w:type="spellStart"/>
      <w:r w:rsidRPr="00A414F7">
        <w:rPr>
          <w:rFonts w:eastAsia="Times New Roman" w:cs="Times New Roman"/>
          <w:color w:val="4D4D4D"/>
          <w:sz w:val="24"/>
          <w:szCs w:val="24"/>
          <w:lang w:eastAsia="bg-BG"/>
        </w:rPr>
        <w:t>will</w:t>
      </w:r>
      <w:proofErr w:type="spellEnd"/>
      <w:r w:rsidRPr="00A414F7">
        <w:rPr>
          <w:rFonts w:eastAsia="Times New Roman" w:cs="Times New Roman"/>
          <w:color w:val="4D4D4D"/>
          <w:sz w:val="24"/>
          <w:szCs w:val="24"/>
          <w:lang w:eastAsia="bg-BG"/>
        </w:rPr>
        <w:t xml:space="preserve"> focus on the next steps and contributions to the </w:t>
      </w:r>
      <w:hyperlink r:id="rId31" w:tgtFrame="_blank" w:history="1">
        <w:r w:rsidRPr="00A414F7">
          <w:rPr>
            <w:rFonts w:eastAsia="Times New Roman" w:cs="Times New Roman"/>
            <w:color w:val="0000FF"/>
            <w:sz w:val="24"/>
            <w:szCs w:val="24"/>
            <w:u w:val="single"/>
            <w:lang w:eastAsia="bg-BG"/>
          </w:rPr>
          <w:t>EU Action Plan on Cultural Heritage</w:t>
        </w:r>
      </w:hyperlink>
      <w:r w:rsidRPr="00A414F7">
        <w:rPr>
          <w:rFonts w:eastAsia="Times New Roman" w:cs="Times New Roman"/>
          <w:color w:val="4D4D4D"/>
          <w:sz w:val="24"/>
          <w:szCs w:val="24"/>
          <w:lang w:eastAsia="bg-BG"/>
        </w:rPr>
        <w:t>. </w:t>
      </w:r>
    </w:p>
    <w:p w:rsidR="00A414F7" w:rsidRPr="00A414F7" w:rsidRDefault="00A414F7" w:rsidP="005B0D4F">
      <w:pPr>
        <w:spacing w:before="100" w:beforeAutospacing="1" w:after="100" w:afterAutospacing="1" w:line="240" w:lineRule="auto"/>
        <w:rPr>
          <w:rFonts w:eastAsia="Times New Roman" w:cs="Times New Roman"/>
          <w:color w:val="4D4D4D"/>
          <w:sz w:val="24"/>
          <w:szCs w:val="24"/>
          <w:lang w:eastAsia="bg-BG"/>
        </w:rPr>
      </w:pPr>
      <w:r w:rsidRPr="00A414F7">
        <w:rPr>
          <w:rFonts w:eastAsia="Times New Roman" w:cs="Times New Roman"/>
          <w:color w:val="4D4D4D"/>
          <w:sz w:val="24"/>
          <w:szCs w:val="24"/>
          <w:lang w:eastAsia="bg-BG"/>
        </w:rPr>
        <w:t>We will showcase the latest innovations in cultural heritage, discussing why they are developed and how they can benefit both the society and the market. We will promote stronger ties between R&amp;I, policies and arts. Our aim is to contribute to an open cultural heritage innovation ecosystem in Europe and beyond.</w:t>
      </w:r>
    </w:p>
    <w:p w:rsidR="00A414F7" w:rsidRPr="00A414F7" w:rsidRDefault="00A414F7" w:rsidP="005B0D4F">
      <w:pPr>
        <w:spacing w:before="100" w:beforeAutospacing="1" w:after="100" w:afterAutospacing="1" w:line="240" w:lineRule="auto"/>
        <w:rPr>
          <w:rFonts w:eastAsia="Times New Roman" w:cs="Times New Roman"/>
          <w:color w:val="4D4D4D"/>
          <w:sz w:val="24"/>
          <w:szCs w:val="24"/>
          <w:lang w:eastAsia="bg-BG"/>
        </w:rPr>
      </w:pPr>
      <w:r w:rsidRPr="00A414F7">
        <w:rPr>
          <w:rFonts w:eastAsia="Times New Roman" w:cs="Times New Roman"/>
          <w:color w:val="4D4D4D"/>
          <w:sz w:val="24"/>
          <w:szCs w:val="24"/>
          <w:lang w:eastAsia="bg-BG"/>
        </w:rPr>
        <w:t>Participants will have the opportunity to join the '</w:t>
      </w:r>
      <w:hyperlink r:id="rId32" w:tgtFrame="_self" w:history="1">
        <w:r w:rsidRPr="00A414F7">
          <w:rPr>
            <w:rFonts w:eastAsia="Times New Roman" w:cs="Times New Roman"/>
            <w:color w:val="0000FF"/>
            <w:sz w:val="24"/>
            <w:szCs w:val="24"/>
            <w:u w:val="single"/>
            <w:lang w:eastAsia="bg-BG"/>
          </w:rPr>
          <w:t xml:space="preserve">Community of </w:t>
        </w:r>
        <w:proofErr w:type="spellStart"/>
        <w:r w:rsidRPr="00A414F7">
          <w:rPr>
            <w:rFonts w:eastAsia="Times New Roman" w:cs="Times New Roman"/>
            <w:color w:val="0000FF"/>
            <w:sz w:val="24"/>
            <w:szCs w:val="24"/>
            <w:u w:val="single"/>
            <w:lang w:eastAsia="bg-BG"/>
          </w:rPr>
          <w:t>Innovators</w:t>
        </w:r>
        <w:proofErr w:type="spellEnd"/>
        <w:r w:rsidRPr="00A414F7">
          <w:rPr>
            <w:rFonts w:eastAsia="Times New Roman" w:cs="Times New Roman"/>
            <w:color w:val="0000FF"/>
            <w:sz w:val="24"/>
            <w:szCs w:val="24"/>
            <w:u w:val="single"/>
            <w:lang w:eastAsia="bg-BG"/>
          </w:rPr>
          <w:t xml:space="preserve"> </w:t>
        </w:r>
        <w:proofErr w:type="spellStart"/>
        <w:r w:rsidRPr="00A414F7">
          <w:rPr>
            <w:rFonts w:eastAsia="Times New Roman" w:cs="Times New Roman"/>
            <w:color w:val="0000FF"/>
            <w:sz w:val="24"/>
            <w:szCs w:val="24"/>
            <w:u w:val="single"/>
            <w:lang w:eastAsia="bg-BG"/>
          </w:rPr>
          <w:t>in</w:t>
        </w:r>
        <w:proofErr w:type="spellEnd"/>
        <w:r w:rsidRPr="00A414F7">
          <w:rPr>
            <w:rFonts w:eastAsia="Times New Roman" w:cs="Times New Roman"/>
            <w:color w:val="0000FF"/>
            <w:sz w:val="24"/>
            <w:szCs w:val="24"/>
            <w:u w:val="single"/>
            <w:lang w:eastAsia="bg-BG"/>
          </w:rPr>
          <w:t xml:space="preserve"> </w:t>
        </w:r>
        <w:proofErr w:type="spellStart"/>
        <w:r w:rsidRPr="00A414F7">
          <w:rPr>
            <w:rFonts w:eastAsia="Times New Roman" w:cs="Times New Roman"/>
            <w:color w:val="0000FF"/>
            <w:sz w:val="24"/>
            <w:szCs w:val="24"/>
            <w:u w:val="single"/>
            <w:lang w:eastAsia="bg-BG"/>
          </w:rPr>
          <w:t>Cultural</w:t>
        </w:r>
        <w:proofErr w:type="spellEnd"/>
        <w:r w:rsidRPr="00A414F7">
          <w:rPr>
            <w:rFonts w:eastAsia="Times New Roman" w:cs="Times New Roman"/>
            <w:color w:val="0000FF"/>
            <w:sz w:val="24"/>
            <w:szCs w:val="24"/>
            <w:u w:val="single"/>
            <w:lang w:eastAsia="bg-BG"/>
          </w:rPr>
          <w:t xml:space="preserve"> </w:t>
        </w:r>
        <w:proofErr w:type="spellStart"/>
        <w:r w:rsidRPr="00A414F7">
          <w:rPr>
            <w:rFonts w:eastAsia="Times New Roman" w:cs="Times New Roman"/>
            <w:color w:val="0000FF"/>
            <w:sz w:val="24"/>
            <w:szCs w:val="24"/>
            <w:u w:val="single"/>
            <w:lang w:eastAsia="bg-BG"/>
          </w:rPr>
          <w:t>Heritage</w:t>
        </w:r>
        <w:proofErr w:type="spellEnd"/>
      </w:hyperlink>
      <w:r w:rsidRPr="00A414F7">
        <w:rPr>
          <w:rFonts w:eastAsia="Times New Roman" w:cs="Times New Roman"/>
          <w:color w:val="4D4D4D"/>
          <w:sz w:val="24"/>
          <w:szCs w:val="24"/>
          <w:lang w:eastAsia="bg-BG"/>
        </w:rPr>
        <w:t xml:space="preserve">' </w:t>
      </w:r>
      <w:proofErr w:type="spellStart"/>
      <w:r w:rsidRPr="00A414F7">
        <w:rPr>
          <w:rFonts w:eastAsia="Times New Roman" w:cs="Times New Roman"/>
          <w:color w:val="4D4D4D"/>
          <w:sz w:val="24"/>
          <w:szCs w:val="24"/>
          <w:lang w:eastAsia="bg-BG"/>
        </w:rPr>
        <w:t>and</w:t>
      </w:r>
      <w:proofErr w:type="spellEnd"/>
      <w:r w:rsidRPr="00A414F7">
        <w:rPr>
          <w:rFonts w:eastAsia="Times New Roman" w:cs="Times New Roman"/>
          <w:color w:val="4D4D4D"/>
          <w:sz w:val="24"/>
          <w:szCs w:val="24"/>
          <w:lang w:eastAsia="bg-BG"/>
        </w:rPr>
        <w:t xml:space="preserve"> </w:t>
      </w:r>
      <w:proofErr w:type="spellStart"/>
      <w:r w:rsidRPr="00A414F7">
        <w:rPr>
          <w:rFonts w:eastAsia="Times New Roman" w:cs="Times New Roman"/>
          <w:color w:val="4D4D4D"/>
          <w:sz w:val="24"/>
          <w:szCs w:val="24"/>
          <w:lang w:eastAsia="bg-BG"/>
        </w:rPr>
        <w:t>its</w:t>
      </w:r>
      <w:proofErr w:type="spellEnd"/>
      <w:r w:rsidRPr="00A414F7">
        <w:rPr>
          <w:rFonts w:eastAsia="Times New Roman" w:cs="Times New Roman"/>
          <w:color w:val="4D4D4D"/>
          <w:sz w:val="24"/>
          <w:szCs w:val="24"/>
          <w:lang w:eastAsia="bg-BG"/>
        </w:rPr>
        <w:t xml:space="preserve"> </w:t>
      </w:r>
      <w:proofErr w:type="spellStart"/>
      <w:r w:rsidRPr="00A414F7">
        <w:rPr>
          <w:rFonts w:eastAsia="Times New Roman" w:cs="Times New Roman"/>
          <w:color w:val="4D4D4D"/>
          <w:sz w:val="24"/>
          <w:szCs w:val="24"/>
          <w:lang w:eastAsia="bg-BG"/>
        </w:rPr>
        <w:t>platform</w:t>
      </w:r>
      <w:proofErr w:type="spellEnd"/>
      <w:r w:rsidRPr="00A414F7">
        <w:rPr>
          <w:rFonts w:eastAsia="Times New Roman" w:cs="Times New Roman"/>
          <w:color w:val="4D4D4D"/>
          <w:sz w:val="24"/>
          <w:szCs w:val="24"/>
          <w:lang w:eastAsia="bg-BG"/>
        </w:rPr>
        <w:t xml:space="preserve"> to engage with innovation providers, users and investors.</w:t>
      </w:r>
    </w:p>
    <w:p w:rsidR="00A414F7" w:rsidRPr="00A414F7" w:rsidRDefault="00A414F7" w:rsidP="005B0D4F">
      <w:pPr>
        <w:spacing w:before="100" w:beforeAutospacing="1" w:after="100" w:afterAutospacing="1" w:line="240" w:lineRule="auto"/>
        <w:rPr>
          <w:rFonts w:eastAsia="Times New Roman" w:cs="Times New Roman"/>
          <w:color w:val="4D4D4D"/>
          <w:sz w:val="24"/>
          <w:szCs w:val="24"/>
          <w:lang w:eastAsia="bg-BG"/>
        </w:rPr>
      </w:pPr>
      <w:r w:rsidRPr="00A414F7">
        <w:rPr>
          <w:rFonts w:eastAsia="Times New Roman" w:cs="Times New Roman"/>
          <w:color w:val="4D4D4D"/>
          <w:sz w:val="24"/>
          <w:szCs w:val="24"/>
          <w:lang w:eastAsia="bg-BG"/>
        </w:rPr>
        <w:t>We will discuss with researchers, innovation providers, policy makers, representatives from cultural institutions, start-ups and incubators, business companies, creatives, pioneers from technology and economics, European institutions representatives. </w:t>
      </w:r>
    </w:p>
    <w:p w:rsidR="00A414F7" w:rsidRPr="00A414F7" w:rsidRDefault="00A414F7" w:rsidP="005B0D4F">
      <w:pPr>
        <w:spacing w:before="100" w:beforeAutospacing="1" w:after="100" w:afterAutospacing="1" w:line="240" w:lineRule="auto"/>
        <w:rPr>
          <w:rFonts w:eastAsia="Times New Roman" w:cs="Times New Roman"/>
          <w:color w:val="4D4D4D"/>
          <w:sz w:val="24"/>
          <w:szCs w:val="24"/>
          <w:lang w:eastAsia="bg-BG"/>
        </w:rPr>
      </w:pPr>
      <w:r w:rsidRPr="00A414F7">
        <w:rPr>
          <w:rFonts w:eastAsia="Times New Roman" w:cs="Times New Roman"/>
          <w:color w:val="4D4D4D"/>
          <w:sz w:val="24"/>
          <w:szCs w:val="24"/>
          <w:lang w:eastAsia="bg-BG"/>
        </w:rPr>
        <w:t xml:space="preserve">We will launch the 'Community of </w:t>
      </w:r>
      <w:proofErr w:type="spellStart"/>
      <w:r w:rsidRPr="00A414F7">
        <w:rPr>
          <w:rFonts w:eastAsia="Times New Roman" w:cs="Times New Roman"/>
          <w:color w:val="4D4D4D"/>
          <w:sz w:val="24"/>
          <w:szCs w:val="24"/>
          <w:lang w:eastAsia="bg-BG"/>
        </w:rPr>
        <w:t>Innovators</w:t>
      </w:r>
      <w:proofErr w:type="spellEnd"/>
      <w:r w:rsidRPr="00A414F7">
        <w:rPr>
          <w:rFonts w:eastAsia="Times New Roman" w:cs="Times New Roman"/>
          <w:color w:val="4D4D4D"/>
          <w:sz w:val="24"/>
          <w:szCs w:val="24"/>
          <w:lang w:eastAsia="bg-BG"/>
        </w:rPr>
        <w:t xml:space="preserve"> </w:t>
      </w:r>
      <w:proofErr w:type="spellStart"/>
      <w:r w:rsidRPr="00A414F7">
        <w:rPr>
          <w:rFonts w:eastAsia="Times New Roman" w:cs="Times New Roman"/>
          <w:color w:val="4D4D4D"/>
          <w:sz w:val="24"/>
          <w:szCs w:val="24"/>
          <w:lang w:eastAsia="bg-BG"/>
        </w:rPr>
        <w:t>in</w:t>
      </w:r>
      <w:proofErr w:type="spellEnd"/>
      <w:r w:rsidRPr="00A414F7">
        <w:rPr>
          <w:rFonts w:eastAsia="Times New Roman" w:cs="Times New Roman"/>
          <w:color w:val="4D4D4D"/>
          <w:sz w:val="24"/>
          <w:szCs w:val="24"/>
          <w:lang w:eastAsia="bg-BG"/>
        </w:rPr>
        <w:t xml:space="preserve"> </w:t>
      </w:r>
      <w:proofErr w:type="spellStart"/>
      <w:r w:rsidRPr="00A414F7">
        <w:rPr>
          <w:rFonts w:eastAsia="Times New Roman" w:cs="Times New Roman"/>
          <w:color w:val="4D4D4D"/>
          <w:sz w:val="24"/>
          <w:szCs w:val="24"/>
          <w:lang w:eastAsia="bg-BG"/>
        </w:rPr>
        <w:t>Cultural</w:t>
      </w:r>
      <w:proofErr w:type="spellEnd"/>
      <w:r w:rsidRPr="00A414F7">
        <w:rPr>
          <w:rFonts w:eastAsia="Times New Roman" w:cs="Times New Roman"/>
          <w:color w:val="4D4D4D"/>
          <w:sz w:val="24"/>
          <w:szCs w:val="24"/>
          <w:lang w:eastAsia="bg-BG"/>
        </w:rPr>
        <w:t xml:space="preserve"> </w:t>
      </w:r>
      <w:proofErr w:type="spellStart"/>
      <w:r w:rsidRPr="00A414F7">
        <w:rPr>
          <w:rFonts w:eastAsia="Times New Roman" w:cs="Times New Roman"/>
          <w:color w:val="4D4D4D"/>
          <w:sz w:val="24"/>
          <w:szCs w:val="24"/>
          <w:lang w:eastAsia="bg-BG"/>
        </w:rPr>
        <w:t>Heritage</w:t>
      </w:r>
      <w:proofErr w:type="spellEnd"/>
      <w:r w:rsidRPr="00A414F7">
        <w:rPr>
          <w:rFonts w:eastAsia="Times New Roman" w:cs="Times New Roman"/>
          <w:color w:val="4D4D4D"/>
          <w:sz w:val="24"/>
          <w:szCs w:val="24"/>
          <w:lang w:eastAsia="bg-BG"/>
        </w:rPr>
        <w:t xml:space="preserve">' </w:t>
      </w:r>
      <w:proofErr w:type="spellStart"/>
      <w:r w:rsidRPr="00A414F7">
        <w:rPr>
          <w:rFonts w:eastAsia="Times New Roman" w:cs="Times New Roman"/>
          <w:color w:val="4D4D4D"/>
          <w:sz w:val="24"/>
          <w:szCs w:val="24"/>
          <w:lang w:eastAsia="bg-BG"/>
        </w:rPr>
        <w:t>and</w:t>
      </w:r>
      <w:proofErr w:type="spellEnd"/>
      <w:r w:rsidRPr="00A414F7">
        <w:rPr>
          <w:rFonts w:eastAsia="Times New Roman" w:cs="Times New Roman"/>
          <w:color w:val="4D4D4D"/>
          <w:sz w:val="24"/>
          <w:szCs w:val="24"/>
          <w:lang w:eastAsia="bg-BG"/>
        </w:rPr>
        <w:t xml:space="preserve"> </w:t>
      </w:r>
      <w:proofErr w:type="spellStart"/>
      <w:r w:rsidRPr="00A414F7">
        <w:rPr>
          <w:rFonts w:eastAsia="Times New Roman" w:cs="Times New Roman"/>
          <w:color w:val="4D4D4D"/>
          <w:sz w:val="24"/>
          <w:szCs w:val="24"/>
          <w:lang w:eastAsia="bg-BG"/>
        </w:rPr>
        <w:t>its</w:t>
      </w:r>
      <w:proofErr w:type="spellEnd"/>
      <w:r w:rsidRPr="00A414F7">
        <w:rPr>
          <w:rFonts w:eastAsia="Times New Roman" w:cs="Times New Roman"/>
          <w:color w:val="4D4D4D"/>
          <w:sz w:val="24"/>
          <w:szCs w:val="24"/>
          <w:lang w:eastAsia="bg-BG"/>
        </w:rPr>
        <w:t xml:space="preserve"> </w:t>
      </w:r>
      <w:proofErr w:type="spellStart"/>
      <w:r w:rsidRPr="00A414F7">
        <w:rPr>
          <w:rFonts w:eastAsia="Times New Roman" w:cs="Times New Roman"/>
          <w:color w:val="4D4D4D"/>
          <w:sz w:val="24"/>
          <w:szCs w:val="24"/>
          <w:lang w:eastAsia="bg-BG"/>
        </w:rPr>
        <w:t>platform</w:t>
      </w:r>
      <w:proofErr w:type="spellEnd"/>
      <w:r w:rsidRPr="00A414F7">
        <w:rPr>
          <w:rFonts w:eastAsia="Times New Roman" w:cs="Times New Roman"/>
          <w:color w:val="4D4D4D"/>
          <w:sz w:val="24"/>
          <w:szCs w:val="24"/>
          <w:lang w:eastAsia="bg-BG"/>
        </w:rPr>
        <w:t>. Artists will be performing during the event.</w:t>
      </w:r>
    </w:p>
    <w:p w:rsidR="00A414F7" w:rsidRPr="00A414F7" w:rsidRDefault="00F236D1" w:rsidP="00A414F7">
      <w:pPr>
        <w:spacing w:before="100" w:beforeAutospacing="1" w:after="100" w:afterAutospacing="1" w:line="240" w:lineRule="auto"/>
        <w:jc w:val="left"/>
        <w:rPr>
          <w:rFonts w:eastAsia="Times New Roman" w:cs="Times New Roman"/>
          <w:color w:val="4D4D4D"/>
          <w:sz w:val="24"/>
          <w:szCs w:val="24"/>
          <w:lang w:eastAsia="bg-BG"/>
        </w:rPr>
      </w:pPr>
      <w:hyperlink r:id="rId33" w:tgtFrame="_blank" w:history="1">
        <w:r w:rsidR="00A414F7" w:rsidRPr="00A414F7">
          <w:rPr>
            <w:rFonts w:eastAsia="Times New Roman" w:cs="Times New Roman"/>
            <w:color w:val="0000FF"/>
            <w:sz w:val="24"/>
            <w:szCs w:val="24"/>
            <w:u w:val="single"/>
            <w:lang w:eastAsia="bg-BG"/>
          </w:rPr>
          <w:t>More information and Registration</w:t>
        </w:r>
      </w:hyperlink>
    </w:p>
    <w:p w:rsidR="00A414F7" w:rsidRPr="00A414F7" w:rsidRDefault="00A414F7" w:rsidP="00A414F7">
      <w:pPr>
        <w:spacing w:after="100" w:afterAutospacing="1"/>
        <w:rPr>
          <w:rFonts w:eastAsia="Calibri" w:cs="Times New Roman"/>
          <w:b/>
          <w:color w:val="E36C0A"/>
          <w:sz w:val="24"/>
          <w:szCs w:val="24"/>
          <w:u w:val="single"/>
        </w:rPr>
      </w:pPr>
      <w:r w:rsidRPr="00A414F7">
        <w:rPr>
          <w:rFonts w:eastAsia="Calibri" w:cs="Times New Roman"/>
          <w:b/>
          <w:bCs/>
          <w:color w:val="E36C0A"/>
          <w:sz w:val="24"/>
          <w:szCs w:val="24"/>
          <w:u w:val="single"/>
          <w:lang w:val="en-GB"/>
        </w:rPr>
        <w:t>13th European Quality Assurance Forum</w:t>
      </w:r>
      <w:r w:rsidRPr="00A414F7">
        <w:rPr>
          <w:rFonts w:eastAsia="Calibri" w:cs="Times New Roman"/>
          <w:b/>
          <w:color w:val="E36C0A"/>
          <w:sz w:val="24"/>
          <w:szCs w:val="24"/>
          <w:u w:val="single"/>
        </w:rPr>
        <w:t>, 15-17 November 2018, Vienna, Austria</w:t>
      </w:r>
    </w:p>
    <w:p w:rsidR="00A414F7" w:rsidRPr="00A414F7" w:rsidRDefault="00A414F7" w:rsidP="00A414F7">
      <w:pPr>
        <w:spacing w:after="120"/>
        <w:rPr>
          <w:rFonts w:eastAsia="Calibri" w:cs="Times New Roman"/>
          <w:sz w:val="24"/>
          <w:szCs w:val="24"/>
          <w:lang w:val="en-GB"/>
        </w:rPr>
      </w:pPr>
      <w:r w:rsidRPr="00A414F7">
        <w:rPr>
          <w:rFonts w:eastAsia="Calibri" w:cs="Times New Roman"/>
          <w:sz w:val="24"/>
          <w:szCs w:val="24"/>
          <w:lang w:val="en-GB"/>
        </w:rPr>
        <w:t>The 13th EQAF will explore how institutions and agencies build quality assurance systems that look at the full range of institutional activities, including learning and teaching, research, governance and administration, and service to society.</w:t>
      </w:r>
    </w:p>
    <w:p w:rsidR="00A414F7" w:rsidRPr="00A414F7" w:rsidRDefault="00A414F7" w:rsidP="00A414F7">
      <w:pPr>
        <w:spacing w:after="120"/>
        <w:rPr>
          <w:rFonts w:eastAsia="Calibri" w:cs="Times New Roman"/>
          <w:sz w:val="24"/>
          <w:szCs w:val="24"/>
        </w:rPr>
      </w:pPr>
      <w:r w:rsidRPr="00A414F7">
        <w:rPr>
          <w:rFonts w:eastAsia="Calibri" w:cs="Times New Roman"/>
          <w:sz w:val="24"/>
          <w:szCs w:val="24"/>
        </w:rPr>
        <w:lastRenderedPageBreak/>
        <w:t>As a tool for supporting the quality of higher education, quality assurance (QA) has in many European higher education systems focused largely on learning and teaching. However, as underlined in the introduction to the Standards and guidelines for quality assurance in the EHEA (ESG), higher education institutions should have QA policies and processes that cover other institutional activities, and in parallel, external QA is increasingly looking into these policies. This edition of EQAF will explore how institutions and QA agencies can build QA systems that encompass a broad range of activities, including learning and teaching, research, governance and administration, and service to society.</w:t>
      </w:r>
    </w:p>
    <w:p w:rsidR="00A414F7" w:rsidRPr="00A414F7" w:rsidRDefault="00A414F7" w:rsidP="00A414F7">
      <w:pPr>
        <w:spacing w:after="120"/>
        <w:rPr>
          <w:rFonts w:eastAsia="Calibri" w:cs="Times New Roman"/>
          <w:sz w:val="24"/>
          <w:szCs w:val="24"/>
        </w:rPr>
      </w:pPr>
      <w:r w:rsidRPr="00A414F7">
        <w:rPr>
          <w:rFonts w:eastAsia="Calibri" w:cs="Times New Roman"/>
          <w:sz w:val="24"/>
          <w:szCs w:val="24"/>
        </w:rPr>
        <w:t>Through a mix of plenary and parallel sessions, the 2018 EQAF, entitled ‘Broadening the scope of QA’, will combine presentations of current developments in QA with discussions on research, policy and practice that will take place in paper sessions and workshops.</w:t>
      </w:r>
    </w:p>
    <w:p w:rsidR="00A414F7" w:rsidRPr="00A414F7" w:rsidRDefault="00A414F7" w:rsidP="00A414F7">
      <w:pPr>
        <w:spacing w:after="120"/>
        <w:rPr>
          <w:rFonts w:eastAsia="Calibri" w:cs="Times New Roman"/>
          <w:sz w:val="24"/>
          <w:szCs w:val="24"/>
        </w:rPr>
      </w:pPr>
      <w:r w:rsidRPr="00A414F7">
        <w:rPr>
          <w:rFonts w:eastAsia="Calibri" w:cs="Times New Roman"/>
          <w:sz w:val="24"/>
          <w:szCs w:val="24"/>
        </w:rPr>
        <w:t xml:space="preserve">Each year EQAF provides a platform for discussion, professional development and exchange of experiences among the main stakeholders in QA. Specifically, the Forum will be of interest to rectors and vice-rectors </w:t>
      </w:r>
      <w:proofErr w:type="spellStart"/>
      <w:r w:rsidRPr="00A414F7">
        <w:rPr>
          <w:rFonts w:eastAsia="Calibri" w:cs="Times New Roman"/>
          <w:sz w:val="24"/>
          <w:szCs w:val="24"/>
        </w:rPr>
        <w:t>responsible</w:t>
      </w:r>
      <w:proofErr w:type="spellEnd"/>
      <w:r w:rsidRPr="00A414F7">
        <w:rPr>
          <w:rFonts w:eastAsia="Calibri" w:cs="Times New Roman"/>
          <w:sz w:val="24"/>
          <w:szCs w:val="24"/>
        </w:rPr>
        <w:t xml:space="preserve"> </w:t>
      </w:r>
      <w:proofErr w:type="spellStart"/>
      <w:r w:rsidRPr="00A414F7">
        <w:rPr>
          <w:rFonts w:eastAsia="Calibri" w:cs="Times New Roman"/>
          <w:sz w:val="24"/>
          <w:szCs w:val="24"/>
        </w:rPr>
        <w:t>for</w:t>
      </w:r>
      <w:proofErr w:type="spellEnd"/>
      <w:r w:rsidRPr="00A414F7">
        <w:rPr>
          <w:rFonts w:eastAsia="Calibri" w:cs="Times New Roman"/>
          <w:sz w:val="24"/>
          <w:szCs w:val="24"/>
        </w:rPr>
        <w:t xml:space="preserve"> QA, QA </w:t>
      </w:r>
      <w:proofErr w:type="spellStart"/>
      <w:r w:rsidRPr="00A414F7">
        <w:rPr>
          <w:rFonts w:eastAsia="Calibri" w:cs="Times New Roman"/>
          <w:sz w:val="24"/>
          <w:szCs w:val="24"/>
        </w:rPr>
        <w:t>officers</w:t>
      </w:r>
      <w:proofErr w:type="spellEnd"/>
      <w:r w:rsidRPr="00A414F7">
        <w:rPr>
          <w:rFonts w:eastAsia="Calibri" w:cs="Times New Roman"/>
          <w:sz w:val="24"/>
          <w:szCs w:val="24"/>
        </w:rPr>
        <w:t xml:space="preserve"> </w:t>
      </w:r>
      <w:proofErr w:type="spellStart"/>
      <w:r w:rsidRPr="00A414F7">
        <w:rPr>
          <w:rFonts w:eastAsia="Calibri" w:cs="Times New Roman"/>
          <w:sz w:val="24"/>
          <w:szCs w:val="24"/>
        </w:rPr>
        <w:t>in</w:t>
      </w:r>
      <w:proofErr w:type="spellEnd"/>
      <w:r w:rsidRPr="00A414F7">
        <w:rPr>
          <w:rFonts w:eastAsia="Calibri" w:cs="Times New Roman"/>
          <w:sz w:val="24"/>
          <w:szCs w:val="24"/>
        </w:rPr>
        <w:t xml:space="preserve"> </w:t>
      </w:r>
      <w:proofErr w:type="spellStart"/>
      <w:r w:rsidRPr="00A414F7">
        <w:rPr>
          <w:rFonts w:eastAsia="Calibri" w:cs="Times New Roman"/>
          <w:sz w:val="24"/>
          <w:szCs w:val="24"/>
        </w:rPr>
        <w:t>higher</w:t>
      </w:r>
      <w:proofErr w:type="spellEnd"/>
      <w:r w:rsidRPr="00A414F7">
        <w:rPr>
          <w:rFonts w:eastAsia="Calibri" w:cs="Times New Roman"/>
          <w:sz w:val="24"/>
          <w:szCs w:val="24"/>
        </w:rPr>
        <w:t xml:space="preserve"> education institutions, students, QA agency staff and researchers working on higher education or the QA field.</w:t>
      </w:r>
    </w:p>
    <w:p w:rsidR="00A414F7" w:rsidRPr="00A414F7" w:rsidRDefault="00F236D1" w:rsidP="00A414F7">
      <w:pPr>
        <w:spacing w:after="100" w:afterAutospacing="1"/>
        <w:rPr>
          <w:rFonts w:eastAsia="Calibri" w:cs="Times New Roman"/>
          <w:color w:val="0000FF"/>
          <w:sz w:val="24"/>
          <w:szCs w:val="24"/>
          <w:u w:val="single"/>
        </w:rPr>
      </w:pPr>
      <w:hyperlink r:id="rId34" w:history="1">
        <w:r w:rsidR="00A414F7" w:rsidRPr="00A414F7">
          <w:rPr>
            <w:rFonts w:eastAsia="Calibri" w:cs="Times New Roman"/>
            <w:color w:val="0000FF"/>
            <w:sz w:val="24"/>
            <w:szCs w:val="24"/>
            <w:u w:val="single"/>
          </w:rPr>
          <w:t>More information and registration</w:t>
        </w:r>
      </w:hyperlink>
    </w:p>
    <w:p w:rsidR="00A414F7" w:rsidRPr="00A414F7" w:rsidRDefault="00A414F7" w:rsidP="00A414F7">
      <w:pPr>
        <w:rPr>
          <w:rFonts w:eastAsia="Calibri" w:cs="Times New Roman"/>
          <w:b/>
          <w:bCs/>
          <w:color w:val="E36C0A"/>
          <w:sz w:val="24"/>
          <w:szCs w:val="24"/>
          <w:u w:val="single"/>
        </w:rPr>
      </w:pPr>
      <w:r w:rsidRPr="00A414F7">
        <w:rPr>
          <w:rFonts w:eastAsia="Calibri" w:cs="Times New Roman"/>
          <w:b/>
          <w:bCs/>
          <w:color w:val="E36C0A"/>
          <w:sz w:val="24"/>
          <w:szCs w:val="24"/>
          <w:u w:val="single"/>
        </w:rPr>
        <w:t>ICPerMed Conference 2018 '</w:t>
      </w:r>
      <w:proofErr w:type="spellStart"/>
      <w:r w:rsidRPr="00A414F7">
        <w:rPr>
          <w:rFonts w:eastAsia="Calibri" w:cs="Times New Roman"/>
          <w:b/>
          <w:bCs/>
          <w:color w:val="E36C0A"/>
          <w:sz w:val="24"/>
          <w:szCs w:val="24"/>
          <w:u w:val="single"/>
        </w:rPr>
        <w:t>Personalised</w:t>
      </w:r>
      <w:proofErr w:type="spellEnd"/>
      <w:r w:rsidRPr="00A414F7">
        <w:rPr>
          <w:rFonts w:eastAsia="Calibri" w:cs="Times New Roman"/>
          <w:b/>
          <w:bCs/>
          <w:color w:val="E36C0A"/>
          <w:sz w:val="24"/>
          <w:szCs w:val="24"/>
          <w:u w:val="single"/>
        </w:rPr>
        <w:t xml:space="preserve"> </w:t>
      </w:r>
      <w:proofErr w:type="spellStart"/>
      <w:r w:rsidRPr="00A414F7">
        <w:rPr>
          <w:rFonts w:eastAsia="Calibri" w:cs="Times New Roman"/>
          <w:b/>
          <w:bCs/>
          <w:color w:val="E36C0A"/>
          <w:sz w:val="24"/>
          <w:szCs w:val="24"/>
          <w:u w:val="single"/>
        </w:rPr>
        <w:t>Medicine</w:t>
      </w:r>
      <w:proofErr w:type="spellEnd"/>
      <w:r w:rsidRPr="00A414F7">
        <w:rPr>
          <w:rFonts w:eastAsia="Calibri" w:cs="Times New Roman"/>
          <w:b/>
          <w:bCs/>
          <w:color w:val="E36C0A"/>
          <w:sz w:val="24"/>
          <w:szCs w:val="24"/>
          <w:u w:val="single"/>
        </w:rPr>
        <w:t xml:space="preserve"> </w:t>
      </w:r>
      <w:proofErr w:type="spellStart"/>
      <w:r w:rsidRPr="00A414F7">
        <w:rPr>
          <w:rFonts w:eastAsia="Calibri" w:cs="Times New Roman"/>
          <w:b/>
          <w:bCs/>
          <w:color w:val="E36C0A"/>
          <w:sz w:val="24"/>
          <w:szCs w:val="24"/>
          <w:u w:val="single"/>
        </w:rPr>
        <w:t>in</w:t>
      </w:r>
      <w:proofErr w:type="spellEnd"/>
      <w:r w:rsidRPr="00A414F7">
        <w:rPr>
          <w:rFonts w:eastAsia="Calibri" w:cs="Times New Roman"/>
          <w:b/>
          <w:bCs/>
          <w:color w:val="E36C0A"/>
          <w:sz w:val="24"/>
          <w:szCs w:val="24"/>
          <w:u w:val="single"/>
        </w:rPr>
        <w:t xml:space="preserve"> </w:t>
      </w:r>
      <w:proofErr w:type="spellStart"/>
      <w:r w:rsidRPr="00A414F7">
        <w:rPr>
          <w:rFonts w:eastAsia="Calibri" w:cs="Times New Roman"/>
          <w:b/>
          <w:bCs/>
          <w:color w:val="E36C0A"/>
          <w:sz w:val="24"/>
          <w:szCs w:val="24"/>
          <w:u w:val="single"/>
        </w:rPr>
        <w:t>Action</w:t>
      </w:r>
      <w:proofErr w:type="spellEnd"/>
      <w:r w:rsidRPr="00A414F7">
        <w:rPr>
          <w:rFonts w:eastAsia="Calibri" w:cs="Times New Roman"/>
          <w:b/>
          <w:bCs/>
          <w:color w:val="E36C0A"/>
          <w:sz w:val="24"/>
          <w:szCs w:val="24"/>
          <w:u w:val="single"/>
        </w:rPr>
        <w:t xml:space="preserve">', 20-21 </w:t>
      </w:r>
      <w:proofErr w:type="spellStart"/>
      <w:r w:rsidRPr="00A414F7">
        <w:rPr>
          <w:rFonts w:eastAsia="Calibri" w:cs="Times New Roman"/>
          <w:b/>
          <w:bCs/>
          <w:color w:val="E36C0A"/>
          <w:sz w:val="24"/>
          <w:szCs w:val="24"/>
          <w:u w:val="single"/>
        </w:rPr>
        <w:t>November</w:t>
      </w:r>
      <w:proofErr w:type="spellEnd"/>
      <w:r w:rsidRPr="00A414F7">
        <w:rPr>
          <w:rFonts w:eastAsia="Calibri" w:cs="Times New Roman"/>
          <w:b/>
          <w:bCs/>
          <w:color w:val="E36C0A"/>
          <w:sz w:val="24"/>
          <w:szCs w:val="24"/>
          <w:u w:val="single"/>
        </w:rPr>
        <w:t xml:space="preserve"> 2018, Berlin, Germany</w:t>
      </w:r>
    </w:p>
    <w:p w:rsidR="00A414F7" w:rsidRPr="00A414F7" w:rsidRDefault="00A414F7" w:rsidP="00A414F7">
      <w:pPr>
        <w:spacing w:after="120"/>
        <w:rPr>
          <w:rFonts w:eastAsia="Calibri" w:cs="Times New Roman"/>
          <w:sz w:val="24"/>
          <w:szCs w:val="24"/>
        </w:rPr>
      </w:pPr>
      <w:r w:rsidRPr="00A414F7">
        <w:rPr>
          <w:rFonts w:eastAsia="Calibri" w:cs="Times New Roman"/>
          <w:sz w:val="24"/>
          <w:szCs w:val="24"/>
        </w:rPr>
        <w:t>The first ICPerMed Conference '</w:t>
      </w:r>
      <w:proofErr w:type="spellStart"/>
      <w:r w:rsidRPr="00A414F7">
        <w:rPr>
          <w:rFonts w:eastAsia="Calibri" w:cs="Times New Roman"/>
          <w:sz w:val="24"/>
          <w:szCs w:val="24"/>
        </w:rPr>
        <w:t>Personalised</w:t>
      </w:r>
      <w:proofErr w:type="spellEnd"/>
      <w:r w:rsidRPr="00A414F7">
        <w:rPr>
          <w:rFonts w:eastAsia="Calibri" w:cs="Times New Roman"/>
          <w:sz w:val="24"/>
          <w:szCs w:val="24"/>
        </w:rPr>
        <w:t xml:space="preserve"> </w:t>
      </w:r>
      <w:proofErr w:type="spellStart"/>
      <w:r w:rsidRPr="00A414F7">
        <w:rPr>
          <w:rFonts w:eastAsia="Calibri" w:cs="Times New Roman"/>
          <w:sz w:val="24"/>
          <w:szCs w:val="24"/>
        </w:rPr>
        <w:t>Medicine</w:t>
      </w:r>
      <w:proofErr w:type="spellEnd"/>
      <w:r w:rsidRPr="00A414F7">
        <w:rPr>
          <w:rFonts w:eastAsia="Calibri" w:cs="Times New Roman"/>
          <w:sz w:val="24"/>
          <w:szCs w:val="24"/>
        </w:rPr>
        <w:t xml:space="preserve"> </w:t>
      </w:r>
      <w:proofErr w:type="spellStart"/>
      <w:r w:rsidRPr="00A414F7">
        <w:rPr>
          <w:rFonts w:eastAsia="Calibri" w:cs="Times New Roman"/>
          <w:sz w:val="24"/>
          <w:szCs w:val="24"/>
        </w:rPr>
        <w:t>in</w:t>
      </w:r>
      <w:proofErr w:type="spellEnd"/>
      <w:r w:rsidRPr="00A414F7">
        <w:rPr>
          <w:rFonts w:eastAsia="Calibri" w:cs="Times New Roman"/>
          <w:sz w:val="24"/>
          <w:szCs w:val="24"/>
        </w:rPr>
        <w:t xml:space="preserve"> </w:t>
      </w:r>
      <w:proofErr w:type="spellStart"/>
      <w:r w:rsidRPr="00A414F7">
        <w:rPr>
          <w:rFonts w:eastAsia="Calibri" w:cs="Times New Roman"/>
          <w:sz w:val="24"/>
          <w:szCs w:val="24"/>
        </w:rPr>
        <w:t>Action</w:t>
      </w:r>
      <w:proofErr w:type="spellEnd"/>
      <w:r w:rsidRPr="00A414F7">
        <w:rPr>
          <w:rFonts w:eastAsia="Calibri" w:cs="Times New Roman"/>
          <w:sz w:val="24"/>
          <w:szCs w:val="24"/>
        </w:rPr>
        <w:t xml:space="preserve">' </w:t>
      </w:r>
      <w:proofErr w:type="spellStart"/>
      <w:r w:rsidRPr="00A414F7">
        <w:rPr>
          <w:rFonts w:eastAsia="Calibri" w:cs="Times New Roman"/>
          <w:sz w:val="24"/>
          <w:szCs w:val="24"/>
        </w:rPr>
        <w:t>will</w:t>
      </w:r>
      <w:proofErr w:type="spellEnd"/>
      <w:r w:rsidRPr="00A414F7">
        <w:rPr>
          <w:rFonts w:eastAsia="Calibri" w:cs="Times New Roman"/>
          <w:sz w:val="24"/>
          <w:szCs w:val="24"/>
        </w:rPr>
        <w:t xml:space="preserve"> </w:t>
      </w:r>
      <w:proofErr w:type="spellStart"/>
      <w:r w:rsidRPr="00A414F7">
        <w:rPr>
          <w:rFonts w:eastAsia="Calibri" w:cs="Times New Roman"/>
          <w:sz w:val="24"/>
          <w:szCs w:val="24"/>
        </w:rPr>
        <w:t>take</w:t>
      </w:r>
      <w:proofErr w:type="spellEnd"/>
      <w:r w:rsidRPr="00A414F7">
        <w:rPr>
          <w:rFonts w:eastAsia="Calibri" w:cs="Times New Roman"/>
          <w:sz w:val="24"/>
          <w:szCs w:val="24"/>
        </w:rPr>
        <w:t xml:space="preserve"> </w:t>
      </w:r>
      <w:proofErr w:type="spellStart"/>
      <w:r w:rsidRPr="00A414F7">
        <w:rPr>
          <w:rFonts w:eastAsia="Calibri" w:cs="Times New Roman"/>
          <w:sz w:val="24"/>
          <w:szCs w:val="24"/>
        </w:rPr>
        <w:t>place</w:t>
      </w:r>
      <w:proofErr w:type="spellEnd"/>
      <w:r w:rsidRPr="00A414F7">
        <w:rPr>
          <w:rFonts w:eastAsia="Calibri" w:cs="Times New Roman"/>
          <w:sz w:val="24"/>
          <w:szCs w:val="24"/>
        </w:rPr>
        <w:t xml:space="preserve"> on 20-21 November 2018 at the dbb forum in Berlin, Germany. </w:t>
      </w:r>
    </w:p>
    <w:p w:rsidR="00A414F7" w:rsidRPr="00A414F7" w:rsidRDefault="00A414F7" w:rsidP="00A414F7">
      <w:pPr>
        <w:rPr>
          <w:rFonts w:eastAsia="Calibri" w:cs="Times New Roman"/>
          <w:sz w:val="24"/>
          <w:szCs w:val="24"/>
        </w:rPr>
      </w:pPr>
      <w:r w:rsidRPr="00A414F7">
        <w:rPr>
          <w:rFonts w:eastAsia="Calibri" w:cs="Times New Roman"/>
          <w:sz w:val="24"/>
          <w:szCs w:val="24"/>
        </w:rPr>
        <w:t xml:space="preserve">The main focus of this conference is to present best practice examples of successful implementation of personalised medicine approaches. This is complemented by high-level keynote talks addressing different aspects of personalised medicine. </w:t>
      </w:r>
    </w:p>
    <w:p w:rsidR="00A414F7" w:rsidRPr="00A414F7" w:rsidRDefault="00F236D1" w:rsidP="00A414F7">
      <w:pPr>
        <w:spacing w:after="240"/>
        <w:rPr>
          <w:rFonts w:eastAsia="Calibri" w:cs="Times New Roman"/>
          <w:sz w:val="24"/>
          <w:szCs w:val="24"/>
        </w:rPr>
      </w:pPr>
      <w:hyperlink r:id="rId35" w:tgtFrame="_blank" w:history="1">
        <w:r w:rsidR="00A414F7" w:rsidRPr="00A414F7">
          <w:rPr>
            <w:rFonts w:eastAsia="Calibri" w:cs="Times New Roman"/>
            <w:color w:val="0000FF"/>
            <w:sz w:val="24"/>
            <w:szCs w:val="24"/>
            <w:u w:val="single"/>
          </w:rPr>
          <w:t>More information and registration</w:t>
        </w:r>
      </w:hyperlink>
    </w:p>
    <w:p w:rsidR="008B1099" w:rsidRPr="00794734" w:rsidRDefault="008B1099" w:rsidP="004C5C0A">
      <w:pPr>
        <w:rPr>
          <w:rFonts w:eastAsia="Calibri" w:cs="Times New Roman"/>
          <w:b/>
          <w:bCs/>
          <w:color w:val="E36C0A" w:themeColor="accent6" w:themeShade="BF"/>
          <w:sz w:val="24"/>
          <w:u w:val="single"/>
        </w:rPr>
      </w:pPr>
      <w:r w:rsidRPr="00794734">
        <w:rPr>
          <w:rFonts w:eastAsia="Calibri" w:cs="Times New Roman"/>
          <w:b/>
          <w:bCs/>
          <w:color w:val="E36C0A" w:themeColor="accent6" w:themeShade="BF"/>
          <w:sz w:val="24"/>
          <w:u w:val="single"/>
        </w:rPr>
        <w:t>Open science conference 2018, Back-to-Back Belgium-European Commission, 21 November 2018, Brussels, Belgium</w:t>
      </w:r>
    </w:p>
    <w:p w:rsidR="008B1099" w:rsidRPr="008B1099" w:rsidRDefault="008B1099" w:rsidP="004C5C0A">
      <w:pPr>
        <w:rPr>
          <w:rFonts w:eastAsia="Calibri" w:cs="Times New Roman"/>
          <w:sz w:val="24"/>
        </w:rPr>
      </w:pPr>
      <w:r w:rsidRPr="008B1099">
        <w:rPr>
          <w:rFonts w:eastAsia="Calibri" w:cs="Times New Roman"/>
          <w:sz w:val="24"/>
        </w:rPr>
        <w:t>Open Science goes beyond open access to publication, encompassing the sharing of open research data and citizen science. It also paves the way for the development of appropriate metrics, incentives and rewards. Since Open Science solutions have to be developed in a coherent way both at national and European level, this conference combines a discussion of the Belgian Open Science policies with debates relating to a H2020 Policy Support Facility Mutual Learning Exercise on Open Science with a prominent European outlook. Special emphasis is put on researchers working in an Open Science environment, skilling, incentivising and rewarding them.</w:t>
      </w:r>
    </w:p>
    <w:p w:rsidR="008B1099" w:rsidRPr="008B1099" w:rsidRDefault="008B1099" w:rsidP="004C5C0A">
      <w:pPr>
        <w:rPr>
          <w:rFonts w:eastAsia="Calibri" w:cs="Times New Roman"/>
          <w:sz w:val="24"/>
        </w:rPr>
      </w:pPr>
      <w:r w:rsidRPr="008B1099">
        <w:rPr>
          <w:rFonts w:eastAsia="Calibri" w:cs="Times New Roman"/>
          <w:b/>
          <w:bCs/>
          <w:sz w:val="24"/>
        </w:rPr>
        <w:t>Venue</w:t>
      </w:r>
      <w:r w:rsidRPr="008B1099">
        <w:rPr>
          <w:rFonts w:eastAsia="Calibri" w:cs="Times New Roman"/>
          <w:sz w:val="24"/>
        </w:rPr>
        <w:t>: Palace of the Academies, Rue Ducale 1, 1000 Brussels</w:t>
      </w:r>
    </w:p>
    <w:p w:rsidR="008B1099" w:rsidRPr="008B1099" w:rsidRDefault="008B1099" w:rsidP="004C5C0A">
      <w:pPr>
        <w:rPr>
          <w:rFonts w:eastAsia="Calibri" w:cs="Times New Roman"/>
          <w:sz w:val="24"/>
        </w:rPr>
      </w:pPr>
      <w:r w:rsidRPr="008B1099">
        <w:rPr>
          <w:rFonts w:eastAsia="Calibri" w:cs="Times New Roman"/>
          <w:b/>
          <w:bCs/>
          <w:sz w:val="24"/>
        </w:rPr>
        <w:t>Further information</w:t>
      </w:r>
      <w:r w:rsidR="004C5C0A">
        <w:rPr>
          <w:rFonts w:eastAsia="Calibri" w:cs="Times New Roman"/>
          <w:b/>
          <w:bCs/>
          <w:sz w:val="24"/>
        </w:rPr>
        <w:t xml:space="preserve"> </w:t>
      </w:r>
      <w:r w:rsidR="004C5C0A">
        <w:rPr>
          <w:rFonts w:eastAsia="Calibri" w:cs="Times New Roman"/>
          <w:b/>
          <w:bCs/>
          <w:sz w:val="24"/>
          <w:lang w:val="en-US"/>
        </w:rPr>
        <w:t xml:space="preserve">and </w:t>
      </w:r>
      <w:hyperlink r:id="rId36" w:tgtFrame="_blank" w:history="1">
        <w:r w:rsidRPr="008B1099">
          <w:rPr>
            <w:rStyle w:val="Hyperlink"/>
            <w:rFonts w:eastAsia="Calibri" w:cs="Times New Roman"/>
            <w:sz w:val="24"/>
          </w:rPr>
          <w:t>Registration</w:t>
        </w:r>
      </w:hyperlink>
    </w:p>
    <w:p w:rsidR="00B9079D" w:rsidRPr="00B9079D" w:rsidRDefault="00B9079D" w:rsidP="007608B6">
      <w:pPr>
        <w:rPr>
          <w:rFonts w:eastAsia="Calibri" w:cs="Times New Roman"/>
          <w:b/>
          <w:color w:val="E36C0A" w:themeColor="accent6" w:themeShade="BF"/>
          <w:sz w:val="24"/>
          <w:u w:val="single"/>
        </w:rPr>
      </w:pPr>
      <w:r w:rsidRPr="00B9079D">
        <w:rPr>
          <w:rFonts w:eastAsia="Calibri" w:cs="Times New Roman"/>
          <w:b/>
          <w:color w:val="E36C0A" w:themeColor="accent6" w:themeShade="BF"/>
          <w:sz w:val="24"/>
          <w:u w:val="single"/>
        </w:rPr>
        <w:lastRenderedPageBreak/>
        <w:t>An Introduction to Innovation Management for Researchers</w:t>
      </w:r>
      <w:r w:rsidRPr="00B9079D">
        <w:rPr>
          <w:rFonts w:eastAsia="Calibri" w:cs="Times New Roman"/>
          <w:b/>
          <w:color w:val="E36C0A" w:themeColor="accent6" w:themeShade="BF"/>
          <w:sz w:val="24"/>
          <w:u w:val="single"/>
          <w:lang w:val="en-US"/>
        </w:rPr>
        <w:t xml:space="preserve"> “</w:t>
      </w:r>
      <w:r w:rsidRPr="00B9079D">
        <w:rPr>
          <w:rFonts w:eastAsia="Calibri" w:cs="Times New Roman"/>
          <w:b/>
          <w:color w:val="E36C0A" w:themeColor="accent6" w:themeShade="BF"/>
          <w:sz w:val="24"/>
          <w:u w:val="single"/>
        </w:rPr>
        <w:t>Creating Value from Knowledge</w:t>
      </w:r>
      <w:r w:rsidRPr="00B9079D">
        <w:rPr>
          <w:rFonts w:eastAsia="Calibri" w:cs="Times New Roman"/>
          <w:b/>
          <w:color w:val="E36C0A" w:themeColor="accent6" w:themeShade="BF"/>
          <w:sz w:val="24"/>
          <w:u w:val="single"/>
          <w:lang w:val="en-US"/>
        </w:rPr>
        <w:t>”, 22 November 2018, Germany</w:t>
      </w:r>
    </w:p>
    <w:p w:rsidR="00B9079D" w:rsidRPr="00B9079D" w:rsidRDefault="00B9079D" w:rsidP="007608B6">
      <w:pPr>
        <w:rPr>
          <w:rFonts w:eastAsia="Calibri" w:cs="Times New Roman"/>
          <w:sz w:val="24"/>
        </w:rPr>
      </w:pPr>
      <w:r w:rsidRPr="00B9079D">
        <w:rPr>
          <w:rFonts w:eastAsia="Calibri" w:cs="Times New Roman"/>
          <w:sz w:val="24"/>
        </w:rPr>
        <w:t xml:space="preserve">Innovation is a term used a lot in the context of research funding, not least now in Horizon 2020, but for many researchers without business experience what this means in practice can pose something of a mystery. This workshop aims to provide a practical understanding of what is involved in translating knowledge, or ideas, into something that can create wealth or opportunity for wider use. Participants will learn to relate to business thinking and to understand what it takes to exploit research results. We will look at the processes and roles involved, from the creation of ideas through to developing business plans. We will </w:t>
      </w:r>
      <w:proofErr w:type="spellStart"/>
      <w:r w:rsidRPr="00B9079D">
        <w:rPr>
          <w:rFonts w:eastAsia="Calibri" w:cs="Times New Roman"/>
          <w:sz w:val="24"/>
        </w:rPr>
        <w:t>explore</w:t>
      </w:r>
      <w:proofErr w:type="spellEnd"/>
      <w:r w:rsidRPr="00B9079D">
        <w:rPr>
          <w:rFonts w:eastAsia="Calibri" w:cs="Times New Roman"/>
          <w:sz w:val="24"/>
        </w:rPr>
        <w:t xml:space="preserve"> </w:t>
      </w:r>
      <w:proofErr w:type="spellStart"/>
      <w:r w:rsidRPr="00B9079D">
        <w:rPr>
          <w:rFonts w:eastAsia="Calibri" w:cs="Times New Roman"/>
          <w:sz w:val="24"/>
        </w:rPr>
        <w:t>how</w:t>
      </w:r>
      <w:proofErr w:type="spellEnd"/>
      <w:r w:rsidRPr="00B9079D">
        <w:rPr>
          <w:rFonts w:eastAsia="Calibri" w:cs="Times New Roman"/>
          <w:sz w:val="24"/>
        </w:rPr>
        <w:t xml:space="preserve"> </w:t>
      </w:r>
      <w:proofErr w:type="spellStart"/>
      <w:r w:rsidRPr="00B9079D">
        <w:rPr>
          <w:rFonts w:eastAsia="Calibri" w:cs="Times New Roman"/>
          <w:sz w:val="24"/>
        </w:rPr>
        <w:t>the</w:t>
      </w:r>
      <w:proofErr w:type="spellEnd"/>
      <w:r w:rsidRPr="00B9079D">
        <w:rPr>
          <w:rFonts w:eastAsia="Calibri" w:cs="Times New Roman"/>
          <w:sz w:val="24"/>
        </w:rPr>
        <w:t xml:space="preserve"> </w:t>
      </w:r>
      <w:proofErr w:type="spellStart"/>
      <w:r w:rsidRPr="00B9079D">
        <w:rPr>
          <w:rFonts w:eastAsia="Calibri" w:cs="Times New Roman"/>
          <w:sz w:val="24"/>
        </w:rPr>
        <w:t>participant’s</w:t>
      </w:r>
      <w:proofErr w:type="spellEnd"/>
      <w:r w:rsidRPr="00B9079D">
        <w:rPr>
          <w:rFonts w:eastAsia="Calibri" w:cs="Times New Roman"/>
          <w:sz w:val="24"/>
        </w:rPr>
        <w:t xml:space="preserve"> </w:t>
      </w:r>
      <w:proofErr w:type="spellStart"/>
      <w:r w:rsidRPr="00B9079D">
        <w:rPr>
          <w:rFonts w:eastAsia="Calibri" w:cs="Times New Roman"/>
          <w:sz w:val="24"/>
        </w:rPr>
        <w:t>own</w:t>
      </w:r>
      <w:proofErr w:type="spellEnd"/>
      <w:r w:rsidRPr="00B9079D">
        <w:rPr>
          <w:rFonts w:eastAsia="Calibri" w:cs="Times New Roman"/>
          <w:sz w:val="24"/>
        </w:rPr>
        <w:t xml:space="preserve"> </w:t>
      </w:r>
      <w:proofErr w:type="spellStart"/>
      <w:r w:rsidRPr="00B9079D">
        <w:rPr>
          <w:rFonts w:eastAsia="Calibri" w:cs="Times New Roman"/>
          <w:sz w:val="24"/>
        </w:rPr>
        <w:t>research</w:t>
      </w:r>
      <w:proofErr w:type="spellEnd"/>
      <w:r w:rsidRPr="00B9079D">
        <w:rPr>
          <w:rFonts w:eastAsia="Calibri" w:cs="Times New Roman"/>
          <w:sz w:val="24"/>
        </w:rPr>
        <w:t xml:space="preserve"> </w:t>
      </w:r>
      <w:proofErr w:type="spellStart"/>
      <w:r w:rsidRPr="00B9079D">
        <w:rPr>
          <w:rFonts w:eastAsia="Calibri" w:cs="Times New Roman"/>
          <w:sz w:val="24"/>
        </w:rPr>
        <w:t>can</w:t>
      </w:r>
      <w:proofErr w:type="spellEnd"/>
      <w:r w:rsidRPr="00B9079D">
        <w:rPr>
          <w:rFonts w:eastAsia="Calibri" w:cs="Times New Roman"/>
          <w:sz w:val="24"/>
        </w:rPr>
        <w:t xml:space="preserve"> </w:t>
      </w:r>
      <w:proofErr w:type="spellStart"/>
      <w:r w:rsidRPr="00B9079D">
        <w:rPr>
          <w:rFonts w:eastAsia="Calibri" w:cs="Times New Roman"/>
          <w:sz w:val="24"/>
        </w:rPr>
        <w:t>be</w:t>
      </w:r>
      <w:proofErr w:type="spellEnd"/>
      <w:r w:rsidRPr="00B9079D">
        <w:rPr>
          <w:rFonts w:eastAsia="Calibri" w:cs="Times New Roman"/>
          <w:sz w:val="24"/>
        </w:rPr>
        <w:t xml:space="preserve"> ‘</w:t>
      </w:r>
      <w:proofErr w:type="spellStart"/>
      <w:r w:rsidRPr="00B9079D">
        <w:rPr>
          <w:rFonts w:eastAsia="Calibri" w:cs="Times New Roman"/>
          <w:sz w:val="24"/>
        </w:rPr>
        <w:t>valorised</w:t>
      </w:r>
      <w:proofErr w:type="spellEnd"/>
      <w:r w:rsidRPr="00B9079D">
        <w:rPr>
          <w:rFonts w:eastAsia="Calibri" w:cs="Times New Roman"/>
          <w:sz w:val="24"/>
        </w:rPr>
        <w:t xml:space="preserve">’, </w:t>
      </w:r>
      <w:proofErr w:type="spellStart"/>
      <w:r w:rsidRPr="00B9079D">
        <w:rPr>
          <w:rFonts w:eastAsia="Calibri" w:cs="Times New Roman"/>
          <w:sz w:val="24"/>
        </w:rPr>
        <w:t>and</w:t>
      </w:r>
      <w:proofErr w:type="spellEnd"/>
      <w:r w:rsidRPr="00B9079D">
        <w:rPr>
          <w:rFonts w:eastAsia="Calibri" w:cs="Times New Roman"/>
          <w:sz w:val="24"/>
        </w:rPr>
        <w:t xml:space="preserve"> </w:t>
      </w:r>
      <w:proofErr w:type="spellStart"/>
      <w:r w:rsidRPr="00B9079D">
        <w:rPr>
          <w:rFonts w:eastAsia="Calibri" w:cs="Times New Roman"/>
          <w:sz w:val="24"/>
        </w:rPr>
        <w:t>consider</w:t>
      </w:r>
      <w:proofErr w:type="spellEnd"/>
      <w:r w:rsidRPr="00B9079D">
        <w:rPr>
          <w:rFonts w:eastAsia="Calibri" w:cs="Times New Roman"/>
          <w:sz w:val="24"/>
        </w:rPr>
        <w:t xml:space="preserve"> </w:t>
      </w:r>
      <w:proofErr w:type="spellStart"/>
      <w:r w:rsidRPr="00B9079D">
        <w:rPr>
          <w:rFonts w:eastAsia="Calibri" w:cs="Times New Roman"/>
          <w:sz w:val="24"/>
        </w:rPr>
        <w:t>what</w:t>
      </w:r>
      <w:proofErr w:type="spellEnd"/>
      <w:r w:rsidRPr="00B9079D">
        <w:rPr>
          <w:rFonts w:eastAsia="Calibri" w:cs="Times New Roman"/>
          <w:sz w:val="24"/>
        </w:rPr>
        <w:t xml:space="preserve"> support structures are available at universities and research organisations to support innovation. The workshop is designed for researchers intending to apply for public funding, but may also be useful for funding advisors who need to know about the practical side to proposal preparation.</w:t>
      </w:r>
    </w:p>
    <w:p w:rsidR="00B9079D" w:rsidRPr="00B9079D" w:rsidRDefault="00B9079D" w:rsidP="007608B6">
      <w:pPr>
        <w:rPr>
          <w:rFonts w:eastAsia="Calibri" w:cs="Times New Roman"/>
          <w:sz w:val="24"/>
        </w:rPr>
      </w:pPr>
      <w:r w:rsidRPr="00B9079D">
        <w:rPr>
          <w:rFonts w:eastAsia="Calibri" w:cs="Times New Roman"/>
          <w:sz w:val="24"/>
        </w:rPr>
        <w:t>The language of presentations will be English.</w:t>
      </w:r>
    </w:p>
    <w:p w:rsidR="00A414F7" w:rsidRPr="00B9079D" w:rsidRDefault="00B9079D" w:rsidP="007608B6">
      <w:pPr>
        <w:rPr>
          <w:rFonts w:eastAsia="Calibri" w:cs="Times New Roman"/>
          <w:sz w:val="24"/>
          <w:lang w:val="en-US"/>
        </w:rPr>
      </w:pPr>
      <w:r w:rsidRPr="00B9079D">
        <w:rPr>
          <w:rFonts w:eastAsia="Calibri" w:cs="Times New Roman"/>
          <w:sz w:val="24"/>
        </w:rPr>
        <w:t xml:space="preserve">Please visit </w:t>
      </w:r>
      <w:hyperlink r:id="rId37" w:history="1">
        <w:r w:rsidRPr="00564516">
          <w:rPr>
            <w:rStyle w:val="Hyperlink"/>
            <w:rFonts w:eastAsia="Calibri" w:cs="Times New Roman"/>
            <w:sz w:val="24"/>
          </w:rPr>
          <w:t>https://tutech.de/en/termine-veranstaltungen/creating-value-from-knowledge/</w:t>
        </w:r>
      </w:hyperlink>
      <w:r>
        <w:rPr>
          <w:rFonts w:eastAsia="Calibri" w:cs="Times New Roman"/>
          <w:sz w:val="24"/>
          <w:lang w:val="en-US"/>
        </w:rPr>
        <w:t xml:space="preserve"> </w:t>
      </w:r>
      <w:r w:rsidRPr="00B9079D">
        <w:rPr>
          <w:rFonts w:eastAsia="Calibri" w:cs="Times New Roman"/>
          <w:sz w:val="24"/>
        </w:rPr>
        <w:t>for further details or contact Mrs. Silke Ludewigs at academy@tutech.de</w:t>
      </w:r>
    </w:p>
    <w:p w:rsidR="005B3691" w:rsidRPr="005B3691" w:rsidRDefault="005B3691" w:rsidP="005B3691">
      <w:pPr>
        <w:spacing w:after="100" w:afterAutospacing="1"/>
        <w:rPr>
          <w:b/>
          <w:bCs/>
          <w:color w:val="E36C0A" w:themeColor="accent6" w:themeShade="BF"/>
          <w:sz w:val="24"/>
          <w:szCs w:val="24"/>
          <w:u w:val="single"/>
        </w:rPr>
      </w:pPr>
      <w:r w:rsidRPr="005B3691">
        <w:rPr>
          <w:b/>
          <w:bCs/>
          <w:color w:val="E36C0A" w:themeColor="accent6" w:themeShade="BF"/>
          <w:sz w:val="24"/>
          <w:szCs w:val="24"/>
          <w:u w:val="single"/>
        </w:rPr>
        <w:t>EU Research and Innovation in our daily life</w:t>
      </w:r>
      <w:r>
        <w:rPr>
          <w:b/>
          <w:bCs/>
          <w:color w:val="E36C0A" w:themeColor="accent6" w:themeShade="BF"/>
          <w:sz w:val="24"/>
          <w:szCs w:val="24"/>
          <w:u w:val="single"/>
        </w:rPr>
        <w:t xml:space="preserve">, </w:t>
      </w:r>
      <w:r w:rsidRPr="005B3691">
        <w:rPr>
          <w:b/>
          <w:bCs/>
          <w:color w:val="E36C0A" w:themeColor="accent6" w:themeShade="BF"/>
          <w:sz w:val="24"/>
          <w:szCs w:val="24"/>
          <w:u w:val="single"/>
        </w:rPr>
        <w:t>27 November 2018, Brussels, Belgium</w:t>
      </w:r>
    </w:p>
    <w:p w:rsidR="005B3691" w:rsidRPr="005B3691" w:rsidRDefault="005B3691" w:rsidP="005B3691">
      <w:pPr>
        <w:spacing w:after="100" w:afterAutospacing="1"/>
        <w:rPr>
          <w:bCs/>
          <w:sz w:val="24"/>
          <w:szCs w:val="24"/>
        </w:rPr>
      </w:pPr>
      <w:r w:rsidRPr="005B3691">
        <w:rPr>
          <w:bCs/>
          <w:sz w:val="24"/>
          <w:szCs w:val="24"/>
        </w:rPr>
        <w:t>Discover how EU research and innovation improves everyday life in an event jointly organised by the European Parliament and the European Commission on 27 November in Brussels. </w:t>
      </w:r>
    </w:p>
    <w:p w:rsidR="005B3691" w:rsidRPr="005B3691" w:rsidRDefault="005B3691" w:rsidP="005B3691">
      <w:pPr>
        <w:spacing w:after="100" w:afterAutospacing="1"/>
        <w:rPr>
          <w:bCs/>
          <w:sz w:val="24"/>
          <w:szCs w:val="24"/>
        </w:rPr>
      </w:pPr>
      <w:r w:rsidRPr="005B3691">
        <w:rPr>
          <w:bCs/>
          <w:sz w:val="24"/>
          <w:szCs w:val="24"/>
        </w:rPr>
        <w:t> Antonio Tajani, President of the European Parliament, and Carlos Moedas, Commissioner for Research, Science and Innovation host the conference “EU Research and Innovation in our daily life”. It brings together key personalities, researchers and politicians to reflect on past and present achievements of EU-funded research and innovation. Speakers will discuss a variety of compelling topics such as health and wellbeing, sustainable environment, safe and secure society, and putting innovation on the market. </w:t>
      </w:r>
    </w:p>
    <w:p w:rsidR="005B3691" w:rsidRPr="005B3691" w:rsidRDefault="005B3691" w:rsidP="005B3691">
      <w:pPr>
        <w:spacing w:after="100" w:afterAutospacing="1"/>
        <w:rPr>
          <w:bCs/>
          <w:sz w:val="24"/>
          <w:szCs w:val="24"/>
        </w:rPr>
      </w:pPr>
      <w:r w:rsidRPr="005B3691">
        <w:rPr>
          <w:bCs/>
          <w:sz w:val="24"/>
          <w:szCs w:val="24"/>
        </w:rPr>
        <w:t>Further information</w:t>
      </w:r>
    </w:p>
    <w:p w:rsidR="005B3691" w:rsidRPr="005B3691" w:rsidRDefault="00F236D1" w:rsidP="005B3691">
      <w:pPr>
        <w:numPr>
          <w:ilvl w:val="0"/>
          <w:numId w:val="29"/>
        </w:numPr>
        <w:spacing w:after="100" w:afterAutospacing="1"/>
        <w:rPr>
          <w:bCs/>
          <w:sz w:val="24"/>
          <w:szCs w:val="24"/>
        </w:rPr>
      </w:pPr>
      <w:hyperlink r:id="rId38" w:tgtFrame="_blank" w:history="1">
        <w:r w:rsidR="005B3691" w:rsidRPr="005B3691">
          <w:rPr>
            <w:rStyle w:val="Hyperlink"/>
            <w:bCs/>
            <w:sz w:val="24"/>
            <w:szCs w:val="24"/>
            <w:u w:val="none"/>
          </w:rPr>
          <w:t>Registration</w:t>
        </w:r>
      </w:hyperlink>
    </w:p>
    <w:p w:rsidR="005B3691" w:rsidRPr="005B3691" w:rsidRDefault="00F236D1" w:rsidP="005B3691">
      <w:pPr>
        <w:numPr>
          <w:ilvl w:val="0"/>
          <w:numId w:val="29"/>
        </w:numPr>
        <w:spacing w:after="100" w:afterAutospacing="1"/>
        <w:rPr>
          <w:bCs/>
          <w:sz w:val="24"/>
          <w:szCs w:val="24"/>
        </w:rPr>
      </w:pPr>
      <w:hyperlink r:id="rId39" w:tgtFrame="_blank" w:history="1">
        <w:r w:rsidR="005B3691" w:rsidRPr="005B3691">
          <w:rPr>
            <w:rStyle w:val="Hyperlink"/>
            <w:bCs/>
            <w:sz w:val="24"/>
            <w:szCs w:val="24"/>
            <w:u w:val="none"/>
          </w:rPr>
          <w:t>Programme</w:t>
        </w:r>
      </w:hyperlink>
    </w:p>
    <w:p w:rsidR="005B3691" w:rsidRPr="005B3691" w:rsidRDefault="00F236D1" w:rsidP="007608B6">
      <w:pPr>
        <w:numPr>
          <w:ilvl w:val="0"/>
          <w:numId w:val="29"/>
        </w:numPr>
        <w:spacing w:after="100" w:afterAutospacing="1"/>
        <w:ind w:left="714" w:hanging="357"/>
        <w:rPr>
          <w:bCs/>
          <w:sz w:val="24"/>
          <w:szCs w:val="24"/>
        </w:rPr>
      </w:pPr>
      <w:hyperlink r:id="rId40" w:tgtFrame="_blank" w:history="1">
        <w:r w:rsidR="005B3691" w:rsidRPr="005B3691">
          <w:rPr>
            <w:rStyle w:val="Hyperlink"/>
            <w:bCs/>
            <w:sz w:val="24"/>
            <w:szCs w:val="24"/>
            <w:u w:val="none"/>
          </w:rPr>
          <w:t>Official website</w:t>
        </w:r>
      </w:hyperlink>
    </w:p>
    <w:p w:rsidR="00A414F7" w:rsidRPr="000148CA" w:rsidRDefault="000148CA" w:rsidP="00FC5246">
      <w:pPr>
        <w:spacing w:after="100" w:afterAutospacing="1"/>
        <w:rPr>
          <w:b/>
          <w:bCs/>
          <w:color w:val="E36C0A" w:themeColor="accent6" w:themeShade="BF"/>
          <w:sz w:val="24"/>
          <w:szCs w:val="24"/>
          <w:u w:val="single"/>
          <w:lang w:val="en-US"/>
        </w:rPr>
      </w:pPr>
      <w:r w:rsidRPr="000148CA">
        <w:rPr>
          <w:b/>
          <w:bCs/>
          <w:color w:val="E36C0A" w:themeColor="accent6" w:themeShade="BF"/>
          <w:sz w:val="24"/>
          <w:szCs w:val="24"/>
          <w:u w:val="single"/>
        </w:rPr>
        <w:t>EFMC Training course "Financial Management of Horizon 2020 Projects: Theoretical and Practical Approach", 5-7 December 2018</w:t>
      </w:r>
      <w:r w:rsidRPr="000148CA">
        <w:rPr>
          <w:b/>
          <w:bCs/>
          <w:color w:val="E36C0A" w:themeColor="accent6" w:themeShade="BF"/>
          <w:sz w:val="24"/>
          <w:szCs w:val="24"/>
          <w:u w:val="single"/>
          <w:lang w:val="en-US"/>
        </w:rPr>
        <w:t>,</w:t>
      </w:r>
      <w:r w:rsidRPr="000148CA">
        <w:rPr>
          <w:b/>
          <w:bCs/>
          <w:color w:val="E36C0A" w:themeColor="accent6" w:themeShade="BF"/>
          <w:sz w:val="24"/>
          <w:szCs w:val="24"/>
          <w:u w:val="single"/>
        </w:rPr>
        <w:t xml:space="preserve"> Berlin</w:t>
      </w:r>
      <w:r w:rsidRPr="000148CA">
        <w:rPr>
          <w:b/>
          <w:bCs/>
          <w:color w:val="E36C0A" w:themeColor="accent6" w:themeShade="BF"/>
          <w:sz w:val="24"/>
          <w:szCs w:val="24"/>
          <w:u w:val="single"/>
          <w:lang w:val="en-US"/>
        </w:rPr>
        <w:t>, Germany</w:t>
      </w:r>
    </w:p>
    <w:p w:rsidR="000148CA" w:rsidRPr="000148CA" w:rsidRDefault="000148CA" w:rsidP="000148CA">
      <w:pPr>
        <w:spacing w:line="300" w:lineRule="atLeast"/>
        <w:rPr>
          <w:rFonts w:eastAsia="Times New Roman" w:cs="Times New Roman"/>
          <w:bCs/>
          <w:iCs/>
          <w:sz w:val="24"/>
          <w:szCs w:val="24"/>
          <w:lang w:eastAsia="bg-BG"/>
        </w:rPr>
      </w:pPr>
      <w:r w:rsidRPr="000148CA">
        <w:rPr>
          <w:rFonts w:eastAsia="Times New Roman" w:cs="Times New Roman"/>
          <w:bCs/>
          <w:iCs/>
          <w:sz w:val="24"/>
          <w:szCs w:val="24"/>
          <w:lang w:eastAsia="bg-BG"/>
        </w:rPr>
        <w:t xml:space="preserve">European Fund Management Consulting (EFMC) offers a 3-day H2020 practical training which is dedicated to the in-depth understanding of fundamentals of financial management of Horizon 2020 projects. Each day is divided into theoretical and practical parts with many opportunities for the participants to ask specific questions related to their businesses and </w:t>
      </w:r>
      <w:r w:rsidRPr="000148CA">
        <w:rPr>
          <w:rFonts w:eastAsia="Times New Roman" w:cs="Times New Roman"/>
          <w:bCs/>
          <w:iCs/>
          <w:sz w:val="24"/>
          <w:szCs w:val="24"/>
          <w:lang w:eastAsia="bg-BG"/>
        </w:rPr>
        <w:lastRenderedPageBreak/>
        <w:t>clarifications of the outstanding issues.</w:t>
      </w:r>
      <w:r>
        <w:rPr>
          <w:rFonts w:eastAsia="Times New Roman" w:cs="Times New Roman"/>
          <w:bCs/>
          <w:iCs/>
          <w:sz w:val="24"/>
          <w:szCs w:val="24"/>
          <w:lang w:val="en-US" w:eastAsia="bg-BG"/>
        </w:rPr>
        <w:t xml:space="preserve"> </w:t>
      </w:r>
      <w:r w:rsidRPr="000148CA">
        <w:rPr>
          <w:rFonts w:eastAsia="Times New Roman" w:cs="Times New Roman"/>
          <w:bCs/>
          <w:iCs/>
          <w:sz w:val="24"/>
          <w:szCs w:val="24"/>
          <w:lang w:eastAsia="bg-BG"/>
        </w:rPr>
        <w:t>The training is led by experienced former auditors of European Institutions.</w:t>
      </w:r>
    </w:p>
    <w:p w:rsidR="000148CA" w:rsidRDefault="000148CA" w:rsidP="000148CA">
      <w:pPr>
        <w:spacing w:after="150" w:line="300" w:lineRule="atLeast"/>
        <w:rPr>
          <w:rFonts w:eastAsia="Times New Roman" w:cs="Times New Roman"/>
          <w:sz w:val="24"/>
          <w:szCs w:val="24"/>
          <w:lang w:val="en-US" w:eastAsia="bg-BG"/>
        </w:rPr>
      </w:pPr>
      <w:r>
        <w:rPr>
          <w:rFonts w:eastAsia="Times New Roman" w:cs="Times New Roman"/>
          <w:sz w:val="24"/>
          <w:szCs w:val="24"/>
          <w:lang w:val="en-US" w:eastAsia="bg-BG"/>
        </w:rPr>
        <w:t>T</w:t>
      </w:r>
      <w:r w:rsidRPr="000148CA">
        <w:rPr>
          <w:rFonts w:eastAsia="Times New Roman" w:cs="Times New Roman"/>
          <w:sz w:val="24"/>
          <w:szCs w:val="24"/>
          <w:lang w:eastAsia="bg-BG"/>
        </w:rPr>
        <w:t xml:space="preserve">he full training course takes place over 3 days. Each day is divided into theoretical and practical parts with many opportunities for the participants to ask specific questions related to their businesses and clarifications of the outstanding issues. The trainings are held all over Europe and the number of seats is limited to 10 – this ensures that all the participants receive answers to their questions. </w:t>
      </w:r>
    </w:p>
    <w:p w:rsidR="000148CA" w:rsidRDefault="000148CA" w:rsidP="000148CA">
      <w:pPr>
        <w:spacing w:after="150" w:line="300" w:lineRule="atLeast"/>
        <w:rPr>
          <w:rFonts w:eastAsia="Times New Roman" w:cs="Times New Roman"/>
          <w:sz w:val="24"/>
          <w:szCs w:val="24"/>
          <w:lang w:val="en-US" w:eastAsia="bg-BG"/>
        </w:rPr>
      </w:pPr>
      <w:r w:rsidRPr="000148CA">
        <w:rPr>
          <w:rFonts w:eastAsia="Times New Roman" w:cs="Times New Roman"/>
          <w:sz w:val="24"/>
          <w:szCs w:val="24"/>
          <w:lang w:eastAsia="bg-BG"/>
        </w:rPr>
        <w:t xml:space="preserve">Training materials are based on the mistakes of hundreds of audited entities and projects, </w:t>
      </w:r>
      <w:proofErr w:type="spellStart"/>
      <w:r w:rsidRPr="000148CA">
        <w:rPr>
          <w:rFonts w:eastAsia="Times New Roman" w:cs="Times New Roman"/>
          <w:sz w:val="24"/>
          <w:szCs w:val="24"/>
          <w:lang w:eastAsia="bg-BG"/>
        </w:rPr>
        <w:t>enriched</w:t>
      </w:r>
      <w:proofErr w:type="spellEnd"/>
      <w:r w:rsidRPr="000148CA">
        <w:rPr>
          <w:rFonts w:eastAsia="Times New Roman" w:cs="Times New Roman"/>
          <w:sz w:val="24"/>
          <w:szCs w:val="24"/>
          <w:lang w:eastAsia="bg-BG"/>
        </w:rPr>
        <w:t xml:space="preserve"> </w:t>
      </w:r>
      <w:proofErr w:type="spellStart"/>
      <w:r w:rsidRPr="000148CA">
        <w:rPr>
          <w:rFonts w:eastAsia="Times New Roman" w:cs="Times New Roman"/>
          <w:sz w:val="24"/>
          <w:szCs w:val="24"/>
          <w:lang w:eastAsia="bg-BG"/>
        </w:rPr>
        <w:t>with</w:t>
      </w:r>
      <w:proofErr w:type="spellEnd"/>
      <w:r w:rsidRPr="000148CA">
        <w:rPr>
          <w:rFonts w:eastAsia="Times New Roman" w:cs="Times New Roman"/>
          <w:sz w:val="24"/>
          <w:szCs w:val="24"/>
          <w:lang w:eastAsia="bg-BG"/>
        </w:rPr>
        <w:t xml:space="preserve"> </w:t>
      </w:r>
      <w:proofErr w:type="spellStart"/>
      <w:r w:rsidRPr="000148CA">
        <w:rPr>
          <w:rFonts w:eastAsia="Times New Roman" w:cs="Times New Roman"/>
          <w:sz w:val="24"/>
          <w:szCs w:val="24"/>
          <w:lang w:eastAsia="bg-BG"/>
        </w:rPr>
        <w:t>the</w:t>
      </w:r>
      <w:proofErr w:type="spellEnd"/>
      <w:r w:rsidRPr="000148CA">
        <w:rPr>
          <w:rFonts w:eastAsia="Times New Roman" w:cs="Times New Roman"/>
          <w:sz w:val="24"/>
          <w:szCs w:val="24"/>
          <w:lang w:eastAsia="bg-BG"/>
        </w:rPr>
        <w:t xml:space="preserve"> </w:t>
      </w:r>
      <w:proofErr w:type="spellStart"/>
      <w:r w:rsidRPr="000148CA">
        <w:rPr>
          <w:rFonts w:eastAsia="Times New Roman" w:cs="Times New Roman"/>
          <w:sz w:val="24"/>
          <w:szCs w:val="24"/>
          <w:lang w:eastAsia="bg-BG"/>
        </w:rPr>
        <w:t>lecturer’s</w:t>
      </w:r>
      <w:proofErr w:type="spellEnd"/>
      <w:r w:rsidRPr="000148CA">
        <w:rPr>
          <w:rFonts w:eastAsia="Times New Roman" w:cs="Times New Roman"/>
          <w:sz w:val="24"/>
          <w:szCs w:val="24"/>
          <w:lang w:eastAsia="bg-BG"/>
        </w:rPr>
        <w:t xml:space="preserve"> </w:t>
      </w:r>
      <w:proofErr w:type="spellStart"/>
      <w:r w:rsidRPr="000148CA">
        <w:rPr>
          <w:rFonts w:eastAsia="Times New Roman" w:cs="Times New Roman"/>
          <w:sz w:val="24"/>
          <w:szCs w:val="24"/>
          <w:lang w:eastAsia="bg-BG"/>
        </w:rPr>
        <w:t>experience</w:t>
      </w:r>
      <w:proofErr w:type="spellEnd"/>
      <w:r w:rsidRPr="000148CA">
        <w:rPr>
          <w:rFonts w:eastAsia="Times New Roman" w:cs="Times New Roman"/>
          <w:sz w:val="24"/>
          <w:szCs w:val="24"/>
          <w:lang w:eastAsia="bg-BG"/>
        </w:rPr>
        <w:t xml:space="preserve"> </w:t>
      </w:r>
      <w:proofErr w:type="spellStart"/>
      <w:r w:rsidRPr="000148CA">
        <w:rPr>
          <w:rFonts w:eastAsia="Times New Roman" w:cs="Times New Roman"/>
          <w:sz w:val="24"/>
          <w:szCs w:val="24"/>
          <w:lang w:eastAsia="bg-BG"/>
        </w:rPr>
        <w:t>and</w:t>
      </w:r>
      <w:proofErr w:type="spellEnd"/>
      <w:r w:rsidRPr="000148CA">
        <w:rPr>
          <w:rFonts w:eastAsia="Times New Roman" w:cs="Times New Roman"/>
          <w:sz w:val="24"/>
          <w:szCs w:val="24"/>
          <w:lang w:eastAsia="bg-BG"/>
        </w:rPr>
        <w:t xml:space="preserve"> </w:t>
      </w:r>
      <w:proofErr w:type="spellStart"/>
      <w:r w:rsidRPr="000148CA">
        <w:rPr>
          <w:rFonts w:eastAsia="Times New Roman" w:cs="Times New Roman"/>
          <w:sz w:val="24"/>
          <w:szCs w:val="24"/>
          <w:lang w:eastAsia="bg-BG"/>
        </w:rPr>
        <w:t>reinforced</w:t>
      </w:r>
      <w:proofErr w:type="spellEnd"/>
      <w:r w:rsidRPr="000148CA">
        <w:rPr>
          <w:rFonts w:eastAsia="Times New Roman" w:cs="Times New Roman"/>
          <w:sz w:val="24"/>
          <w:szCs w:val="24"/>
          <w:lang w:eastAsia="bg-BG"/>
        </w:rPr>
        <w:t xml:space="preserve"> by a mix of learning methods, including lecture-style presentations, open discussions, case studies and group work. The course will acquaint the participants with the most essential financial rules and the EU projects environment from the very basics to the most advanced issues. It includes all the essentials for a solid understanding of the terminology, methods and procedures, and will guide you from the fundamentals, all the way to mastering financial management. </w:t>
      </w:r>
    </w:p>
    <w:p w:rsidR="000148CA" w:rsidRPr="000148CA" w:rsidRDefault="000148CA" w:rsidP="007608B6">
      <w:pPr>
        <w:spacing w:after="100" w:afterAutospacing="1" w:line="300" w:lineRule="atLeast"/>
        <w:rPr>
          <w:rFonts w:eastAsia="Times New Roman" w:cs="Times New Roman"/>
          <w:sz w:val="24"/>
          <w:szCs w:val="24"/>
          <w:lang w:eastAsia="bg-BG"/>
        </w:rPr>
      </w:pPr>
      <w:r w:rsidRPr="000148CA">
        <w:rPr>
          <w:rFonts w:eastAsia="Times New Roman" w:cs="Times New Roman"/>
          <w:sz w:val="24"/>
          <w:szCs w:val="24"/>
          <w:lang w:eastAsia="bg-BG"/>
        </w:rPr>
        <w:t xml:space="preserve">Find out more information about the training course: </w:t>
      </w:r>
      <w:hyperlink r:id="rId41" w:history="1">
        <w:r w:rsidRPr="000148CA">
          <w:rPr>
            <w:rFonts w:eastAsia="Times New Roman" w:cs="Times New Roman"/>
            <w:color w:val="027AC6"/>
            <w:sz w:val="24"/>
            <w:szCs w:val="24"/>
            <w:u w:val="single"/>
            <w:lang w:eastAsia="bg-BG"/>
          </w:rPr>
          <w:t>https://efmc.eu/trainings/about-training/</w:t>
        </w:r>
      </w:hyperlink>
    </w:p>
    <w:p w:rsidR="003A5C64" w:rsidRPr="003A5C64" w:rsidRDefault="003A5C64" w:rsidP="003A5C64">
      <w:pPr>
        <w:spacing w:after="100" w:afterAutospacing="1"/>
        <w:rPr>
          <w:b/>
          <w:bCs/>
          <w:color w:val="E36C0A" w:themeColor="accent6" w:themeShade="BF"/>
          <w:sz w:val="24"/>
          <w:szCs w:val="24"/>
          <w:u w:val="single"/>
        </w:rPr>
      </w:pPr>
      <w:r w:rsidRPr="003A5C64">
        <w:rPr>
          <w:b/>
          <w:bCs/>
          <w:color w:val="E36C0A" w:themeColor="accent6" w:themeShade="BF"/>
          <w:sz w:val="24"/>
          <w:szCs w:val="24"/>
          <w:u w:val="single"/>
        </w:rPr>
        <w:t>2019 Infoday, Ensuring Excellent Research by Investing in Researchers Talents, Skills and Career Development</w:t>
      </w:r>
      <w:r>
        <w:rPr>
          <w:b/>
          <w:bCs/>
          <w:color w:val="E36C0A" w:themeColor="accent6" w:themeShade="BF"/>
          <w:sz w:val="24"/>
          <w:szCs w:val="24"/>
          <w:u w:val="single"/>
        </w:rPr>
        <w:t xml:space="preserve">, </w:t>
      </w:r>
      <w:r w:rsidRPr="003A5C64">
        <w:rPr>
          <w:b/>
          <w:bCs/>
          <w:color w:val="E36C0A" w:themeColor="accent6" w:themeShade="BF"/>
          <w:sz w:val="24"/>
          <w:szCs w:val="24"/>
          <w:u w:val="single"/>
        </w:rPr>
        <w:t>29 January 2019, Brussels, Belgium</w:t>
      </w:r>
    </w:p>
    <w:p w:rsidR="003A5C64" w:rsidRPr="007608B6" w:rsidRDefault="003A5C64" w:rsidP="007608B6">
      <w:pPr>
        <w:spacing w:before="100" w:beforeAutospacing="1" w:after="100" w:afterAutospacing="1" w:line="240" w:lineRule="auto"/>
        <w:rPr>
          <w:rFonts w:eastAsia="Times New Roman" w:cs="Times New Roman"/>
          <w:sz w:val="24"/>
          <w:szCs w:val="24"/>
          <w:lang w:eastAsia="bg-BG"/>
        </w:rPr>
      </w:pPr>
      <w:r w:rsidRPr="007608B6">
        <w:rPr>
          <w:rFonts w:eastAsia="Times New Roman" w:cs="Times New Roman"/>
          <w:sz w:val="24"/>
          <w:szCs w:val="24"/>
          <w:lang w:eastAsia="bg-BG"/>
        </w:rPr>
        <w:t>Implementing the Human Resources Strategy to comply with art. 32 of the H2020 multi-beneficiary grant agreement</w:t>
      </w:r>
    </w:p>
    <w:p w:rsidR="003A5C64" w:rsidRPr="007608B6" w:rsidRDefault="003A5C64" w:rsidP="007608B6">
      <w:pPr>
        <w:spacing w:before="100" w:beforeAutospacing="1" w:after="100" w:afterAutospacing="1" w:line="240" w:lineRule="auto"/>
        <w:rPr>
          <w:rFonts w:eastAsia="Times New Roman" w:cs="Times New Roman"/>
          <w:sz w:val="24"/>
          <w:szCs w:val="24"/>
          <w:lang w:eastAsia="bg-BG"/>
        </w:rPr>
      </w:pPr>
      <w:proofErr w:type="spellStart"/>
      <w:r w:rsidRPr="007608B6">
        <w:rPr>
          <w:rFonts w:eastAsia="Times New Roman" w:cs="Times New Roman"/>
          <w:sz w:val="24"/>
          <w:szCs w:val="24"/>
          <w:lang w:eastAsia="bg-BG"/>
        </w:rPr>
        <w:t>This</w:t>
      </w:r>
      <w:proofErr w:type="spellEnd"/>
      <w:r w:rsidRPr="007608B6">
        <w:rPr>
          <w:rFonts w:eastAsia="Times New Roman" w:cs="Times New Roman"/>
          <w:sz w:val="24"/>
          <w:szCs w:val="24"/>
          <w:lang w:eastAsia="bg-BG"/>
        </w:rPr>
        <w:t xml:space="preserve"> INFO-DAY </w:t>
      </w:r>
      <w:proofErr w:type="spellStart"/>
      <w:r w:rsidRPr="007608B6">
        <w:rPr>
          <w:rFonts w:eastAsia="Times New Roman" w:cs="Times New Roman"/>
          <w:sz w:val="24"/>
          <w:szCs w:val="24"/>
          <w:lang w:eastAsia="bg-BG"/>
        </w:rPr>
        <w:t>addresses</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newcomer</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universities</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research</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institutions</w:t>
      </w:r>
      <w:proofErr w:type="spellEnd"/>
      <w:r w:rsidRPr="007608B6">
        <w:rPr>
          <w:rFonts w:eastAsia="Times New Roman" w:cs="Times New Roman"/>
          <w:sz w:val="24"/>
          <w:szCs w:val="24"/>
          <w:lang w:eastAsia="bg-BG"/>
        </w:rPr>
        <w:t xml:space="preserve"> and research </w:t>
      </w:r>
      <w:proofErr w:type="spellStart"/>
      <w:r w:rsidRPr="007608B6">
        <w:rPr>
          <w:rFonts w:eastAsia="Times New Roman" w:cs="Times New Roman"/>
          <w:sz w:val="24"/>
          <w:szCs w:val="24"/>
          <w:lang w:eastAsia="bg-BG"/>
        </w:rPr>
        <w:t>funders</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investing</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in</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researchers</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talents</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skills</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and</w:t>
      </w:r>
      <w:proofErr w:type="spellEnd"/>
      <w:r w:rsidRPr="007608B6">
        <w:rPr>
          <w:rFonts w:eastAsia="Times New Roman" w:cs="Times New Roman"/>
          <w:sz w:val="24"/>
          <w:szCs w:val="24"/>
          <w:lang w:eastAsia="bg-BG"/>
        </w:rPr>
        <w:t xml:space="preserve"> career development by implementing the 40 principles of the 'European Charter for Researchers and the Code of Conduct for the </w:t>
      </w:r>
      <w:proofErr w:type="spellStart"/>
      <w:r w:rsidRPr="007608B6">
        <w:rPr>
          <w:rFonts w:eastAsia="Times New Roman" w:cs="Times New Roman"/>
          <w:sz w:val="24"/>
          <w:szCs w:val="24"/>
          <w:lang w:eastAsia="bg-BG"/>
        </w:rPr>
        <w:t>Recruitment</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of</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Researchers</w:t>
      </w:r>
      <w:proofErr w:type="spellEnd"/>
      <w:r w:rsidRPr="007608B6">
        <w:rPr>
          <w:rFonts w:eastAsia="Times New Roman" w:cs="Times New Roman"/>
          <w:sz w:val="24"/>
          <w:szCs w:val="24"/>
          <w:lang w:eastAsia="bg-BG"/>
        </w:rPr>
        <w:t xml:space="preserve"> (C&amp;C)'.</w:t>
      </w:r>
    </w:p>
    <w:p w:rsidR="003A5C64" w:rsidRPr="007608B6" w:rsidRDefault="003A5C64" w:rsidP="007608B6">
      <w:pPr>
        <w:spacing w:before="100" w:beforeAutospacing="1" w:after="100" w:afterAutospacing="1" w:line="240" w:lineRule="auto"/>
        <w:rPr>
          <w:rFonts w:eastAsia="Times New Roman" w:cs="Times New Roman"/>
          <w:sz w:val="24"/>
          <w:szCs w:val="24"/>
          <w:lang w:eastAsia="bg-BG"/>
        </w:rPr>
      </w:pPr>
      <w:r w:rsidRPr="007608B6">
        <w:rPr>
          <w:rFonts w:eastAsia="Times New Roman" w:cs="Times New Roman"/>
          <w:sz w:val="24"/>
          <w:szCs w:val="24"/>
          <w:lang w:eastAsia="bg-BG"/>
        </w:rPr>
        <w:t xml:space="preserve">It also addresses beneficiaries and potential applicants of H2020 contracts/projects who have to comply with article 32 stipulating the need to take measures to implement the European </w:t>
      </w:r>
      <w:proofErr w:type="spellStart"/>
      <w:r w:rsidRPr="007608B6">
        <w:rPr>
          <w:rFonts w:eastAsia="Times New Roman" w:cs="Times New Roman"/>
          <w:sz w:val="24"/>
          <w:szCs w:val="24"/>
          <w:lang w:eastAsia="bg-BG"/>
        </w:rPr>
        <w:t>Charter</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and</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Code</w:t>
      </w:r>
      <w:proofErr w:type="spellEnd"/>
      <w:r w:rsidRPr="007608B6">
        <w:rPr>
          <w:rFonts w:eastAsia="Times New Roman" w:cs="Times New Roman"/>
          <w:sz w:val="24"/>
          <w:szCs w:val="24"/>
          <w:lang w:eastAsia="bg-BG"/>
        </w:rPr>
        <w:t xml:space="preserve"> (C&amp;C) </w:t>
      </w:r>
      <w:proofErr w:type="spellStart"/>
      <w:r w:rsidRPr="007608B6">
        <w:rPr>
          <w:rFonts w:eastAsia="Times New Roman" w:cs="Times New Roman"/>
          <w:sz w:val="24"/>
          <w:szCs w:val="24"/>
          <w:lang w:eastAsia="bg-BG"/>
        </w:rPr>
        <w:t>for</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the</w:t>
      </w:r>
      <w:proofErr w:type="spellEnd"/>
      <w:r w:rsidRPr="007608B6">
        <w:rPr>
          <w:rFonts w:eastAsia="Times New Roman" w:cs="Times New Roman"/>
          <w:sz w:val="24"/>
          <w:szCs w:val="24"/>
          <w:lang w:eastAsia="bg-BG"/>
        </w:rPr>
        <w:t xml:space="preserve"> </w:t>
      </w:r>
      <w:proofErr w:type="spellStart"/>
      <w:r w:rsidRPr="007608B6">
        <w:rPr>
          <w:rFonts w:eastAsia="Times New Roman" w:cs="Times New Roman"/>
          <w:sz w:val="24"/>
          <w:szCs w:val="24"/>
          <w:lang w:eastAsia="bg-BG"/>
        </w:rPr>
        <w:t>benefit</w:t>
      </w:r>
      <w:proofErr w:type="spellEnd"/>
      <w:r w:rsidRPr="007608B6">
        <w:rPr>
          <w:rFonts w:eastAsia="Times New Roman" w:cs="Times New Roman"/>
          <w:sz w:val="24"/>
          <w:szCs w:val="24"/>
          <w:lang w:eastAsia="bg-BG"/>
        </w:rPr>
        <w:t xml:space="preserve"> of all researchers and their institution.</w:t>
      </w:r>
    </w:p>
    <w:p w:rsidR="003A5C64" w:rsidRPr="007608B6" w:rsidRDefault="003A5C64" w:rsidP="007608B6">
      <w:pPr>
        <w:spacing w:before="100" w:beforeAutospacing="1" w:after="100" w:afterAutospacing="1" w:line="240" w:lineRule="auto"/>
        <w:rPr>
          <w:rFonts w:eastAsia="Times New Roman" w:cs="Times New Roman"/>
          <w:sz w:val="24"/>
          <w:szCs w:val="24"/>
          <w:lang w:eastAsia="bg-BG"/>
        </w:rPr>
      </w:pPr>
      <w:r w:rsidRPr="007608B6">
        <w:rPr>
          <w:rFonts w:eastAsia="Times New Roman" w:cs="Times New Roman"/>
          <w:sz w:val="24"/>
          <w:szCs w:val="24"/>
          <w:lang w:eastAsia="bg-BG"/>
        </w:rPr>
        <w:t>It also brings forward policy issues related to skills and talent management in an Open Science environment closely linked to the European Framework for Research Careers.</w:t>
      </w:r>
    </w:p>
    <w:p w:rsidR="003A5C64" w:rsidRPr="007608B6" w:rsidRDefault="003A5C64" w:rsidP="007608B6">
      <w:pPr>
        <w:spacing w:before="100" w:beforeAutospacing="1" w:after="100" w:afterAutospacing="1" w:line="240" w:lineRule="auto"/>
        <w:rPr>
          <w:rFonts w:eastAsia="Times New Roman" w:cs="Times New Roman"/>
          <w:sz w:val="24"/>
          <w:szCs w:val="24"/>
          <w:lang w:eastAsia="bg-BG"/>
        </w:rPr>
      </w:pPr>
      <w:r w:rsidRPr="007608B6">
        <w:rPr>
          <w:rFonts w:eastAsia="Times New Roman" w:cs="Times New Roman"/>
          <w:sz w:val="24"/>
          <w:szCs w:val="24"/>
          <w:lang w:eastAsia="bg-BG"/>
        </w:rPr>
        <w:t>Seven invited high-level speakers from different European research or funding institutions will evidence benefits and impact, showcase improved training opportunities, career development and talents and skills management in their respective institutions.</w:t>
      </w:r>
    </w:p>
    <w:p w:rsidR="003A5C64" w:rsidRPr="00502B11" w:rsidRDefault="00F236D1" w:rsidP="007608B6">
      <w:pPr>
        <w:spacing w:before="100" w:beforeAutospacing="1" w:after="100" w:afterAutospacing="1" w:line="240" w:lineRule="auto"/>
        <w:jc w:val="left"/>
        <w:rPr>
          <w:rFonts w:eastAsia="Times New Roman" w:cs="Times New Roman"/>
          <w:color w:val="4D4D4D"/>
          <w:sz w:val="24"/>
          <w:szCs w:val="24"/>
          <w:lang w:eastAsia="bg-BG"/>
        </w:rPr>
      </w:pPr>
      <w:hyperlink r:id="rId42" w:tgtFrame="_blank" w:history="1">
        <w:r w:rsidR="003A5C64" w:rsidRPr="00502B11">
          <w:rPr>
            <w:rFonts w:eastAsia="Times New Roman" w:cs="Times New Roman"/>
            <w:color w:val="0000FF"/>
            <w:sz w:val="24"/>
            <w:szCs w:val="24"/>
            <w:u w:val="single"/>
            <w:lang w:eastAsia="bg-BG"/>
          </w:rPr>
          <w:t>More information and registration</w:t>
        </w:r>
      </w:hyperlink>
    </w:p>
    <w:p w:rsidR="00502B11" w:rsidRPr="009E3BC5" w:rsidRDefault="00F236D1" w:rsidP="00644F5B">
      <w:pPr>
        <w:rPr>
          <w:b/>
          <w:color w:val="E36C0A" w:themeColor="accent6" w:themeShade="BF"/>
          <w:sz w:val="24"/>
          <w:szCs w:val="24"/>
          <w:u w:val="single"/>
          <w:lang w:val="en-GB"/>
        </w:rPr>
      </w:pPr>
      <w:hyperlink r:id="rId43" w:history="1">
        <w:r w:rsidR="00502B11" w:rsidRPr="009E3BC5">
          <w:rPr>
            <w:rStyle w:val="Hyperlink"/>
            <w:rFonts w:cs="Times New Roman"/>
            <w:b/>
            <w:color w:val="E36C0A" w:themeColor="accent6" w:themeShade="BF"/>
            <w:sz w:val="24"/>
            <w:szCs w:val="24"/>
            <w:lang w:val="en-GB"/>
          </w:rPr>
          <w:t>2019 European Learning &amp; Teaching Forum</w:t>
        </w:r>
      </w:hyperlink>
      <w:r w:rsidR="00502B11" w:rsidRPr="009E3BC5">
        <w:rPr>
          <w:b/>
          <w:color w:val="E36C0A" w:themeColor="accent6" w:themeShade="BF"/>
          <w:sz w:val="24"/>
          <w:szCs w:val="24"/>
          <w:u w:val="single"/>
        </w:rPr>
        <w:t xml:space="preserve"> </w:t>
      </w:r>
      <w:r w:rsidR="00502B11" w:rsidRPr="009E3BC5">
        <w:rPr>
          <w:b/>
          <w:color w:val="E36C0A" w:themeColor="accent6" w:themeShade="BF"/>
          <w:sz w:val="24"/>
          <w:szCs w:val="24"/>
          <w:u w:val="single"/>
          <w:lang w:val="en-GB"/>
        </w:rPr>
        <w:t xml:space="preserve">Towards successful learning: Controversies and common ground, </w:t>
      </w:r>
      <w:r w:rsidR="00502B11" w:rsidRPr="009E3BC5">
        <w:rPr>
          <w:rStyle w:val="metadate2"/>
          <w:rFonts w:cs="Times New Roman"/>
          <w:b/>
          <w:caps/>
          <w:color w:val="E36C0A" w:themeColor="accent6" w:themeShade="BF"/>
          <w:sz w:val="24"/>
          <w:szCs w:val="24"/>
          <w:u w:val="single"/>
          <w:lang w:val="en-GB"/>
        </w:rPr>
        <w:t xml:space="preserve">14 - 15 </w:t>
      </w:r>
      <w:r w:rsidR="00502B11" w:rsidRPr="009E3BC5">
        <w:rPr>
          <w:rStyle w:val="metadate2"/>
          <w:rFonts w:cs="Times New Roman"/>
          <w:b/>
          <w:color w:val="E36C0A" w:themeColor="accent6" w:themeShade="BF"/>
          <w:sz w:val="24"/>
          <w:szCs w:val="24"/>
          <w:u w:val="single"/>
          <w:lang w:val="en-GB"/>
        </w:rPr>
        <w:t xml:space="preserve">February 2019, </w:t>
      </w:r>
      <w:proofErr w:type="gramStart"/>
      <w:r w:rsidR="00502B11" w:rsidRPr="009E3BC5">
        <w:rPr>
          <w:rStyle w:val="metalocation3"/>
          <w:rFonts w:cs="Times New Roman"/>
          <w:b/>
          <w:color w:val="E36C0A" w:themeColor="accent6" w:themeShade="BF"/>
          <w:sz w:val="24"/>
          <w:szCs w:val="24"/>
          <w:u w:val="single"/>
          <w:lang w:val="en-GB"/>
        </w:rPr>
        <w:t>Warsaw ,</w:t>
      </w:r>
      <w:proofErr w:type="gramEnd"/>
      <w:r w:rsidR="00502B11" w:rsidRPr="009E3BC5">
        <w:rPr>
          <w:rStyle w:val="metalocation3"/>
          <w:rFonts w:cs="Times New Roman"/>
          <w:b/>
          <w:color w:val="E36C0A" w:themeColor="accent6" w:themeShade="BF"/>
          <w:sz w:val="24"/>
          <w:szCs w:val="24"/>
          <w:u w:val="single"/>
          <w:lang w:val="en-GB"/>
        </w:rPr>
        <w:t xml:space="preserve"> Poland </w:t>
      </w:r>
    </w:p>
    <w:p w:rsidR="00502B11" w:rsidRPr="00502B11" w:rsidRDefault="00502B11" w:rsidP="00502B11">
      <w:pPr>
        <w:spacing w:beforeAutospacing="1" w:afterAutospacing="1"/>
        <w:ind w:right="-612"/>
        <w:rPr>
          <w:rFonts w:cs="Times New Roman"/>
          <w:sz w:val="24"/>
          <w:szCs w:val="24"/>
          <w:lang w:val="en-GB"/>
        </w:rPr>
      </w:pPr>
      <w:r w:rsidRPr="00502B11">
        <w:rPr>
          <w:rFonts w:cs="Times New Roman"/>
          <w:sz w:val="24"/>
          <w:szCs w:val="24"/>
          <w:lang w:val="en-GB"/>
        </w:rPr>
        <w:t xml:space="preserve">The 2019 European Learning &amp; Teaching Forum ‘Towards successful learning: Controversies and common ground’ builds on the recognition that there is no one-size-fits-all solution for successful learning and </w:t>
      </w:r>
      <w:proofErr w:type="spellStart"/>
      <w:r w:rsidRPr="00502B11">
        <w:rPr>
          <w:rFonts w:cs="Times New Roman"/>
          <w:sz w:val="24"/>
          <w:szCs w:val="24"/>
          <w:lang w:val="en-GB"/>
        </w:rPr>
        <w:t>and</w:t>
      </w:r>
      <w:proofErr w:type="spellEnd"/>
      <w:r w:rsidRPr="00502B11">
        <w:rPr>
          <w:rFonts w:cs="Times New Roman"/>
          <w:sz w:val="24"/>
          <w:szCs w:val="24"/>
          <w:lang w:val="en-GB"/>
        </w:rPr>
        <w:t xml:space="preserve"> teaching.</w:t>
      </w:r>
    </w:p>
    <w:p w:rsidR="00502B11" w:rsidRPr="00502B11" w:rsidRDefault="00502B11" w:rsidP="00502B11">
      <w:pPr>
        <w:spacing w:after="150" w:line="300" w:lineRule="atLeast"/>
        <w:rPr>
          <w:rFonts w:eastAsia="Times New Roman" w:cs="Times New Roman"/>
          <w:sz w:val="24"/>
          <w:szCs w:val="24"/>
          <w:lang w:val="en-GB" w:eastAsia="bg-BG"/>
        </w:rPr>
      </w:pPr>
      <w:r w:rsidRPr="00502B11">
        <w:rPr>
          <w:rFonts w:eastAsia="Times New Roman" w:cs="Times New Roman"/>
          <w:sz w:val="24"/>
          <w:szCs w:val="24"/>
          <w:lang w:val="en-GB" w:eastAsia="bg-BG"/>
        </w:rPr>
        <w:lastRenderedPageBreak/>
        <w:t>Through a mix of plenary and parallel sessions, the Forum seeks to explore controversies and find common ground on how to engage and empower students and teachers in developing their learning and teaching. More specifically, drawing on the work of the EUA thematic peer groups in 2018, participants will be invited to reflect on how to facilitate better learning in European universities through institutional promotion of active learning; support for teachers to develop their teaching skills and engage in exchange of experience; promotion of career progression in teaching; and rethinking how learning and teaching is evaluated.</w:t>
      </w:r>
    </w:p>
    <w:p w:rsidR="00502B11" w:rsidRPr="00502B11" w:rsidRDefault="00502B11" w:rsidP="00502B11">
      <w:pPr>
        <w:spacing w:after="150" w:line="300" w:lineRule="atLeast"/>
        <w:rPr>
          <w:rFonts w:eastAsia="Times New Roman" w:cs="Times New Roman"/>
          <w:sz w:val="24"/>
          <w:szCs w:val="24"/>
          <w:lang w:val="en-GB" w:eastAsia="bg-BG"/>
        </w:rPr>
      </w:pPr>
      <w:r w:rsidRPr="00502B11">
        <w:rPr>
          <w:rFonts w:eastAsia="Times New Roman" w:cs="Times New Roman"/>
          <w:sz w:val="24"/>
          <w:szCs w:val="24"/>
          <w:lang w:val="en-GB" w:eastAsia="bg-BG"/>
        </w:rPr>
        <w:t>The 2019 Forum will be hosted by the University of Warsaw, Poland on 14-15 February 2019. Its primary target audience are vice-rectors for academic affairs, deans, programme directors, academic staff and researchers interested in learning and teaching. The Forum also welcomes the participation of students, policy-makers and other stakeholders in higher education.</w:t>
      </w:r>
    </w:p>
    <w:p w:rsidR="00502B11" w:rsidRPr="00502B11" w:rsidRDefault="00502B11" w:rsidP="00502B11">
      <w:pPr>
        <w:pStyle w:val="NormalWeb"/>
        <w:ind w:left="-612" w:right="-612"/>
        <w:rPr>
          <w:color w:val="7A7A7A"/>
          <w:lang w:val="en-GB"/>
        </w:rPr>
      </w:pPr>
    </w:p>
    <w:p w:rsidR="00A414F7" w:rsidRPr="00502B11" w:rsidRDefault="00A414F7" w:rsidP="00FC5246">
      <w:pPr>
        <w:spacing w:after="100" w:afterAutospacing="1"/>
        <w:rPr>
          <w:rFonts w:cs="Times New Roman"/>
          <w:b/>
          <w:bCs/>
          <w:color w:val="E36C0A" w:themeColor="accent6" w:themeShade="BF"/>
          <w:sz w:val="24"/>
          <w:szCs w:val="24"/>
          <w:u w:val="single"/>
          <w:lang w:val="en-GB"/>
        </w:rPr>
      </w:pPr>
    </w:p>
    <w:p w:rsidR="00A414F7" w:rsidRPr="00502B11" w:rsidRDefault="00A414F7" w:rsidP="00FC5246">
      <w:pPr>
        <w:spacing w:after="100" w:afterAutospacing="1"/>
        <w:rPr>
          <w:rFonts w:cs="Times New Roman"/>
          <w:b/>
          <w:bCs/>
          <w:color w:val="E36C0A" w:themeColor="accent6" w:themeShade="BF"/>
          <w:sz w:val="24"/>
          <w:szCs w:val="24"/>
          <w:u w:val="single"/>
          <w:lang w:val="en-GB"/>
        </w:rPr>
      </w:pPr>
    </w:p>
    <w:p w:rsidR="00A414F7" w:rsidRPr="00502B11" w:rsidRDefault="00A414F7" w:rsidP="00FC5246">
      <w:pPr>
        <w:spacing w:after="100" w:afterAutospacing="1"/>
        <w:rPr>
          <w:rFonts w:cs="Times New Roman"/>
          <w:b/>
          <w:bCs/>
          <w:color w:val="E36C0A" w:themeColor="accent6" w:themeShade="BF"/>
          <w:sz w:val="24"/>
          <w:szCs w:val="24"/>
          <w:u w:val="single"/>
          <w:lang w:val="en-GB"/>
        </w:rPr>
      </w:pPr>
    </w:p>
    <w:p w:rsidR="00A414F7" w:rsidRDefault="00A414F7" w:rsidP="00FC5246">
      <w:pPr>
        <w:spacing w:after="100" w:afterAutospacing="1"/>
        <w:rPr>
          <w:b/>
          <w:bCs/>
          <w:color w:val="E36C0A" w:themeColor="accent6" w:themeShade="BF"/>
          <w:sz w:val="24"/>
          <w:szCs w:val="24"/>
          <w:u w:val="single"/>
          <w:lang w:val="en-GB"/>
        </w:rPr>
      </w:pPr>
    </w:p>
    <w:p w:rsidR="00A414F7" w:rsidRDefault="00A414F7" w:rsidP="005C6234">
      <w:pPr>
        <w:spacing w:after="240"/>
        <w:rPr>
          <w:sz w:val="24"/>
          <w:szCs w:val="24"/>
        </w:rPr>
      </w:pPr>
    </w:p>
    <w:p w:rsidR="00A414F7" w:rsidRDefault="00A414F7" w:rsidP="005C6234">
      <w:pPr>
        <w:spacing w:after="240"/>
        <w:rPr>
          <w:sz w:val="24"/>
          <w:szCs w:val="24"/>
        </w:rPr>
      </w:pPr>
    </w:p>
    <w:p w:rsidR="00A414F7" w:rsidRDefault="00A414F7" w:rsidP="005C6234">
      <w:pPr>
        <w:spacing w:after="240"/>
        <w:rPr>
          <w:sz w:val="24"/>
          <w:szCs w:val="24"/>
        </w:rPr>
      </w:pPr>
    </w:p>
    <w:p w:rsidR="00A414F7" w:rsidRDefault="00A414F7" w:rsidP="005C6234">
      <w:pPr>
        <w:spacing w:after="240"/>
        <w:rPr>
          <w:sz w:val="24"/>
          <w:szCs w:val="24"/>
        </w:rPr>
      </w:pPr>
    </w:p>
    <w:p w:rsidR="00A414F7" w:rsidRPr="009A3C84" w:rsidRDefault="00A414F7" w:rsidP="005C6234">
      <w:pPr>
        <w:spacing w:after="240"/>
        <w:rPr>
          <w:sz w:val="24"/>
          <w:szCs w:val="24"/>
        </w:rPr>
      </w:pPr>
    </w:p>
    <w:p w:rsidR="00D865FB" w:rsidRPr="002A1300" w:rsidRDefault="00D865FB" w:rsidP="00460469">
      <w:pPr>
        <w:rPr>
          <w:lang w:val="en-US"/>
        </w:rPr>
        <w:sectPr w:rsidR="00D865FB" w:rsidRPr="002A1300" w:rsidSect="002852EF">
          <w:footerReference w:type="default" r:id="rId44"/>
          <w:pgSz w:w="11906" w:h="16838"/>
          <w:pgMar w:top="1417" w:right="1417" w:bottom="1417" w:left="1417" w:header="708" w:footer="708" w:gutter="0"/>
          <w:cols w:space="708"/>
          <w:docGrid w:linePitch="360"/>
        </w:sectPr>
      </w:pPr>
    </w:p>
    <w:p w:rsidR="00912146" w:rsidRDefault="00912146" w:rsidP="00B278E8">
      <w:pPr>
        <w:pStyle w:val="Publications"/>
      </w:pPr>
      <w:bookmarkStart w:id="20" w:name="_Toc527447847"/>
      <w:r>
        <w:lastRenderedPageBreak/>
        <w:t>ПУБЛИКАЦИИ</w:t>
      </w:r>
      <w:bookmarkEnd w:id="20"/>
    </w:p>
    <w:p w:rsidR="00D70D6F" w:rsidRPr="00D70D6F" w:rsidRDefault="00D70D6F" w:rsidP="00D80D50">
      <w:pPr>
        <w:pStyle w:val="Heading2"/>
        <w:ind w:left="426"/>
      </w:pPr>
      <w:bookmarkStart w:id="21" w:name="_Toc527447848"/>
      <w:r>
        <w:rPr>
          <w:lang w:val="en-US"/>
        </w:rPr>
        <w:t>RESEARCH EU</w:t>
      </w:r>
      <w:bookmarkEnd w:id="21"/>
    </w:p>
    <w:p w:rsidR="00A56C40" w:rsidRPr="00A56C40" w:rsidRDefault="00977F28" w:rsidP="00A56C40">
      <w:pPr>
        <w:spacing w:before="240" w:after="120"/>
        <w:rPr>
          <w:sz w:val="24"/>
          <w:szCs w:val="24"/>
        </w:rPr>
      </w:pPr>
      <w:r w:rsidRPr="00977F28">
        <w:rPr>
          <w:noProof/>
          <w:color w:val="0000FF" w:themeColor="hyperlink"/>
          <w:sz w:val="24"/>
          <w:szCs w:val="24"/>
          <w:u w:val="single"/>
          <w:lang w:eastAsia="bg-BG"/>
        </w:rPr>
        <w:drawing>
          <wp:inline distT="0" distB="0" distL="0" distR="0">
            <wp:extent cx="1112400" cy="1526400"/>
            <wp:effectExtent l="0" t="0" r="0" b="0"/>
            <wp:docPr id="4" name="Picture 4" descr="Mental health, an undercover epi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al health, an undercover epidemic"/>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12400" cy="1526400"/>
                    </a:xfrm>
                    <a:prstGeom prst="rect">
                      <a:avLst/>
                    </a:prstGeom>
                    <a:noFill/>
                    <a:ln>
                      <a:noFill/>
                    </a:ln>
                  </pic:spPr>
                </pic:pic>
              </a:graphicData>
            </a:graphic>
          </wp:inline>
        </w:drawing>
      </w:r>
      <w:r w:rsidR="00A56C40" w:rsidRPr="00CE0A86">
        <w:rPr>
          <w:b/>
          <w:sz w:val="24"/>
          <w:szCs w:val="24"/>
        </w:rPr>
        <w:t>NO. 7</w:t>
      </w:r>
      <w:r w:rsidRPr="00CE0A86">
        <w:rPr>
          <w:b/>
          <w:sz w:val="24"/>
          <w:szCs w:val="24"/>
          <w:lang w:val="en-US"/>
        </w:rPr>
        <w:t>6</w:t>
      </w:r>
      <w:r w:rsidR="00A56C40" w:rsidRPr="00CE0A86">
        <w:rPr>
          <w:b/>
          <w:sz w:val="24"/>
          <w:szCs w:val="24"/>
          <w:lang w:val="en-US"/>
        </w:rPr>
        <w:t xml:space="preserve">, </w:t>
      </w:r>
      <w:r w:rsidRPr="00CE0A86">
        <w:rPr>
          <w:b/>
          <w:sz w:val="24"/>
          <w:szCs w:val="24"/>
          <w:lang w:val="en-US"/>
        </w:rPr>
        <w:t>October</w:t>
      </w:r>
      <w:r w:rsidR="00A56C40" w:rsidRPr="00CE0A86">
        <w:rPr>
          <w:b/>
          <w:sz w:val="24"/>
          <w:szCs w:val="24"/>
        </w:rPr>
        <w:t xml:space="preserve"> 2018</w:t>
      </w:r>
    </w:p>
    <w:p w:rsidR="00977F28" w:rsidRPr="00977F28" w:rsidRDefault="00977F28" w:rsidP="00977F28">
      <w:pPr>
        <w:pStyle w:val="grey-text"/>
        <w:spacing w:line="300" w:lineRule="atLeast"/>
      </w:pPr>
      <w:r w:rsidRPr="00977F28">
        <w:t>SPECIAL FEATURE</w:t>
      </w:r>
      <w:r>
        <w:rPr>
          <w:lang w:val="en-US"/>
        </w:rPr>
        <w:t xml:space="preserve">: </w:t>
      </w:r>
      <w:r w:rsidRPr="00977F28">
        <w:rPr>
          <w:lang w:val="en-US"/>
        </w:rPr>
        <w:t>M</w:t>
      </w:r>
      <w:r w:rsidRPr="00977F28">
        <w:t>ental health, an undercover epidemic</w:t>
      </w:r>
    </w:p>
    <w:p w:rsidR="00977F28" w:rsidRPr="00977F28" w:rsidRDefault="00977F28" w:rsidP="00977F28">
      <w:pPr>
        <w:spacing w:line="300" w:lineRule="atLeast"/>
        <w:rPr>
          <w:sz w:val="24"/>
          <w:szCs w:val="24"/>
        </w:rPr>
      </w:pPr>
      <w:r w:rsidRPr="00977F28">
        <w:rPr>
          <w:sz w:val="24"/>
          <w:szCs w:val="24"/>
        </w:rPr>
        <w:t>World Mental Health Day is observed on 10 October every year, with the aim of raising awareness of mental health issues across the globe and helping facilitate patient access to robust, modern and comprehensive mental healthcare services. This is especially important as the issue of mental health in many countries, including those within Europe, is often seen as a taboo subject, with high levels of social stigma associated with mental illness.</w:t>
      </w:r>
    </w:p>
    <w:p w:rsidR="00977F28" w:rsidRPr="00977F28" w:rsidRDefault="00F236D1" w:rsidP="00977F28">
      <w:pPr>
        <w:spacing w:line="300" w:lineRule="atLeast"/>
        <w:rPr>
          <w:sz w:val="24"/>
          <w:szCs w:val="24"/>
        </w:rPr>
      </w:pPr>
      <w:hyperlink r:id="rId46" w:tooltip="Read more" w:history="1">
        <w:r w:rsidR="00977F28" w:rsidRPr="00977F28">
          <w:rPr>
            <w:color w:val="027AC6"/>
            <w:sz w:val="24"/>
            <w:szCs w:val="24"/>
            <w:u w:val="single"/>
          </w:rPr>
          <w:t xml:space="preserve">Read more </w:t>
        </w:r>
      </w:hyperlink>
    </w:p>
    <w:p w:rsidR="00A752C7" w:rsidRPr="00A752C7" w:rsidRDefault="00A752C7" w:rsidP="00BD7301">
      <w:pPr>
        <w:pStyle w:val="Heading2"/>
        <w:ind w:left="426"/>
      </w:pPr>
      <w:bookmarkStart w:id="22" w:name="_Toc527447849"/>
      <w:r w:rsidRPr="00A752C7">
        <w:t>Nephrology Dialysis Transplantation, Volume 33 - Magnetic Resonance Imaging Biomarkers in Renal Disease</w:t>
      </w:r>
      <w:bookmarkEnd w:id="22"/>
    </w:p>
    <w:p w:rsidR="00BD7301" w:rsidRDefault="00BD7301" w:rsidP="00BD7301">
      <w:pPr>
        <w:spacing w:before="240" w:after="120"/>
        <w:rPr>
          <w:bCs/>
          <w:iCs/>
          <w:sz w:val="24"/>
          <w:szCs w:val="24"/>
          <w:lang w:val="en-US"/>
        </w:rPr>
      </w:pPr>
      <w:r w:rsidRPr="00A752C7">
        <w:rPr>
          <w:bCs/>
          <w:iCs/>
          <w:noProof/>
          <w:sz w:val="24"/>
          <w:szCs w:val="24"/>
          <w:lang w:eastAsia="bg-BG"/>
        </w:rPr>
        <w:drawing>
          <wp:anchor distT="0" distB="0" distL="114300" distR="114300" simplePos="0" relativeHeight="251700224" behindDoc="1" locked="0" layoutInCell="1" allowOverlap="1">
            <wp:simplePos x="0" y="0"/>
            <wp:positionH relativeFrom="column">
              <wp:posOffset>-3810</wp:posOffset>
            </wp:positionH>
            <wp:positionV relativeFrom="paragraph">
              <wp:posOffset>161925</wp:posOffset>
            </wp:positionV>
            <wp:extent cx="1195070" cy="1536700"/>
            <wp:effectExtent l="0" t="0" r="5080" b="6350"/>
            <wp:wrapThrough wrapText="bothSides">
              <wp:wrapPolygon edited="0">
                <wp:start x="0" y="0"/>
                <wp:lineTo x="0" y="21421"/>
                <wp:lineTo x="21348" y="21421"/>
                <wp:lineTo x="21348" y="0"/>
                <wp:lineTo x="0" y="0"/>
              </wp:wrapPolygon>
            </wp:wrapThrough>
            <wp:docPr id="15" name="Picture 15" descr="http://www.cost.eu/var/ezwebin_site/storage/images/medialib/images/library/publications/parenchima_cover/1963920-1-eng-GB/PARENCHIMA_cover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st.eu/var/ezwebin_site/storage/images/medialib/images/library/publications/parenchima_cover/1963920-1-eng-GB/PARENCHIMA_cover_publication.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95070" cy="1536700"/>
                    </a:xfrm>
                    <a:prstGeom prst="rect">
                      <a:avLst/>
                    </a:prstGeom>
                    <a:noFill/>
                    <a:ln>
                      <a:noFill/>
                    </a:ln>
                  </pic:spPr>
                </pic:pic>
              </a:graphicData>
            </a:graphic>
          </wp:anchor>
        </w:drawing>
      </w:r>
    </w:p>
    <w:p w:rsidR="00BD7301" w:rsidRDefault="00BD7301" w:rsidP="00BD7301">
      <w:pPr>
        <w:spacing w:before="240" w:after="120"/>
        <w:rPr>
          <w:bCs/>
          <w:iCs/>
          <w:sz w:val="24"/>
          <w:szCs w:val="24"/>
          <w:lang w:val="en-US"/>
        </w:rPr>
      </w:pPr>
    </w:p>
    <w:p w:rsidR="00D35368" w:rsidRDefault="00D35368" w:rsidP="00BD7301">
      <w:pPr>
        <w:spacing w:before="240" w:after="120"/>
        <w:rPr>
          <w:bCs/>
          <w:iCs/>
          <w:sz w:val="24"/>
          <w:szCs w:val="24"/>
          <w:lang w:val="en-US"/>
        </w:rPr>
      </w:pPr>
    </w:p>
    <w:p w:rsidR="00A752C7" w:rsidRPr="00A752C7" w:rsidRDefault="00A752C7" w:rsidP="00D35368">
      <w:pPr>
        <w:spacing w:before="240" w:after="0"/>
        <w:rPr>
          <w:bCs/>
          <w:iCs/>
          <w:sz w:val="24"/>
          <w:szCs w:val="24"/>
        </w:rPr>
      </w:pPr>
      <w:r w:rsidRPr="00A752C7">
        <w:rPr>
          <w:bCs/>
          <w:iCs/>
          <w:sz w:val="24"/>
          <w:szCs w:val="24"/>
        </w:rPr>
        <w:t>Author(s): Anna Caroli; Menno Pruijm; Michel Burnier; Nicholas M Selby</w:t>
      </w:r>
    </w:p>
    <w:p w:rsidR="00A752C7" w:rsidRPr="00A752C7" w:rsidRDefault="00A752C7" w:rsidP="00D35368">
      <w:pPr>
        <w:spacing w:before="120" w:after="120"/>
        <w:ind w:left="720"/>
        <w:rPr>
          <w:bCs/>
          <w:iCs/>
          <w:sz w:val="24"/>
          <w:szCs w:val="24"/>
        </w:rPr>
      </w:pPr>
      <w:r w:rsidRPr="00A752C7">
        <w:rPr>
          <w:bCs/>
          <w:iCs/>
          <w:sz w:val="24"/>
          <w:szCs w:val="24"/>
        </w:rPr>
        <w:t>Publisher(s): Oxford University Press</w:t>
      </w:r>
    </w:p>
    <w:p w:rsidR="00BD7301" w:rsidRDefault="00A752C7" w:rsidP="00A752C7">
      <w:pPr>
        <w:spacing w:before="240" w:after="120"/>
        <w:rPr>
          <w:bCs/>
          <w:iCs/>
          <w:sz w:val="24"/>
          <w:szCs w:val="24"/>
          <w:lang w:val="en-US"/>
        </w:rPr>
      </w:pPr>
      <w:r w:rsidRPr="00A752C7">
        <w:rPr>
          <w:bCs/>
          <w:iCs/>
          <w:sz w:val="24"/>
          <w:szCs w:val="24"/>
        </w:rPr>
        <w:t>Editorial: </w:t>
      </w:r>
    </w:p>
    <w:p w:rsidR="00A752C7" w:rsidRPr="00A752C7" w:rsidRDefault="00F236D1" w:rsidP="00A752C7">
      <w:pPr>
        <w:spacing w:before="240" w:after="120"/>
        <w:rPr>
          <w:b/>
          <w:bCs/>
          <w:iCs/>
          <w:sz w:val="24"/>
          <w:szCs w:val="24"/>
        </w:rPr>
      </w:pPr>
      <w:hyperlink r:id="rId48" w:history="1">
        <w:r w:rsidR="00A752C7" w:rsidRPr="00A752C7">
          <w:rPr>
            <w:rStyle w:val="Hyperlink"/>
            <w:b/>
            <w:bCs/>
            <w:iCs/>
            <w:sz w:val="24"/>
            <w:szCs w:val="24"/>
          </w:rPr>
          <w:t>Functional magnetic resonance imaging of the kidneys: where do we stand? The perspective of the European COST Action PARENCHIMA</w:t>
        </w:r>
      </w:hyperlink>
    </w:p>
    <w:p w:rsidR="00A752C7" w:rsidRPr="00A752C7" w:rsidRDefault="00A752C7" w:rsidP="00A752C7">
      <w:pPr>
        <w:spacing w:before="240" w:after="120"/>
        <w:rPr>
          <w:bCs/>
          <w:iCs/>
          <w:sz w:val="24"/>
          <w:szCs w:val="24"/>
        </w:rPr>
      </w:pPr>
      <w:r w:rsidRPr="00A752C7">
        <w:rPr>
          <w:bCs/>
          <w:iCs/>
          <w:sz w:val="24"/>
          <w:szCs w:val="24"/>
        </w:rPr>
        <w:t>Special report: </w:t>
      </w:r>
    </w:p>
    <w:p w:rsidR="00A752C7" w:rsidRPr="00A752C7" w:rsidRDefault="00F236D1" w:rsidP="00A752C7">
      <w:pPr>
        <w:spacing w:before="240" w:after="120"/>
        <w:rPr>
          <w:b/>
          <w:bCs/>
          <w:iCs/>
          <w:sz w:val="24"/>
          <w:szCs w:val="24"/>
        </w:rPr>
      </w:pPr>
      <w:hyperlink r:id="rId49" w:history="1">
        <w:r w:rsidR="00A752C7" w:rsidRPr="00A752C7">
          <w:rPr>
            <w:rStyle w:val="Hyperlink"/>
            <w:b/>
            <w:bCs/>
            <w:iCs/>
            <w:sz w:val="24"/>
            <w:szCs w:val="24"/>
          </w:rPr>
          <w:t>Magnetic resonance imaging biomarkers for chronic kidney disease: a position paper from the European Cooperation in Science and Technology Action PARENCHIMA</w:t>
        </w:r>
      </w:hyperlink>
    </w:p>
    <w:p w:rsidR="00A752C7" w:rsidRPr="00A752C7" w:rsidRDefault="00A752C7" w:rsidP="00A752C7">
      <w:pPr>
        <w:spacing w:before="240" w:after="120"/>
        <w:rPr>
          <w:bCs/>
          <w:iCs/>
          <w:sz w:val="24"/>
          <w:szCs w:val="24"/>
        </w:rPr>
      </w:pPr>
      <w:r w:rsidRPr="00A752C7">
        <w:rPr>
          <w:bCs/>
          <w:iCs/>
          <w:sz w:val="24"/>
          <w:szCs w:val="24"/>
        </w:rPr>
        <w:lastRenderedPageBreak/>
        <w:t>Reviews: </w:t>
      </w:r>
    </w:p>
    <w:p w:rsidR="00A752C7" w:rsidRPr="00A752C7" w:rsidRDefault="00F236D1" w:rsidP="00A752C7">
      <w:pPr>
        <w:spacing w:before="240" w:after="120"/>
        <w:rPr>
          <w:b/>
          <w:bCs/>
          <w:iCs/>
          <w:sz w:val="24"/>
          <w:szCs w:val="24"/>
        </w:rPr>
      </w:pPr>
      <w:hyperlink r:id="rId50" w:history="1">
        <w:r w:rsidR="00A752C7" w:rsidRPr="00A752C7">
          <w:rPr>
            <w:rStyle w:val="Hyperlink"/>
            <w:b/>
            <w:bCs/>
            <w:iCs/>
            <w:sz w:val="24"/>
            <w:szCs w:val="24"/>
          </w:rPr>
          <w:t>Arterial spin labelling MRI to measure renal perfusion: a systematic review and statement paper</w:t>
        </w:r>
      </w:hyperlink>
    </w:p>
    <w:p w:rsidR="00A752C7" w:rsidRPr="00A752C7" w:rsidRDefault="00F236D1" w:rsidP="00A752C7">
      <w:pPr>
        <w:spacing w:before="240" w:after="120"/>
        <w:rPr>
          <w:b/>
          <w:bCs/>
          <w:iCs/>
          <w:sz w:val="24"/>
          <w:szCs w:val="24"/>
        </w:rPr>
      </w:pPr>
      <w:hyperlink r:id="rId51" w:history="1">
        <w:r w:rsidR="00A752C7" w:rsidRPr="00A752C7">
          <w:rPr>
            <w:rStyle w:val="Hyperlink"/>
            <w:b/>
            <w:bCs/>
            <w:iCs/>
            <w:sz w:val="24"/>
            <w:szCs w:val="24"/>
          </w:rPr>
          <w:t>Renal blood oxygenation level-dependent magnetic resonance imaging to measure renal tissue oxygenation: a statement paper and systematic review</w:t>
        </w:r>
      </w:hyperlink>
    </w:p>
    <w:p w:rsidR="00A752C7" w:rsidRPr="00A752C7" w:rsidRDefault="00F236D1" w:rsidP="00A752C7">
      <w:pPr>
        <w:spacing w:before="240" w:after="120"/>
        <w:rPr>
          <w:b/>
          <w:bCs/>
          <w:iCs/>
          <w:sz w:val="24"/>
          <w:szCs w:val="24"/>
        </w:rPr>
      </w:pPr>
      <w:hyperlink r:id="rId52" w:history="1">
        <w:r w:rsidR="00A752C7" w:rsidRPr="00A752C7">
          <w:rPr>
            <w:rStyle w:val="Hyperlink"/>
            <w:b/>
            <w:bCs/>
            <w:iCs/>
            <w:sz w:val="24"/>
            <w:szCs w:val="24"/>
          </w:rPr>
          <w:t>Diffusion-weighted magnetic resonance imaging to assess diffuse renal pathology: a systematic review and statement paper</w:t>
        </w:r>
      </w:hyperlink>
    </w:p>
    <w:p w:rsidR="00A752C7" w:rsidRPr="00A752C7" w:rsidRDefault="00F236D1" w:rsidP="00D35368">
      <w:pPr>
        <w:spacing w:before="240" w:after="600"/>
        <w:rPr>
          <w:b/>
          <w:bCs/>
          <w:iCs/>
          <w:sz w:val="24"/>
          <w:szCs w:val="24"/>
        </w:rPr>
      </w:pPr>
      <w:hyperlink r:id="rId53" w:history="1">
        <w:r w:rsidR="00A752C7" w:rsidRPr="00A752C7">
          <w:rPr>
            <w:rStyle w:val="Hyperlink"/>
            <w:b/>
            <w:bCs/>
            <w:iCs/>
            <w:sz w:val="24"/>
            <w:szCs w:val="24"/>
          </w:rPr>
          <w:t>Magnetic resonance imaging T1- and T2-mapping to assess renal structure and function: a systematic review and statement paper</w:t>
        </w:r>
      </w:hyperlink>
    </w:p>
    <w:p w:rsidR="00D35368" w:rsidRPr="00D35368" w:rsidRDefault="00D35368" w:rsidP="00D35368">
      <w:pPr>
        <w:pStyle w:val="Heading2"/>
        <w:ind w:left="426"/>
      </w:pPr>
      <w:bookmarkStart w:id="23" w:name="_Toc527447850"/>
      <w:r w:rsidRPr="00D35368">
        <w:t>Guidelines for supporting children with disabilities' play: Methodologies, tools, and contexts</w:t>
      </w:r>
      <w:bookmarkEnd w:id="23"/>
    </w:p>
    <w:p w:rsidR="00A752C7" w:rsidRDefault="00D35368" w:rsidP="00A56C40">
      <w:pPr>
        <w:spacing w:before="240" w:after="120"/>
        <w:rPr>
          <w:bCs/>
          <w:iCs/>
          <w:sz w:val="24"/>
          <w:szCs w:val="24"/>
          <w:lang w:val="en-US"/>
        </w:rPr>
      </w:pPr>
      <w:r w:rsidRPr="00D35368">
        <w:rPr>
          <w:bCs/>
          <w:iCs/>
          <w:noProof/>
          <w:sz w:val="24"/>
          <w:szCs w:val="24"/>
          <w:lang w:eastAsia="bg-BG"/>
        </w:rPr>
        <w:drawing>
          <wp:anchor distT="0" distB="0" distL="114300" distR="114300" simplePos="0" relativeHeight="251701248" behindDoc="1" locked="0" layoutInCell="1" allowOverlap="1" wp14:anchorId="6A610D07" wp14:editId="283DAEAB">
            <wp:simplePos x="0" y="0"/>
            <wp:positionH relativeFrom="column">
              <wp:posOffset>29210</wp:posOffset>
            </wp:positionH>
            <wp:positionV relativeFrom="paragraph">
              <wp:posOffset>203835</wp:posOffset>
            </wp:positionV>
            <wp:extent cx="1184275" cy="1670050"/>
            <wp:effectExtent l="0" t="0" r="0" b="6350"/>
            <wp:wrapThrough wrapText="bothSides">
              <wp:wrapPolygon edited="0">
                <wp:start x="0" y="0"/>
                <wp:lineTo x="0" y="21436"/>
                <wp:lineTo x="21195" y="21436"/>
                <wp:lineTo x="21195" y="0"/>
                <wp:lineTo x="0" y="0"/>
              </wp:wrapPolygon>
            </wp:wrapThrough>
            <wp:docPr id="18" name="Picture 18" descr="http://www.cost.eu/var/ezwebin_site/storage/images/medialib/images/library/publications/ludi/1932648-1-eng-GB/LUDI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st.eu/var/ezwebin_site/storage/images/medialib/images/library/publications/ludi/1932648-1-eng-GB/LUDI_publication.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84275" cy="1670050"/>
                    </a:xfrm>
                    <a:prstGeom prst="rect">
                      <a:avLst/>
                    </a:prstGeom>
                    <a:noFill/>
                    <a:ln>
                      <a:noFill/>
                    </a:ln>
                  </pic:spPr>
                </pic:pic>
              </a:graphicData>
            </a:graphic>
          </wp:anchor>
        </w:drawing>
      </w:r>
    </w:p>
    <w:p w:rsidR="00D35368" w:rsidRDefault="00D35368" w:rsidP="00D35368">
      <w:pPr>
        <w:spacing w:before="240" w:after="120"/>
        <w:ind w:left="720"/>
        <w:rPr>
          <w:bCs/>
          <w:iCs/>
          <w:sz w:val="24"/>
          <w:szCs w:val="24"/>
          <w:lang w:val="en-US"/>
        </w:rPr>
      </w:pPr>
    </w:p>
    <w:p w:rsidR="00D35368" w:rsidRDefault="00D35368" w:rsidP="00D35368">
      <w:pPr>
        <w:spacing w:before="240" w:after="120"/>
        <w:ind w:left="720"/>
        <w:rPr>
          <w:bCs/>
          <w:iCs/>
          <w:sz w:val="24"/>
          <w:szCs w:val="24"/>
          <w:lang w:val="en-US"/>
        </w:rPr>
      </w:pPr>
    </w:p>
    <w:p w:rsidR="00D35368" w:rsidRDefault="00D35368" w:rsidP="00D35368">
      <w:pPr>
        <w:spacing w:before="240" w:after="120"/>
        <w:ind w:left="720"/>
        <w:rPr>
          <w:bCs/>
          <w:iCs/>
          <w:sz w:val="24"/>
          <w:szCs w:val="24"/>
          <w:lang w:val="en-US"/>
        </w:rPr>
      </w:pPr>
    </w:p>
    <w:p w:rsidR="00D35368" w:rsidRPr="00D35368" w:rsidRDefault="00D35368" w:rsidP="00D35368">
      <w:pPr>
        <w:spacing w:before="240" w:after="120"/>
        <w:ind w:left="720"/>
        <w:rPr>
          <w:bCs/>
          <w:iCs/>
          <w:sz w:val="24"/>
          <w:szCs w:val="24"/>
        </w:rPr>
      </w:pPr>
      <w:proofErr w:type="spellStart"/>
      <w:r w:rsidRPr="00D35368">
        <w:rPr>
          <w:bCs/>
          <w:iCs/>
          <w:sz w:val="24"/>
          <w:szCs w:val="24"/>
        </w:rPr>
        <w:t>Author</w:t>
      </w:r>
      <w:proofErr w:type="spellEnd"/>
      <w:r w:rsidRPr="00D35368">
        <w:rPr>
          <w:bCs/>
          <w:iCs/>
          <w:sz w:val="24"/>
          <w:szCs w:val="24"/>
        </w:rPr>
        <w:t xml:space="preserve">(s): </w:t>
      </w:r>
      <w:proofErr w:type="spellStart"/>
      <w:r w:rsidRPr="00D35368">
        <w:rPr>
          <w:bCs/>
          <w:iCs/>
          <w:sz w:val="24"/>
          <w:szCs w:val="24"/>
        </w:rPr>
        <w:t>Encarnação</w:t>
      </w:r>
      <w:proofErr w:type="spellEnd"/>
      <w:r w:rsidRPr="00D35368">
        <w:rPr>
          <w:bCs/>
          <w:iCs/>
          <w:sz w:val="24"/>
          <w:szCs w:val="24"/>
        </w:rPr>
        <w:t>, P., Ray-Kaeser, S., Bianquin, N.</w:t>
      </w:r>
    </w:p>
    <w:p w:rsidR="00D35368" w:rsidRPr="00D35368" w:rsidRDefault="00D35368" w:rsidP="00D35368">
      <w:pPr>
        <w:spacing w:before="120" w:after="120"/>
        <w:ind w:left="720"/>
        <w:rPr>
          <w:bCs/>
          <w:iCs/>
          <w:sz w:val="24"/>
          <w:szCs w:val="24"/>
        </w:rPr>
      </w:pPr>
      <w:r w:rsidRPr="00D35368">
        <w:rPr>
          <w:bCs/>
          <w:iCs/>
          <w:sz w:val="24"/>
          <w:szCs w:val="24"/>
        </w:rPr>
        <w:t>Publisher(s): De Gruyter</w:t>
      </w:r>
    </w:p>
    <w:p w:rsidR="00D35368" w:rsidRPr="00D35368" w:rsidRDefault="00F236D1" w:rsidP="00D35368">
      <w:pPr>
        <w:spacing w:before="240" w:after="120"/>
        <w:rPr>
          <w:bCs/>
          <w:iCs/>
          <w:sz w:val="24"/>
          <w:szCs w:val="24"/>
        </w:rPr>
      </w:pPr>
      <w:hyperlink r:id="rId55" w:history="1">
        <w:r w:rsidR="00D35368" w:rsidRPr="00D35368">
          <w:rPr>
            <w:rStyle w:val="Hyperlink"/>
            <w:bCs/>
            <w:iCs/>
            <w:sz w:val="24"/>
            <w:szCs w:val="24"/>
          </w:rPr>
          <w:t>https://www.degruyter.com/viewbooktoc/product/507228?rskey=Te34SV&amp;result=1</w:t>
        </w:r>
      </w:hyperlink>
    </w:p>
    <w:p w:rsidR="00D35368" w:rsidRPr="00D35368" w:rsidRDefault="00D35368" w:rsidP="00D35368">
      <w:pPr>
        <w:spacing w:before="240" w:after="120"/>
        <w:rPr>
          <w:bCs/>
          <w:iCs/>
          <w:sz w:val="24"/>
          <w:szCs w:val="24"/>
        </w:rPr>
      </w:pPr>
      <w:r w:rsidRPr="00D35368">
        <w:rPr>
          <w:bCs/>
          <w:iCs/>
          <w:sz w:val="24"/>
          <w:szCs w:val="24"/>
        </w:rPr>
        <w:t xml:space="preserve">Play for the sake of play, without any secondary goals, if of </w:t>
      </w:r>
      <w:proofErr w:type="spellStart"/>
      <w:r w:rsidRPr="00D35368">
        <w:rPr>
          <w:bCs/>
          <w:iCs/>
          <w:sz w:val="24"/>
          <w:szCs w:val="24"/>
        </w:rPr>
        <w:t>utmost</w:t>
      </w:r>
      <w:proofErr w:type="spellEnd"/>
      <w:r w:rsidRPr="00D35368">
        <w:rPr>
          <w:bCs/>
          <w:iCs/>
          <w:sz w:val="24"/>
          <w:szCs w:val="24"/>
        </w:rPr>
        <w:t xml:space="preserve"> </w:t>
      </w:r>
      <w:proofErr w:type="spellStart"/>
      <w:r w:rsidRPr="00D35368">
        <w:rPr>
          <w:bCs/>
          <w:iCs/>
          <w:sz w:val="24"/>
          <w:szCs w:val="24"/>
        </w:rPr>
        <w:t>importance</w:t>
      </w:r>
      <w:proofErr w:type="spellEnd"/>
      <w:r w:rsidRPr="00D35368">
        <w:rPr>
          <w:bCs/>
          <w:iCs/>
          <w:sz w:val="24"/>
          <w:szCs w:val="24"/>
        </w:rPr>
        <w:t xml:space="preserve"> </w:t>
      </w:r>
      <w:proofErr w:type="spellStart"/>
      <w:r w:rsidRPr="00D35368">
        <w:rPr>
          <w:bCs/>
          <w:iCs/>
          <w:sz w:val="24"/>
          <w:szCs w:val="24"/>
        </w:rPr>
        <w:t>for</w:t>
      </w:r>
      <w:proofErr w:type="spellEnd"/>
      <w:r w:rsidRPr="00D35368">
        <w:rPr>
          <w:bCs/>
          <w:iCs/>
          <w:sz w:val="24"/>
          <w:szCs w:val="24"/>
        </w:rPr>
        <w:t xml:space="preserve"> </w:t>
      </w:r>
      <w:proofErr w:type="spellStart"/>
      <w:r w:rsidRPr="00D35368">
        <w:rPr>
          <w:bCs/>
          <w:iCs/>
          <w:sz w:val="24"/>
          <w:szCs w:val="24"/>
        </w:rPr>
        <w:t>children’s</w:t>
      </w:r>
      <w:proofErr w:type="spellEnd"/>
      <w:r w:rsidRPr="00D35368">
        <w:rPr>
          <w:bCs/>
          <w:iCs/>
          <w:sz w:val="24"/>
          <w:szCs w:val="24"/>
        </w:rPr>
        <w:t xml:space="preserve"> </w:t>
      </w:r>
      <w:proofErr w:type="spellStart"/>
      <w:r w:rsidRPr="00D35368">
        <w:rPr>
          <w:bCs/>
          <w:iCs/>
          <w:sz w:val="24"/>
          <w:szCs w:val="24"/>
        </w:rPr>
        <w:t>wellbeing</w:t>
      </w:r>
      <w:proofErr w:type="spellEnd"/>
      <w:r w:rsidRPr="00D35368">
        <w:rPr>
          <w:bCs/>
          <w:iCs/>
          <w:sz w:val="24"/>
          <w:szCs w:val="24"/>
        </w:rPr>
        <w:t xml:space="preserve"> </w:t>
      </w:r>
      <w:proofErr w:type="spellStart"/>
      <w:r w:rsidRPr="00D35368">
        <w:rPr>
          <w:bCs/>
          <w:iCs/>
          <w:sz w:val="24"/>
          <w:szCs w:val="24"/>
        </w:rPr>
        <w:t>and</w:t>
      </w:r>
      <w:proofErr w:type="spellEnd"/>
      <w:r w:rsidRPr="00D35368">
        <w:rPr>
          <w:bCs/>
          <w:iCs/>
          <w:sz w:val="24"/>
          <w:szCs w:val="24"/>
        </w:rPr>
        <w:t xml:space="preserve"> </w:t>
      </w:r>
      <w:proofErr w:type="spellStart"/>
      <w:r w:rsidRPr="00D35368">
        <w:rPr>
          <w:bCs/>
          <w:iCs/>
          <w:sz w:val="24"/>
          <w:szCs w:val="24"/>
        </w:rPr>
        <w:t>development</w:t>
      </w:r>
      <w:proofErr w:type="spellEnd"/>
      <w:r w:rsidRPr="00D35368">
        <w:rPr>
          <w:bCs/>
          <w:iCs/>
          <w:sz w:val="24"/>
          <w:szCs w:val="24"/>
        </w:rPr>
        <w:t xml:space="preserve">. </w:t>
      </w:r>
      <w:proofErr w:type="spellStart"/>
      <w:r w:rsidRPr="00D35368">
        <w:rPr>
          <w:bCs/>
          <w:iCs/>
          <w:sz w:val="24"/>
          <w:szCs w:val="24"/>
        </w:rPr>
        <w:t>In</w:t>
      </w:r>
      <w:proofErr w:type="spellEnd"/>
      <w:r w:rsidRPr="00D35368">
        <w:rPr>
          <w:bCs/>
          <w:iCs/>
          <w:sz w:val="24"/>
          <w:szCs w:val="24"/>
        </w:rPr>
        <w:t xml:space="preserve"> </w:t>
      </w:r>
      <w:proofErr w:type="spellStart"/>
      <w:r w:rsidRPr="00D35368">
        <w:rPr>
          <w:bCs/>
          <w:iCs/>
          <w:sz w:val="24"/>
          <w:szCs w:val="24"/>
        </w:rPr>
        <w:t>this</w:t>
      </w:r>
      <w:proofErr w:type="spellEnd"/>
      <w:r w:rsidRPr="00D35368">
        <w:rPr>
          <w:bCs/>
          <w:iCs/>
          <w:sz w:val="24"/>
          <w:szCs w:val="24"/>
        </w:rPr>
        <w:t xml:space="preserve"> </w:t>
      </w:r>
      <w:proofErr w:type="spellStart"/>
      <w:r w:rsidRPr="00D35368">
        <w:rPr>
          <w:bCs/>
          <w:iCs/>
          <w:sz w:val="24"/>
          <w:szCs w:val="24"/>
        </w:rPr>
        <w:t>book</w:t>
      </w:r>
      <w:proofErr w:type="spellEnd"/>
      <w:r w:rsidRPr="00D35368">
        <w:rPr>
          <w:bCs/>
          <w:iCs/>
          <w:sz w:val="24"/>
          <w:szCs w:val="24"/>
        </w:rPr>
        <w:t xml:space="preserve">, </w:t>
      </w:r>
      <w:proofErr w:type="spellStart"/>
      <w:r w:rsidRPr="00D35368">
        <w:rPr>
          <w:bCs/>
          <w:iCs/>
          <w:sz w:val="24"/>
          <w:szCs w:val="24"/>
        </w:rPr>
        <w:t>you’ll</w:t>
      </w:r>
      <w:proofErr w:type="spellEnd"/>
      <w:r w:rsidRPr="00D35368">
        <w:rPr>
          <w:bCs/>
          <w:iCs/>
          <w:sz w:val="24"/>
          <w:szCs w:val="24"/>
        </w:rPr>
        <w:t xml:space="preserve"> </w:t>
      </w:r>
      <w:proofErr w:type="spellStart"/>
      <w:r w:rsidRPr="00D35368">
        <w:rPr>
          <w:bCs/>
          <w:iCs/>
          <w:sz w:val="24"/>
          <w:szCs w:val="24"/>
        </w:rPr>
        <w:t>find</w:t>
      </w:r>
      <w:proofErr w:type="spellEnd"/>
      <w:r w:rsidRPr="00D35368">
        <w:rPr>
          <w:bCs/>
          <w:iCs/>
          <w:sz w:val="24"/>
          <w:szCs w:val="24"/>
        </w:rPr>
        <w:t xml:space="preserve"> </w:t>
      </w:r>
      <w:proofErr w:type="spellStart"/>
      <w:r w:rsidRPr="00D35368">
        <w:rPr>
          <w:bCs/>
          <w:iCs/>
          <w:sz w:val="24"/>
          <w:szCs w:val="24"/>
        </w:rPr>
        <w:t>guidelines</w:t>
      </w:r>
      <w:proofErr w:type="spellEnd"/>
      <w:r w:rsidRPr="00D35368">
        <w:rPr>
          <w:bCs/>
          <w:iCs/>
          <w:sz w:val="24"/>
          <w:szCs w:val="24"/>
        </w:rPr>
        <w:t xml:space="preserve"> </w:t>
      </w:r>
      <w:proofErr w:type="spellStart"/>
      <w:r w:rsidRPr="00D35368">
        <w:rPr>
          <w:bCs/>
          <w:iCs/>
          <w:sz w:val="24"/>
          <w:szCs w:val="24"/>
        </w:rPr>
        <w:t>to</w:t>
      </w:r>
      <w:proofErr w:type="spellEnd"/>
      <w:r w:rsidRPr="00D35368">
        <w:rPr>
          <w:bCs/>
          <w:iCs/>
          <w:sz w:val="24"/>
          <w:szCs w:val="24"/>
        </w:rPr>
        <w:t xml:space="preserve"> </w:t>
      </w:r>
      <w:proofErr w:type="spellStart"/>
      <w:r w:rsidRPr="00D35368">
        <w:rPr>
          <w:bCs/>
          <w:iCs/>
          <w:sz w:val="24"/>
          <w:szCs w:val="24"/>
        </w:rPr>
        <w:t>support</w:t>
      </w:r>
      <w:proofErr w:type="spellEnd"/>
      <w:r w:rsidRPr="00D35368">
        <w:rPr>
          <w:bCs/>
          <w:iCs/>
          <w:sz w:val="24"/>
          <w:szCs w:val="24"/>
        </w:rPr>
        <w:t xml:space="preserve"> </w:t>
      </w:r>
      <w:proofErr w:type="spellStart"/>
      <w:r w:rsidRPr="00D35368">
        <w:rPr>
          <w:bCs/>
          <w:iCs/>
          <w:sz w:val="24"/>
          <w:szCs w:val="24"/>
        </w:rPr>
        <w:t>children</w:t>
      </w:r>
      <w:proofErr w:type="spellEnd"/>
      <w:r w:rsidRPr="00D35368">
        <w:rPr>
          <w:bCs/>
          <w:iCs/>
          <w:sz w:val="24"/>
          <w:szCs w:val="24"/>
        </w:rPr>
        <w:t xml:space="preserve"> </w:t>
      </w:r>
      <w:proofErr w:type="spellStart"/>
      <w:r w:rsidRPr="00D35368">
        <w:rPr>
          <w:bCs/>
          <w:iCs/>
          <w:sz w:val="24"/>
          <w:szCs w:val="24"/>
        </w:rPr>
        <w:t>with</w:t>
      </w:r>
      <w:proofErr w:type="spellEnd"/>
      <w:r w:rsidRPr="00D35368">
        <w:rPr>
          <w:bCs/>
          <w:iCs/>
          <w:sz w:val="24"/>
          <w:szCs w:val="24"/>
        </w:rPr>
        <w:t xml:space="preserve"> </w:t>
      </w:r>
      <w:proofErr w:type="spellStart"/>
      <w:r w:rsidRPr="00D35368">
        <w:rPr>
          <w:bCs/>
          <w:iCs/>
          <w:sz w:val="24"/>
          <w:szCs w:val="24"/>
        </w:rPr>
        <w:t>disabilities</w:t>
      </w:r>
      <w:proofErr w:type="spellEnd"/>
      <w:r w:rsidRPr="00D35368">
        <w:rPr>
          <w:bCs/>
          <w:iCs/>
          <w:sz w:val="24"/>
          <w:szCs w:val="24"/>
        </w:rPr>
        <w:t xml:space="preserve">’ </w:t>
      </w:r>
      <w:proofErr w:type="spellStart"/>
      <w:r w:rsidRPr="00D35368">
        <w:rPr>
          <w:bCs/>
          <w:iCs/>
          <w:sz w:val="24"/>
          <w:szCs w:val="24"/>
        </w:rPr>
        <w:t>play</w:t>
      </w:r>
      <w:proofErr w:type="spellEnd"/>
      <w:r w:rsidRPr="00D35368">
        <w:rPr>
          <w:bCs/>
          <w:iCs/>
          <w:sz w:val="24"/>
          <w:szCs w:val="24"/>
        </w:rPr>
        <w:t>. Providing ready-to-use information in a lay-person language, this book is for parents, teachers, rehabilitation professionals, toy manufacturers, policymakers and all persons interested in the topic of play for children with disabilities.</w:t>
      </w:r>
    </w:p>
    <w:p w:rsidR="00A752C7" w:rsidRDefault="00A752C7" w:rsidP="00A56C40">
      <w:pPr>
        <w:spacing w:before="240" w:after="120"/>
        <w:rPr>
          <w:bCs/>
          <w:iCs/>
          <w:sz w:val="24"/>
          <w:szCs w:val="24"/>
          <w:lang w:val="en-US"/>
        </w:rPr>
      </w:pPr>
    </w:p>
    <w:p w:rsidR="00A752C7" w:rsidRDefault="00A752C7" w:rsidP="00A56C40">
      <w:pPr>
        <w:spacing w:before="240" w:after="120"/>
        <w:rPr>
          <w:bCs/>
          <w:iCs/>
          <w:sz w:val="24"/>
          <w:szCs w:val="24"/>
          <w:lang w:val="en-US"/>
        </w:rPr>
      </w:pPr>
    </w:p>
    <w:p w:rsidR="00A752C7" w:rsidRDefault="00A752C7" w:rsidP="00A56C40">
      <w:pPr>
        <w:spacing w:before="240" w:after="120"/>
        <w:rPr>
          <w:bCs/>
          <w:iCs/>
          <w:sz w:val="24"/>
          <w:szCs w:val="24"/>
          <w:lang w:val="en-US"/>
        </w:rPr>
      </w:pPr>
    </w:p>
    <w:p w:rsidR="00A752C7" w:rsidRDefault="00A752C7" w:rsidP="00A56C40">
      <w:pPr>
        <w:spacing w:before="240" w:after="120"/>
        <w:rPr>
          <w:bCs/>
          <w:iCs/>
          <w:sz w:val="24"/>
          <w:szCs w:val="24"/>
          <w:lang w:val="en-US"/>
        </w:rPr>
      </w:pPr>
    </w:p>
    <w:p w:rsidR="00FC4AE6" w:rsidRPr="00FC4AE6" w:rsidRDefault="00FC4AE6" w:rsidP="00FC4AE6">
      <w:pPr>
        <w:pStyle w:val="Heading2"/>
        <w:ind w:left="426"/>
      </w:pPr>
      <w:bookmarkStart w:id="24" w:name="_Toc527447851"/>
      <w:r w:rsidRPr="00FC4AE6">
        <w:lastRenderedPageBreak/>
        <w:t>Autonomous Control for a Reliable Internet of Services: Methods, Models, Approaches, Techniques, Algorithms, and Tools</w:t>
      </w:r>
      <w:bookmarkEnd w:id="24"/>
    </w:p>
    <w:p w:rsidR="00FC4AE6" w:rsidRPr="00FC4AE6" w:rsidRDefault="00FC4AE6" w:rsidP="00FC4AE6">
      <w:pPr>
        <w:spacing w:before="240" w:after="120"/>
        <w:rPr>
          <w:b/>
          <w:bCs/>
          <w:iCs/>
          <w:sz w:val="24"/>
          <w:szCs w:val="24"/>
        </w:rPr>
      </w:pPr>
      <w:r w:rsidRPr="00FC4AE6">
        <w:rPr>
          <w:bCs/>
          <w:iCs/>
          <w:noProof/>
          <w:sz w:val="24"/>
          <w:szCs w:val="24"/>
          <w:lang w:eastAsia="bg-BG"/>
        </w:rPr>
        <w:drawing>
          <wp:anchor distT="0" distB="0" distL="114300" distR="114300" simplePos="0" relativeHeight="251702272" behindDoc="1" locked="0" layoutInCell="1" allowOverlap="1">
            <wp:simplePos x="0" y="0"/>
            <wp:positionH relativeFrom="column">
              <wp:posOffset>13335</wp:posOffset>
            </wp:positionH>
            <wp:positionV relativeFrom="paragraph">
              <wp:posOffset>169545</wp:posOffset>
            </wp:positionV>
            <wp:extent cx="1169670" cy="1774190"/>
            <wp:effectExtent l="0" t="0" r="0" b="0"/>
            <wp:wrapThrough wrapText="bothSides">
              <wp:wrapPolygon edited="0">
                <wp:start x="0" y="0"/>
                <wp:lineTo x="0" y="21337"/>
                <wp:lineTo x="21107" y="21337"/>
                <wp:lineTo x="21107" y="0"/>
                <wp:lineTo x="0" y="0"/>
              </wp:wrapPolygon>
            </wp:wrapThrough>
            <wp:docPr id="19" name="Picture 19" descr="http://www.cost.eu/var/ezwebin_site/storage/images/medialib/images/library/publications/autonomous-control-for-a-reliable-internet-of-services/1932617-1-eng-GB/Autonomous-Control-for-a-Reliable-Internet-of-Services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st.eu/var/ezwebin_site/storage/images/medialib/images/library/publications/autonomous-control-for-a-reliable-internet-of-services/1932617-1-eng-GB/Autonomous-Control-for-a-Reliable-Internet-of-Services_publication.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69670" cy="1774190"/>
                    </a:xfrm>
                    <a:prstGeom prst="rect">
                      <a:avLst/>
                    </a:prstGeom>
                    <a:noFill/>
                    <a:ln>
                      <a:noFill/>
                    </a:ln>
                  </pic:spPr>
                </pic:pic>
              </a:graphicData>
            </a:graphic>
          </wp:anchor>
        </w:drawing>
      </w:r>
    </w:p>
    <w:p w:rsidR="00FC4AE6" w:rsidRDefault="00FC4AE6" w:rsidP="00FC4AE6">
      <w:pPr>
        <w:spacing w:before="240" w:after="120"/>
        <w:ind w:left="720"/>
        <w:rPr>
          <w:bCs/>
          <w:iCs/>
          <w:sz w:val="24"/>
          <w:szCs w:val="24"/>
          <w:lang w:val="en-US"/>
        </w:rPr>
      </w:pPr>
    </w:p>
    <w:p w:rsidR="00FC4AE6" w:rsidRDefault="00FC4AE6" w:rsidP="00FC4AE6">
      <w:pPr>
        <w:spacing w:before="240" w:after="120"/>
        <w:ind w:left="720"/>
        <w:rPr>
          <w:bCs/>
          <w:iCs/>
          <w:sz w:val="24"/>
          <w:szCs w:val="24"/>
          <w:lang w:val="en-US"/>
        </w:rPr>
      </w:pPr>
    </w:p>
    <w:p w:rsidR="00FC4AE6" w:rsidRDefault="00FC4AE6" w:rsidP="00FC4AE6">
      <w:pPr>
        <w:spacing w:before="240" w:after="120"/>
        <w:ind w:left="720"/>
        <w:rPr>
          <w:bCs/>
          <w:iCs/>
          <w:sz w:val="24"/>
          <w:szCs w:val="24"/>
          <w:lang w:val="en-US"/>
        </w:rPr>
      </w:pPr>
    </w:p>
    <w:p w:rsidR="00FC4AE6" w:rsidRPr="00FC4AE6" w:rsidRDefault="00FC4AE6" w:rsidP="00FC4AE6">
      <w:pPr>
        <w:spacing w:before="240" w:after="120"/>
        <w:ind w:left="720"/>
        <w:rPr>
          <w:bCs/>
          <w:iCs/>
          <w:sz w:val="24"/>
          <w:szCs w:val="24"/>
        </w:rPr>
      </w:pPr>
      <w:r w:rsidRPr="00FC4AE6">
        <w:rPr>
          <w:bCs/>
          <w:iCs/>
          <w:sz w:val="24"/>
          <w:szCs w:val="24"/>
        </w:rPr>
        <w:t>Author(s): Ganchev, I., Van der Mei, R.D., Van den Berg, H. (Eds.)</w:t>
      </w:r>
    </w:p>
    <w:p w:rsidR="00FC4AE6" w:rsidRPr="00FC4AE6" w:rsidRDefault="00FC4AE6" w:rsidP="00FC4AE6">
      <w:pPr>
        <w:spacing w:before="240" w:after="120"/>
        <w:ind w:left="720"/>
        <w:rPr>
          <w:bCs/>
          <w:iCs/>
          <w:sz w:val="24"/>
          <w:szCs w:val="24"/>
        </w:rPr>
      </w:pPr>
      <w:r w:rsidRPr="00FC4AE6">
        <w:rPr>
          <w:bCs/>
          <w:iCs/>
          <w:sz w:val="24"/>
          <w:szCs w:val="24"/>
        </w:rPr>
        <w:t>Publisher(s): Springer</w:t>
      </w:r>
    </w:p>
    <w:p w:rsidR="00FC4AE6" w:rsidRPr="00FC4AE6" w:rsidRDefault="00F236D1" w:rsidP="00FC4AE6">
      <w:pPr>
        <w:spacing w:before="240" w:after="120"/>
        <w:rPr>
          <w:bCs/>
          <w:iCs/>
          <w:sz w:val="24"/>
          <w:szCs w:val="24"/>
        </w:rPr>
      </w:pPr>
      <w:hyperlink r:id="rId57" w:anchor="about" w:history="1">
        <w:r w:rsidR="00FC4AE6" w:rsidRPr="00FC4AE6">
          <w:rPr>
            <w:rStyle w:val="Hyperlink"/>
            <w:bCs/>
            <w:iCs/>
            <w:sz w:val="24"/>
            <w:szCs w:val="24"/>
          </w:rPr>
          <w:t>https://link.springer.com/book/10.1007/978-3-319-90415-3#about</w:t>
        </w:r>
      </w:hyperlink>
    </w:p>
    <w:p w:rsidR="00FC4AE6" w:rsidRPr="00FC4AE6" w:rsidRDefault="00FC4AE6" w:rsidP="00FC4AE6">
      <w:pPr>
        <w:spacing w:before="240" w:after="120"/>
        <w:rPr>
          <w:bCs/>
          <w:iCs/>
          <w:sz w:val="24"/>
          <w:szCs w:val="24"/>
        </w:rPr>
      </w:pPr>
      <w:r w:rsidRPr="00FC4AE6">
        <w:rPr>
          <w:bCs/>
          <w:iCs/>
          <w:sz w:val="24"/>
          <w:szCs w:val="24"/>
        </w:rPr>
        <w:t>This book was prepared to play the role of a publication and dissemination platform of the technical aspects of the Final Report of the COST Action IC1304 “Autonomous Control for a Reliable Internet of Services (ACROSS)” that has run for four years, from Fall 2013 until Fall 2017. In particular, the main goal of the COST Action ACROSS was to create a European network of experts, aiming at the development of monitoring and autonomous control methods for a reliable and quality-aware future Internet of Services (IoS). </w:t>
      </w:r>
    </w:p>
    <w:p w:rsidR="00FC4AE6" w:rsidRPr="00FC4AE6" w:rsidRDefault="00FC4AE6" w:rsidP="00FC4AE6">
      <w:pPr>
        <w:spacing w:before="240" w:after="120"/>
        <w:rPr>
          <w:bCs/>
          <w:iCs/>
          <w:sz w:val="24"/>
          <w:szCs w:val="24"/>
        </w:rPr>
      </w:pPr>
      <w:r w:rsidRPr="00FC4AE6">
        <w:rPr>
          <w:bCs/>
          <w:iCs/>
          <w:sz w:val="24"/>
          <w:szCs w:val="24"/>
        </w:rPr>
        <w:t>This book contains chapters written by various groups of co-authors that cover a broad range of research challenges and topics addressed by them during the course of the Action. We emphasize that the range of topics is based on the preferences and research interests of the members of these different groups.</w:t>
      </w:r>
    </w:p>
    <w:p w:rsidR="00B11011" w:rsidRDefault="00B11011" w:rsidP="00B11011">
      <w:pPr>
        <w:pStyle w:val="Heading2"/>
        <w:ind w:left="426"/>
        <w:rPr>
          <w:lang w:val="en-GB"/>
        </w:rPr>
      </w:pPr>
      <w:bookmarkStart w:id="25" w:name="_Toc527447852"/>
      <w:r w:rsidRPr="00025E65">
        <w:rPr>
          <w:lang w:val="en-GB"/>
        </w:rPr>
        <w:t>CERN Courier</w:t>
      </w:r>
      <w:bookmarkEnd w:id="25"/>
    </w:p>
    <w:p w:rsidR="00B11011" w:rsidRDefault="00255868" w:rsidP="00B11011">
      <w:pPr>
        <w:spacing w:after="480"/>
        <w:rPr>
          <w:noProof/>
          <w:sz w:val="24"/>
          <w:szCs w:val="24"/>
          <w:lang w:val="en-US" w:eastAsia="bg-BG"/>
        </w:rPr>
      </w:pPr>
      <w:r>
        <w:rPr>
          <w:rFonts w:ascii="Arial" w:hAnsi="Arial" w:cs="Arial"/>
          <w:noProof/>
          <w:color w:val="333333"/>
          <w:sz w:val="20"/>
          <w:szCs w:val="20"/>
          <w:lang w:eastAsia="bg-BG"/>
        </w:rPr>
        <w:drawing>
          <wp:inline distT="0" distB="0" distL="0" distR="0">
            <wp:extent cx="1274400" cy="1684800"/>
            <wp:effectExtent l="0" t="0" r="2540" b="0"/>
            <wp:docPr id="2" name="Picture 2" descr="https://cerncourier.com/wp-content/uploads/2018/09/CCOct18_pOFC-digital-1-151x200.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18/09/CCOct18_pOFC-digital-1-151x200.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74400" cy="1684800"/>
                    </a:xfrm>
                    <a:prstGeom prst="rect">
                      <a:avLst/>
                    </a:prstGeom>
                    <a:noFill/>
                    <a:ln>
                      <a:noFill/>
                    </a:ln>
                  </pic:spPr>
                </pic:pic>
              </a:graphicData>
            </a:graphic>
          </wp:inline>
        </w:drawing>
      </w:r>
      <w:r w:rsidRPr="00255868">
        <w:rPr>
          <w:b/>
          <w:noProof/>
          <w:sz w:val="24"/>
          <w:szCs w:val="24"/>
          <w:lang w:val="en-US" w:eastAsia="bg-BG"/>
        </w:rPr>
        <w:t>October</w:t>
      </w:r>
      <w:r w:rsidR="00B11011" w:rsidRPr="00FA0030">
        <w:rPr>
          <w:b/>
          <w:noProof/>
          <w:sz w:val="24"/>
          <w:szCs w:val="24"/>
          <w:lang w:val="en-US" w:eastAsia="bg-BG"/>
        </w:rPr>
        <w:t xml:space="preserve"> 2018</w:t>
      </w:r>
    </w:p>
    <w:p w:rsidR="00FC4AE6" w:rsidRDefault="00FC4AE6" w:rsidP="00A56C40">
      <w:pPr>
        <w:spacing w:before="240" w:after="120"/>
        <w:rPr>
          <w:bCs/>
          <w:iCs/>
          <w:sz w:val="24"/>
          <w:szCs w:val="24"/>
          <w:lang w:val="en-US"/>
        </w:rPr>
      </w:pPr>
    </w:p>
    <w:p w:rsidR="003F5C7D" w:rsidRPr="003F5C7D" w:rsidRDefault="003F5C7D" w:rsidP="003F5C7D">
      <w:pPr>
        <w:pStyle w:val="Heading2"/>
        <w:ind w:left="426"/>
        <w:rPr>
          <w:rFonts w:eastAsia="Times New Roman"/>
          <w:lang w:eastAsia="bg-BG"/>
        </w:rPr>
      </w:pPr>
      <w:bookmarkStart w:id="26" w:name="_Toc527447853"/>
      <w:r w:rsidRPr="003F5C7D">
        <w:rPr>
          <w:rFonts w:eastAsia="Times New Roman"/>
          <w:lang w:eastAsia="bg-BG"/>
        </w:rPr>
        <w:lastRenderedPageBreak/>
        <w:t>Network Coding and Subspace Designs</w:t>
      </w:r>
      <w:bookmarkEnd w:id="26"/>
    </w:p>
    <w:p w:rsidR="00B26EAE" w:rsidRDefault="0073440F" w:rsidP="00B26EAE">
      <w:pPr>
        <w:spacing w:before="100" w:beforeAutospacing="1" w:after="100" w:afterAutospacing="1"/>
        <w:rPr>
          <w:rFonts w:eastAsia="Times New Roman" w:cs="Times New Roman"/>
          <w:sz w:val="24"/>
          <w:szCs w:val="24"/>
          <w:lang w:eastAsia="bg-BG"/>
        </w:rPr>
      </w:pPr>
      <w:r w:rsidRPr="0073440F">
        <w:rPr>
          <w:rFonts w:eastAsia="Times New Roman" w:cs="Times New Roman"/>
          <w:noProof/>
          <w:sz w:val="24"/>
          <w:szCs w:val="24"/>
          <w:lang w:eastAsia="bg-BG"/>
        </w:rPr>
        <w:drawing>
          <wp:inline distT="0" distB="0" distL="0" distR="0">
            <wp:extent cx="1191600" cy="1789200"/>
            <wp:effectExtent l="0" t="0" r="8890" b="1905"/>
            <wp:docPr id="1" name="Picture 1" descr="http://www.cost.eu/var/ezwebin_site/storage/images/medialib/images/library/publications/network-coding-and-subspace-designs/1920317-1-eng-GB/Network-Coding-and-Subspace-Designs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st.eu/var/ezwebin_site/storage/images/medialib/images/library/publications/network-coding-and-subspace-designs/1920317-1-eng-GB/Network-Coding-and-Subspace-Designs_publication.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91600" cy="1789200"/>
                    </a:xfrm>
                    <a:prstGeom prst="rect">
                      <a:avLst/>
                    </a:prstGeom>
                    <a:noFill/>
                    <a:ln>
                      <a:noFill/>
                    </a:ln>
                  </pic:spPr>
                </pic:pic>
              </a:graphicData>
            </a:graphic>
          </wp:inline>
        </w:drawing>
      </w:r>
      <w:r w:rsidRPr="0073440F">
        <w:rPr>
          <w:rFonts w:eastAsia="Times New Roman" w:cs="Times New Roman"/>
          <w:sz w:val="24"/>
          <w:szCs w:val="24"/>
          <w:lang w:eastAsia="bg-BG"/>
        </w:rPr>
        <w:t xml:space="preserve">This book, written by experts from universities and major research laboratories, addresses the hot topic of network coding, a powerful scheme for information transmission in networks that yields near-optimal throughput. It introduces readers to this striking new approach to network coding, in which the network is not simply viewed as a mechanism for delivering packets, but rather an algebraic structure named the subspace, which these packets span. This leads to a new kind of coding theory, employing what are called subspace codes. The book presents selected, highly relevant advanced research output on: Subspace Codes and Rank Metric Codes; Finite Geometries and Subspace Designs; Application of Network Coding; Codes for Distributed Storage Systems. </w:t>
      </w:r>
    </w:p>
    <w:p w:rsidR="0073440F" w:rsidRPr="0073440F" w:rsidRDefault="0073440F" w:rsidP="00B26EAE">
      <w:pPr>
        <w:spacing w:before="120" w:after="120"/>
        <w:rPr>
          <w:rFonts w:eastAsia="Times New Roman" w:cs="Times New Roman"/>
          <w:sz w:val="24"/>
          <w:szCs w:val="24"/>
          <w:lang w:eastAsia="bg-BG"/>
        </w:rPr>
      </w:pPr>
      <w:r w:rsidRPr="0073440F">
        <w:rPr>
          <w:rFonts w:eastAsia="Times New Roman" w:cs="Times New Roman"/>
          <w:sz w:val="24"/>
          <w:szCs w:val="24"/>
          <w:lang w:eastAsia="bg-BG"/>
        </w:rPr>
        <w:t>The outcomes reflect research conducted within the framework of the European COST Action IC1104: Random Network Coding and Designs over GF(q). Taken together, they offer communications engineers, R&amp;D engineers, researchers and graduate students in Mathematics, Computer Science, and Electrical Engineering a comprehensive reference guide to the construction of optimal network codes, as well as efficient encoding and decoding schemes for a given network code.</w:t>
      </w:r>
    </w:p>
    <w:p w:rsidR="003F5C7D" w:rsidRPr="0073440F" w:rsidRDefault="003F5C7D" w:rsidP="00B26EAE">
      <w:pPr>
        <w:spacing w:before="120" w:after="120"/>
        <w:jc w:val="left"/>
        <w:rPr>
          <w:rFonts w:eastAsia="Times New Roman" w:cs="Times New Roman"/>
          <w:sz w:val="24"/>
          <w:szCs w:val="24"/>
          <w:lang w:eastAsia="bg-BG"/>
        </w:rPr>
      </w:pPr>
      <w:r w:rsidRPr="0073440F">
        <w:rPr>
          <w:rFonts w:eastAsia="Times New Roman" w:cs="Times New Roman"/>
          <w:sz w:val="24"/>
          <w:szCs w:val="24"/>
          <w:lang w:eastAsia="bg-BG"/>
        </w:rPr>
        <w:t xml:space="preserve">Author(s): Greferath, M., </w:t>
      </w:r>
      <w:proofErr w:type="spellStart"/>
      <w:r w:rsidRPr="0073440F">
        <w:rPr>
          <w:rFonts w:eastAsia="Times New Roman" w:cs="Times New Roman"/>
          <w:sz w:val="24"/>
          <w:szCs w:val="24"/>
          <w:lang w:eastAsia="bg-BG"/>
        </w:rPr>
        <w:t>Pavčević</w:t>
      </w:r>
      <w:proofErr w:type="spellEnd"/>
      <w:r w:rsidRPr="0073440F">
        <w:rPr>
          <w:rFonts w:eastAsia="Times New Roman" w:cs="Times New Roman"/>
          <w:sz w:val="24"/>
          <w:szCs w:val="24"/>
          <w:lang w:eastAsia="bg-BG"/>
        </w:rPr>
        <w:t xml:space="preserve">, M.O., </w:t>
      </w:r>
      <w:proofErr w:type="spellStart"/>
      <w:r w:rsidRPr="0073440F">
        <w:rPr>
          <w:rFonts w:eastAsia="Times New Roman" w:cs="Times New Roman"/>
          <w:sz w:val="24"/>
          <w:szCs w:val="24"/>
          <w:lang w:eastAsia="bg-BG"/>
        </w:rPr>
        <w:t>Silberstein</w:t>
      </w:r>
      <w:proofErr w:type="spellEnd"/>
      <w:r w:rsidRPr="0073440F">
        <w:rPr>
          <w:rFonts w:eastAsia="Times New Roman" w:cs="Times New Roman"/>
          <w:sz w:val="24"/>
          <w:szCs w:val="24"/>
          <w:lang w:eastAsia="bg-BG"/>
        </w:rPr>
        <w:t xml:space="preserve">, N., </w:t>
      </w:r>
      <w:proofErr w:type="spellStart"/>
      <w:r w:rsidRPr="0073440F">
        <w:rPr>
          <w:rFonts w:eastAsia="Times New Roman" w:cs="Times New Roman"/>
          <w:sz w:val="24"/>
          <w:szCs w:val="24"/>
          <w:lang w:eastAsia="bg-BG"/>
        </w:rPr>
        <w:t>Vázquez-Castro</w:t>
      </w:r>
      <w:proofErr w:type="spellEnd"/>
      <w:r w:rsidRPr="0073440F">
        <w:rPr>
          <w:rFonts w:eastAsia="Times New Roman" w:cs="Times New Roman"/>
          <w:sz w:val="24"/>
          <w:szCs w:val="24"/>
          <w:lang w:eastAsia="bg-BG"/>
        </w:rPr>
        <w:t>, M.Á. (</w:t>
      </w:r>
      <w:proofErr w:type="spellStart"/>
      <w:r w:rsidRPr="0073440F">
        <w:rPr>
          <w:rFonts w:eastAsia="Times New Roman" w:cs="Times New Roman"/>
          <w:sz w:val="24"/>
          <w:szCs w:val="24"/>
          <w:lang w:eastAsia="bg-BG"/>
        </w:rPr>
        <w:t>Eds</w:t>
      </w:r>
      <w:proofErr w:type="spellEnd"/>
      <w:r w:rsidRPr="0073440F">
        <w:rPr>
          <w:rFonts w:eastAsia="Times New Roman" w:cs="Times New Roman"/>
          <w:sz w:val="24"/>
          <w:szCs w:val="24"/>
          <w:lang w:eastAsia="bg-BG"/>
        </w:rPr>
        <w:t>.)</w:t>
      </w:r>
    </w:p>
    <w:p w:rsidR="003F5C7D" w:rsidRPr="0073440F" w:rsidRDefault="00F236D1" w:rsidP="00B26EAE">
      <w:pPr>
        <w:spacing w:before="120" w:after="100" w:afterAutospacing="1"/>
        <w:jc w:val="left"/>
        <w:rPr>
          <w:rFonts w:eastAsia="Times New Roman" w:cs="Times New Roman"/>
          <w:sz w:val="24"/>
          <w:szCs w:val="24"/>
          <w:lang w:eastAsia="bg-BG"/>
        </w:rPr>
      </w:pPr>
      <w:hyperlink r:id="rId61" w:history="1">
        <w:r w:rsidR="003F5C7D" w:rsidRPr="0073440F">
          <w:rPr>
            <w:rFonts w:eastAsia="Times New Roman" w:cs="Times New Roman"/>
            <w:color w:val="0000FF"/>
            <w:sz w:val="24"/>
            <w:szCs w:val="24"/>
            <w:u w:val="single"/>
            <w:lang w:eastAsia="bg-BG"/>
          </w:rPr>
          <w:t>https://www.springer.com/gp/book/9783319702926</w:t>
        </w:r>
      </w:hyperlink>
    </w:p>
    <w:p w:rsidR="00025E65" w:rsidRPr="006317F0" w:rsidRDefault="00025E65" w:rsidP="00FF1B30">
      <w:pPr>
        <w:spacing w:after="480"/>
        <w:rPr>
          <w:rStyle w:val="Hyperlink"/>
          <w:sz w:val="24"/>
          <w:szCs w:val="24"/>
        </w:rPr>
      </w:pPr>
    </w:p>
    <w:p w:rsidR="00FA0030" w:rsidRPr="006317F0" w:rsidRDefault="00FA0030" w:rsidP="00025E65">
      <w:pPr>
        <w:spacing w:after="480"/>
        <w:rPr>
          <w:noProof/>
          <w:sz w:val="24"/>
          <w:szCs w:val="24"/>
          <w:lang w:eastAsia="bg-BG"/>
        </w:rPr>
      </w:pPr>
    </w:p>
    <w:p w:rsidR="00FA0030" w:rsidRPr="006317F0" w:rsidRDefault="00FA0030" w:rsidP="00025E65">
      <w:pPr>
        <w:spacing w:after="480"/>
        <w:rPr>
          <w:noProof/>
          <w:sz w:val="24"/>
          <w:szCs w:val="24"/>
          <w:lang w:eastAsia="bg-BG"/>
        </w:rPr>
      </w:pPr>
    </w:p>
    <w:p w:rsidR="00FA0030" w:rsidRPr="006317F0" w:rsidRDefault="00FA0030" w:rsidP="00025E65">
      <w:pPr>
        <w:spacing w:after="480"/>
        <w:rPr>
          <w:noProof/>
          <w:sz w:val="24"/>
          <w:szCs w:val="24"/>
          <w:lang w:eastAsia="bg-BG"/>
        </w:rPr>
      </w:pPr>
    </w:p>
    <w:sectPr w:rsidR="00FA0030" w:rsidRPr="006317F0" w:rsidSect="002852EF">
      <w:footerReference w:type="default" r:id="rId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6D1" w:rsidRDefault="00F236D1" w:rsidP="003B2D94">
      <w:pPr>
        <w:spacing w:after="0" w:line="240" w:lineRule="auto"/>
      </w:pPr>
      <w:r>
        <w:separator/>
      </w:r>
    </w:p>
  </w:endnote>
  <w:endnote w:type="continuationSeparator" w:id="0">
    <w:p w:rsidR="00F236D1" w:rsidRDefault="00F236D1"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F24BA6">
      <w:tc>
        <w:tcPr>
          <w:tcW w:w="4500" w:type="pct"/>
          <w:tcBorders>
            <w:top w:val="single" w:sz="4" w:space="0" w:color="000000" w:themeColor="text1"/>
          </w:tcBorders>
        </w:tcPr>
        <w:p w:rsidR="00F24BA6" w:rsidRPr="00D22505" w:rsidRDefault="00F24BA6">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F24BA6" w:rsidRDefault="00F24BA6">
          <w:pPr>
            <w:pStyle w:val="Header"/>
            <w:rPr>
              <w:color w:val="FFFFFF" w:themeColor="background1"/>
            </w:rPr>
          </w:pPr>
          <w:r>
            <w:fldChar w:fldCharType="begin"/>
          </w:r>
          <w:r>
            <w:instrText xml:space="preserve"> PAGE   \* MERGEFORMAT </w:instrText>
          </w:r>
          <w:r>
            <w:fldChar w:fldCharType="separate"/>
          </w:r>
          <w:r w:rsidR="00873F5E" w:rsidRPr="00873F5E">
            <w:rPr>
              <w:noProof/>
              <w:color w:val="FFFFFF" w:themeColor="background1"/>
            </w:rPr>
            <w:t>2</w:t>
          </w:r>
          <w:r>
            <w:rPr>
              <w:noProof/>
              <w:color w:val="FFFFFF" w:themeColor="background1"/>
            </w:rPr>
            <w:fldChar w:fldCharType="end"/>
          </w:r>
        </w:p>
      </w:tc>
    </w:tr>
  </w:tbl>
  <w:p w:rsidR="00F24BA6" w:rsidRDefault="00F24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F24BA6">
      <w:tc>
        <w:tcPr>
          <w:tcW w:w="4500" w:type="pct"/>
          <w:tcBorders>
            <w:top w:val="single" w:sz="4" w:space="0" w:color="000000" w:themeColor="text1"/>
          </w:tcBorders>
        </w:tcPr>
        <w:p w:rsidR="00F24BA6" w:rsidRPr="00D22505" w:rsidRDefault="00F24BA6">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F24BA6" w:rsidRDefault="00F24BA6">
          <w:pPr>
            <w:pStyle w:val="Header"/>
            <w:rPr>
              <w:color w:val="FFFFFF" w:themeColor="background1"/>
            </w:rPr>
          </w:pPr>
          <w:r>
            <w:fldChar w:fldCharType="begin"/>
          </w:r>
          <w:r>
            <w:instrText xml:space="preserve"> PAGE   \* MERGEFORMAT </w:instrText>
          </w:r>
          <w:r>
            <w:fldChar w:fldCharType="separate"/>
          </w:r>
          <w:r w:rsidR="00873F5E" w:rsidRPr="00873F5E">
            <w:rPr>
              <w:noProof/>
              <w:color w:val="FFFFFF" w:themeColor="background1"/>
            </w:rPr>
            <w:t>3</w:t>
          </w:r>
          <w:r>
            <w:rPr>
              <w:noProof/>
              <w:color w:val="FFFFFF" w:themeColor="background1"/>
            </w:rPr>
            <w:fldChar w:fldCharType="end"/>
          </w:r>
        </w:p>
      </w:tc>
    </w:tr>
  </w:tbl>
  <w:p w:rsidR="00F24BA6" w:rsidRDefault="00F24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F24BA6" w:rsidTr="00D22505">
      <w:tc>
        <w:tcPr>
          <w:tcW w:w="4500" w:type="pct"/>
          <w:tcBorders>
            <w:top w:val="single" w:sz="4" w:space="0" w:color="000000" w:themeColor="text1"/>
          </w:tcBorders>
        </w:tcPr>
        <w:p w:rsidR="00F24BA6" w:rsidRPr="00D22505" w:rsidRDefault="00F24BA6">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F24BA6" w:rsidRDefault="00F24BA6">
          <w:pPr>
            <w:pStyle w:val="Header"/>
            <w:rPr>
              <w:color w:val="FFFFFF" w:themeColor="background1"/>
            </w:rPr>
          </w:pPr>
          <w:r>
            <w:fldChar w:fldCharType="begin"/>
          </w:r>
          <w:r>
            <w:instrText xml:space="preserve"> PAGE   \* MERGEFORMAT </w:instrText>
          </w:r>
          <w:r>
            <w:fldChar w:fldCharType="separate"/>
          </w:r>
          <w:r w:rsidR="00873F5E" w:rsidRPr="00873F5E">
            <w:rPr>
              <w:noProof/>
              <w:color w:val="FFFFFF" w:themeColor="background1"/>
            </w:rPr>
            <w:t>15</w:t>
          </w:r>
          <w:r>
            <w:rPr>
              <w:noProof/>
              <w:color w:val="FFFFFF" w:themeColor="background1"/>
            </w:rPr>
            <w:fldChar w:fldCharType="end"/>
          </w:r>
        </w:p>
      </w:tc>
    </w:tr>
  </w:tbl>
  <w:p w:rsidR="00F24BA6" w:rsidRDefault="00F24B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F24BA6" w:rsidTr="00D22505">
      <w:tc>
        <w:tcPr>
          <w:tcW w:w="4500" w:type="pct"/>
          <w:tcBorders>
            <w:top w:val="single" w:sz="4" w:space="0" w:color="000000" w:themeColor="text1"/>
          </w:tcBorders>
        </w:tcPr>
        <w:p w:rsidR="00F24BA6" w:rsidRPr="00D22505" w:rsidRDefault="00F24BA6">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F24BA6" w:rsidRDefault="00F24BA6">
          <w:pPr>
            <w:pStyle w:val="Header"/>
            <w:rPr>
              <w:color w:val="FFFFFF" w:themeColor="background1"/>
            </w:rPr>
          </w:pPr>
          <w:r>
            <w:fldChar w:fldCharType="begin"/>
          </w:r>
          <w:r>
            <w:instrText xml:space="preserve"> PAGE   \* MERGEFORMAT </w:instrText>
          </w:r>
          <w:r>
            <w:fldChar w:fldCharType="separate"/>
          </w:r>
          <w:r w:rsidR="00873F5E" w:rsidRPr="00873F5E">
            <w:rPr>
              <w:noProof/>
              <w:color w:val="FFFFFF" w:themeColor="background1"/>
            </w:rPr>
            <w:t>20</w:t>
          </w:r>
          <w:r>
            <w:rPr>
              <w:noProof/>
              <w:color w:val="FFFFFF" w:themeColor="background1"/>
            </w:rPr>
            <w:fldChar w:fldCharType="end"/>
          </w:r>
        </w:p>
      </w:tc>
    </w:tr>
  </w:tbl>
  <w:p w:rsidR="00F24BA6" w:rsidRDefault="00F24B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F24BA6" w:rsidTr="00413D6F">
      <w:tc>
        <w:tcPr>
          <w:tcW w:w="4500" w:type="pct"/>
          <w:tcBorders>
            <w:top w:val="single" w:sz="4" w:space="0" w:color="000000" w:themeColor="text1"/>
          </w:tcBorders>
        </w:tcPr>
        <w:p w:rsidR="00F24BA6" w:rsidRPr="00D22505" w:rsidRDefault="00F24BA6">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F24BA6" w:rsidRDefault="00F24BA6">
          <w:pPr>
            <w:pStyle w:val="Header"/>
            <w:rPr>
              <w:color w:val="FFFFFF" w:themeColor="background1"/>
            </w:rPr>
          </w:pPr>
          <w:r>
            <w:fldChar w:fldCharType="begin"/>
          </w:r>
          <w:r>
            <w:instrText xml:space="preserve"> PAGE   \* MERGEFORMAT </w:instrText>
          </w:r>
          <w:r>
            <w:fldChar w:fldCharType="separate"/>
          </w:r>
          <w:r w:rsidR="00873F5E" w:rsidRPr="00873F5E">
            <w:rPr>
              <w:noProof/>
              <w:color w:val="FFFFFF" w:themeColor="background1"/>
            </w:rPr>
            <w:t>24</w:t>
          </w:r>
          <w:r>
            <w:rPr>
              <w:noProof/>
              <w:color w:val="FFFFFF" w:themeColor="background1"/>
            </w:rPr>
            <w:fldChar w:fldCharType="end"/>
          </w:r>
        </w:p>
      </w:tc>
    </w:tr>
  </w:tbl>
  <w:p w:rsidR="00F24BA6" w:rsidRDefault="00F24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6D1" w:rsidRDefault="00F236D1" w:rsidP="003B2D94">
      <w:pPr>
        <w:spacing w:after="0" w:line="240" w:lineRule="auto"/>
      </w:pPr>
      <w:r>
        <w:separator/>
      </w:r>
    </w:p>
  </w:footnote>
  <w:footnote w:type="continuationSeparator" w:id="0">
    <w:p w:rsidR="00F236D1" w:rsidRDefault="00F236D1"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88B5A0"/>
    <w:multiLevelType w:val="hybridMultilevel"/>
    <w:tmpl w:val="6E7EE9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11CEC9"/>
    <w:multiLevelType w:val="hybridMultilevel"/>
    <w:tmpl w:val="F091C8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4BB9A7"/>
    <w:multiLevelType w:val="hybridMultilevel"/>
    <w:tmpl w:val="6792D4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D611DD0"/>
    <w:multiLevelType w:val="hybridMultilevel"/>
    <w:tmpl w:val="BAE41F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D5A196"/>
    <w:multiLevelType w:val="hybridMultilevel"/>
    <w:tmpl w:val="581172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82909AF"/>
    <w:multiLevelType w:val="hybridMultilevel"/>
    <w:tmpl w:val="22831C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D45C07"/>
    <w:multiLevelType w:val="multilevel"/>
    <w:tmpl w:val="7238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491FC3"/>
    <w:multiLevelType w:val="hybridMultilevel"/>
    <w:tmpl w:val="6E320B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2156CE7"/>
    <w:multiLevelType w:val="hybridMultilevel"/>
    <w:tmpl w:val="3AE8382C"/>
    <w:lvl w:ilvl="0" w:tplc="BAB076A0">
      <w:start w:val="4"/>
      <w:numFmt w:val="bullet"/>
      <w:lvlText w:val="-"/>
      <w:lvlJc w:val="left"/>
      <w:pPr>
        <w:ind w:left="720"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143454E8"/>
    <w:multiLevelType w:val="hybridMultilevel"/>
    <w:tmpl w:val="0FB2792E"/>
    <w:lvl w:ilvl="0" w:tplc="04020011">
      <w:start w:val="1"/>
      <w:numFmt w:val="decimal"/>
      <w:lvlText w:val="%1)"/>
      <w:lvlJc w:val="left"/>
      <w:pPr>
        <w:ind w:left="1070" w:hanging="360"/>
      </w:pPr>
      <w:rPr>
        <w:rFonts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11" w15:restartNumberingAfterBreak="0">
    <w:nsid w:val="166A2774"/>
    <w:multiLevelType w:val="multilevel"/>
    <w:tmpl w:val="711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DD5A4F"/>
    <w:multiLevelType w:val="hybridMultilevel"/>
    <w:tmpl w:val="CA1E741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17177314"/>
    <w:multiLevelType w:val="hybridMultilevel"/>
    <w:tmpl w:val="D5909150"/>
    <w:lvl w:ilvl="0" w:tplc="7FC8A26C">
      <w:start w:val="1"/>
      <w:numFmt w:val="bullet"/>
      <w:pStyle w:val="Heading2"/>
      <w:lvlText w:val=""/>
      <w:lvlJc w:val="left"/>
      <w:pPr>
        <w:ind w:left="1069" w:hanging="360"/>
      </w:pPr>
      <w:rPr>
        <w:rFonts w:ascii="Wingdings" w:hAnsi="Wingdings" w:hint="default"/>
        <w:color w:val="auto"/>
      </w:rPr>
    </w:lvl>
    <w:lvl w:ilvl="1" w:tplc="433EFA36">
      <w:numFmt w:val="bullet"/>
      <w:lvlText w:val="-"/>
      <w:lvlJc w:val="left"/>
      <w:pPr>
        <w:ind w:left="-4089" w:hanging="360"/>
      </w:pPr>
      <w:rPr>
        <w:rFonts w:ascii="Times New Roman" w:eastAsiaTheme="minorHAnsi" w:hAnsi="Times New Roman" w:cs="Times New Roman" w:hint="default"/>
      </w:rPr>
    </w:lvl>
    <w:lvl w:ilvl="2" w:tplc="04020005" w:tentative="1">
      <w:start w:val="1"/>
      <w:numFmt w:val="bullet"/>
      <w:lvlText w:val=""/>
      <w:lvlJc w:val="left"/>
      <w:pPr>
        <w:ind w:left="-3369" w:hanging="360"/>
      </w:pPr>
      <w:rPr>
        <w:rFonts w:ascii="Wingdings" w:hAnsi="Wingdings" w:hint="default"/>
      </w:rPr>
    </w:lvl>
    <w:lvl w:ilvl="3" w:tplc="04020001" w:tentative="1">
      <w:start w:val="1"/>
      <w:numFmt w:val="bullet"/>
      <w:lvlText w:val=""/>
      <w:lvlJc w:val="left"/>
      <w:pPr>
        <w:ind w:left="-2649" w:hanging="360"/>
      </w:pPr>
      <w:rPr>
        <w:rFonts w:ascii="Symbol" w:hAnsi="Symbol" w:hint="default"/>
      </w:rPr>
    </w:lvl>
    <w:lvl w:ilvl="4" w:tplc="04020003" w:tentative="1">
      <w:start w:val="1"/>
      <w:numFmt w:val="bullet"/>
      <w:lvlText w:val="o"/>
      <w:lvlJc w:val="left"/>
      <w:pPr>
        <w:ind w:left="-1929" w:hanging="360"/>
      </w:pPr>
      <w:rPr>
        <w:rFonts w:ascii="Courier New" w:hAnsi="Courier New" w:cs="Courier New" w:hint="default"/>
      </w:rPr>
    </w:lvl>
    <w:lvl w:ilvl="5" w:tplc="04020005" w:tentative="1">
      <w:start w:val="1"/>
      <w:numFmt w:val="bullet"/>
      <w:lvlText w:val=""/>
      <w:lvlJc w:val="left"/>
      <w:pPr>
        <w:ind w:left="-1209" w:hanging="360"/>
      </w:pPr>
      <w:rPr>
        <w:rFonts w:ascii="Wingdings" w:hAnsi="Wingdings" w:hint="default"/>
      </w:rPr>
    </w:lvl>
    <w:lvl w:ilvl="6" w:tplc="04020001" w:tentative="1">
      <w:start w:val="1"/>
      <w:numFmt w:val="bullet"/>
      <w:lvlText w:val=""/>
      <w:lvlJc w:val="left"/>
      <w:pPr>
        <w:ind w:left="-489" w:hanging="360"/>
      </w:pPr>
      <w:rPr>
        <w:rFonts w:ascii="Symbol" w:hAnsi="Symbol" w:hint="default"/>
      </w:rPr>
    </w:lvl>
    <w:lvl w:ilvl="7" w:tplc="04020003" w:tentative="1">
      <w:start w:val="1"/>
      <w:numFmt w:val="bullet"/>
      <w:lvlText w:val="o"/>
      <w:lvlJc w:val="left"/>
      <w:pPr>
        <w:ind w:left="231" w:hanging="360"/>
      </w:pPr>
      <w:rPr>
        <w:rFonts w:ascii="Courier New" w:hAnsi="Courier New" w:cs="Courier New" w:hint="default"/>
      </w:rPr>
    </w:lvl>
    <w:lvl w:ilvl="8" w:tplc="04020005" w:tentative="1">
      <w:start w:val="1"/>
      <w:numFmt w:val="bullet"/>
      <w:lvlText w:val=""/>
      <w:lvlJc w:val="left"/>
      <w:pPr>
        <w:ind w:left="951" w:hanging="360"/>
      </w:pPr>
      <w:rPr>
        <w:rFonts w:ascii="Wingdings" w:hAnsi="Wingdings" w:hint="default"/>
      </w:rPr>
    </w:lvl>
  </w:abstractNum>
  <w:abstractNum w:abstractNumId="14" w15:restartNumberingAfterBreak="0">
    <w:nsid w:val="1C5759BC"/>
    <w:multiLevelType w:val="multilevel"/>
    <w:tmpl w:val="8B7E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EE11F2"/>
    <w:multiLevelType w:val="hybridMultilevel"/>
    <w:tmpl w:val="2DAECCA4"/>
    <w:lvl w:ilvl="0" w:tplc="82E649E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732" w:hanging="360"/>
      </w:pPr>
      <w:rPr>
        <w:rFonts w:ascii="Courier New" w:hAnsi="Courier New" w:cs="Courier New" w:hint="default"/>
      </w:rPr>
    </w:lvl>
    <w:lvl w:ilvl="2" w:tplc="04090005">
      <w:start w:val="1"/>
      <w:numFmt w:val="bullet"/>
      <w:lvlText w:val=""/>
      <w:lvlJc w:val="left"/>
      <w:pPr>
        <w:ind w:left="1452" w:hanging="360"/>
      </w:pPr>
      <w:rPr>
        <w:rFonts w:ascii="Wingdings" w:hAnsi="Wingdings" w:hint="default"/>
      </w:rPr>
    </w:lvl>
    <w:lvl w:ilvl="3" w:tplc="04090001">
      <w:start w:val="1"/>
      <w:numFmt w:val="bullet"/>
      <w:lvlText w:val=""/>
      <w:lvlJc w:val="left"/>
      <w:pPr>
        <w:ind w:left="2172" w:hanging="360"/>
      </w:pPr>
      <w:rPr>
        <w:rFonts w:ascii="Symbol" w:hAnsi="Symbol" w:hint="default"/>
      </w:rPr>
    </w:lvl>
    <w:lvl w:ilvl="4" w:tplc="04090003">
      <w:start w:val="1"/>
      <w:numFmt w:val="bullet"/>
      <w:lvlText w:val="o"/>
      <w:lvlJc w:val="left"/>
      <w:pPr>
        <w:ind w:left="2892" w:hanging="360"/>
      </w:pPr>
      <w:rPr>
        <w:rFonts w:ascii="Courier New" w:hAnsi="Courier New" w:cs="Courier New" w:hint="default"/>
      </w:rPr>
    </w:lvl>
    <w:lvl w:ilvl="5" w:tplc="04090005">
      <w:start w:val="1"/>
      <w:numFmt w:val="bullet"/>
      <w:lvlText w:val=""/>
      <w:lvlJc w:val="left"/>
      <w:pPr>
        <w:ind w:left="3612" w:hanging="360"/>
      </w:pPr>
      <w:rPr>
        <w:rFonts w:ascii="Wingdings" w:hAnsi="Wingdings" w:hint="default"/>
      </w:rPr>
    </w:lvl>
    <w:lvl w:ilvl="6" w:tplc="04090001">
      <w:start w:val="1"/>
      <w:numFmt w:val="bullet"/>
      <w:lvlText w:val=""/>
      <w:lvlJc w:val="left"/>
      <w:pPr>
        <w:ind w:left="4332" w:hanging="360"/>
      </w:pPr>
      <w:rPr>
        <w:rFonts w:ascii="Symbol" w:hAnsi="Symbol" w:hint="default"/>
      </w:rPr>
    </w:lvl>
    <w:lvl w:ilvl="7" w:tplc="04090003">
      <w:start w:val="1"/>
      <w:numFmt w:val="bullet"/>
      <w:lvlText w:val="o"/>
      <w:lvlJc w:val="left"/>
      <w:pPr>
        <w:ind w:left="5052" w:hanging="360"/>
      </w:pPr>
      <w:rPr>
        <w:rFonts w:ascii="Courier New" w:hAnsi="Courier New" w:cs="Courier New" w:hint="default"/>
      </w:rPr>
    </w:lvl>
    <w:lvl w:ilvl="8" w:tplc="04090005">
      <w:start w:val="1"/>
      <w:numFmt w:val="bullet"/>
      <w:lvlText w:val=""/>
      <w:lvlJc w:val="left"/>
      <w:pPr>
        <w:ind w:left="5772" w:hanging="360"/>
      </w:pPr>
      <w:rPr>
        <w:rFonts w:ascii="Wingdings" w:hAnsi="Wingdings" w:hint="default"/>
      </w:rPr>
    </w:lvl>
  </w:abstractNum>
  <w:abstractNum w:abstractNumId="16" w15:restartNumberingAfterBreak="0">
    <w:nsid w:val="23AE03C9"/>
    <w:multiLevelType w:val="multilevel"/>
    <w:tmpl w:val="C4AEF2F2"/>
    <w:lvl w:ilvl="0">
      <w:numFmt w:val="bullet"/>
      <w:lvlText w:val="-"/>
      <w:lvlJc w:val="left"/>
      <w:pPr>
        <w:ind w:left="720" w:hanging="360"/>
      </w:pPr>
      <w:rPr>
        <w:rFonts w:ascii="Calibri" w:eastAsia="Calibri" w:hAnsi="Calibri" w:cs="Times New Roman" w:hint="default"/>
        <w:color w:val="auto"/>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7" w15:restartNumberingAfterBreak="0">
    <w:nsid w:val="26DE4DB0"/>
    <w:multiLevelType w:val="hybridMultilevel"/>
    <w:tmpl w:val="E79AAC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9B23C6F"/>
    <w:multiLevelType w:val="hybridMultilevel"/>
    <w:tmpl w:val="6848F13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A775462"/>
    <w:multiLevelType w:val="hybridMultilevel"/>
    <w:tmpl w:val="17AEEAF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15:restartNumberingAfterBreak="0">
    <w:nsid w:val="2B995B0B"/>
    <w:multiLevelType w:val="hybridMultilevel"/>
    <w:tmpl w:val="05A62A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2F2D0107"/>
    <w:multiLevelType w:val="hybridMultilevel"/>
    <w:tmpl w:val="B7B907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0D81DFE"/>
    <w:multiLevelType w:val="hybridMultilevel"/>
    <w:tmpl w:val="BBC86674"/>
    <w:lvl w:ilvl="0" w:tplc="82E649EE">
      <w:start w:val="1"/>
      <w:numFmt w:val="bullet"/>
      <w:lvlText w:val="-"/>
      <w:lvlJc w:val="left"/>
      <w:pPr>
        <w:ind w:left="1428" w:hanging="360"/>
      </w:pPr>
      <w:rPr>
        <w:rFonts w:ascii="Times New Roman" w:eastAsia="Times New Roman" w:hAnsi="Times New Roman" w:cs="Times New Roman"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23" w15:restartNumberingAfterBreak="0">
    <w:nsid w:val="39867991"/>
    <w:multiLevelType w:val="hybridMultilevel"/>
    <w:tmpl w:val="1E66A44C"/>
    <w:lvl w:ilvl="0" w:tplc="04020001">
      <w:start w:val="1"/>
      <w:numFmt w:val="bullet"/>
      <w:lvlText w:val=""/>
      <w:lvlJc w:val="left"/>
      <w:pPr>
        <w:ind w:left="1788" w:hanging="360"/>
      </w:pPr>
      <w:rPr>
        <w:rFonts w:ascii="Symbol" w:hAnsi="Symbol"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24" w15:restartNumberingAfterBreak="0">
    <w:nsid w:val="3DE24ABA"/>
    <w:multiLevelType w:val="hybridMultilevel"/>
    <w:tmpl w:val="1770ACAC"/>
    <w:lvl w:ilvl="0" w:tplc="F0C430FC">
      <w:start w:val="1"/>
      <w:numFmt w:val="bullet"/>
      <w:lvlText w:val="¬"/>
      <w:lvlJc w:val="left"/>
      <w:pPr>
        <w:ind w:left="1428" w:hanging="360"/>
      </w:pPr>
      <w:rPr>
        <w:rFonts w:ascii="Calibri" w:hAnsi="Calibri" w:hint="default"/>
        <w:color w:val="1E507D"/>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25" w15:restartNumberingAfterBreak="0">
    <w:nsid w:val="3E950D96"/>
    <w:multiLevelType w:val="multilevel"/>
    <w:tmpl w:val="BF4C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676E5"/>
    <w:multiLevelType w:val="hybridMultilevel"/>
    <w:tmpl w:val="2CC02F28"/>
    <w:lvl w:ilvl="0" w:tplc="5F303A76">
      <w:start w:val="1"/>
      <w:numFmt w:val="bullet"/>
      <w:lvlText w:val="–"/>
      <w:lvlJc w:val="left"/>
      <w:pPr>
        <w:ind w:left="1068" w:hanging="360"/>
      </w:pPr>
      <w:rPr>
        <w:rFonts w:ascii="Times New Roman" w:eastAsia="Times New Roman" w:hAnsi="Times New Roman" w:cs="Times New Roman" w:hint="default"/>
      </w:rPr>
    </w:lvl>
    <w:lvl w:ilvl="1" w:tplc="04020003">
      <w:start w:val="1"/>
      <w:numFmt w:val="decimal"/>
      <w:lvlText w:val="%2."/>
      <w:lvlJc w:val="left"/>
      <w:pPr>
        <w:tabs>
          <w:tab w:val="num" w:pos="1920"/>
        </w:tabs>
        <w:ind w:left="192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7" w15:restartNumberingAfterBreak="0">
    <w:nsid w:val="44006A3D"/>
    <w:multiLevelType w:val="hybridMultilevel"/>
    <w:tmpl w:val="FBCC5D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7C631D6"/>
    <w:multiLevelType w:val="hybridMultilevel"/>
    <w:tmpl w:val="3856CD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AC939BB"/>
    <w:multiLevelType w:val="multilevel"/>
    <w:tmpl w:val="080C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2E3AC7"/>
    <w:multiLevelType w:val="multilevel"/>
    <w:tmpl w:val="2E10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4F7E6D85"/>
    <w:multiLevelType w:val="multilevel"/>
    <w:tmpl w:val="A064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EF2431"/>
    <w:multiLevelType w:val="hybridMultilevel"/>
    <w:tmpl w:val="2E2EFB94"/>
    <w:lvl w:ilvl="0" w:tplc="82E649EE">
      <w:start w:val="1"/>
      <w:numFmt w:val="bullet"/>
      <w:lvlText w:val="-"/>
      <w:lvlJc w:val="left"/>
      <w:pPr>
        <w:ind w:left="1428" w:hanging="360"/>
      </w:pPr>
      <w:rPr>
        <w:rFonts w:ascii="Times New Roman" w:eastAsia="Times New Roman" w:hAnsi="Times New Roman" w:cs="Times New Roman"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34" w15:restartNumberingAfterBreak="0">
    <w:nsid w:val="67033305"/>
    <w:multiLevelType w:val="hybridMultilevel"/>
    <w:tmpl w:val="FFFCF78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5" w15:restartNumberingAfterBreak="0">
    <w:nsid w:val="683FE259"/>
    <w:multiLevelType w:val="hybridMultilevel"/>
    <w:tmpl w:val="B5D001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887553F"/>
    <w:multiLevelType w:val="multilevel"/>
    <w:tmpl w:val="1F74EC18"/>
    <w:lvl w:ilvl="0">
      <w:start w:val="1"/>
      <w:numFmt w:val="bullet"/>
      <w:lvlText w:val="¬"/>
      <w:lvlJc w:val="left"/>
      <w:pPr>
        <w:ind w:left="360" w:hanging="360"/>
      </w:pPr>
      <w:rPr>
        <w:rFonts w:ascii="Calibri" w:hAnsi="Calibri"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9F949A1"/>
    <w:multiLevelType w:val="hybridMultilevel"/>
    <w:tmpl w:val="E6527F7C"/>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8" w15:restartNumberingAfterBreak="0">
    <w:nsid w:val="6F49010C"/>
    <w:multiLevelType w:val="hybridMultilevel"/>
    <w:tmpl w:val="9D90210A"/>
    <w:lvl w:ilvl="0" w:tplc="E102CF60">
      <w:start w:val="1"/>
      <w:numFmt w:val="bullet"/>
      <w:lvlText w:val=""/>
      <w:lvlJc w:val="left"/>
      <w:pPr>
        <w:ind w:left="1428" w:hanging="360"/>
      </w:pPr>
      <w:rPr>
        <w:rFonts w:ascii="Symbol" w:hAnsi="Symbol" w:hint="default"/>
        <w:color w:val="auto"/>
      </w:rPr>
    </w:lvl>
    <w:lvl w:ilvl="1" w:tplc="04020003">
      <w:start w:val="1"/>
      <w:numFmt w:val="bullet"/>
      <w:lvlText w:val="o"/>
      <w:lvlJc w:val="left"/>
      <w:pPr>
        <w:ind w:left="2148" w:hanging="360"/>
      </w:pPr>
      <w:rPr>
        <w:rFonts w:ascii="Courier New" w:hAnsi="Courier New" w:cs="Times New Roman"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Times New Roman"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Times New Roman" w:hint="default"/>
      </w:rPr>
    </w:lvl>
    <w:lvl w:ilvl="8" w:tplc="04020005">
      <w:start w:val="1"/>
      <w:numFmt w:val="bullet"/>
      <w:lvlText w:val=""/>
      <w:lvlJc w:val="left"/>
      <w:pPr>
        <w:ind w:left="7188" w:hanging="360"/>
      </w:pPr>
      <w:rPr>
        <w:rFonts w:ascii="Wingdings" w:hAnsi="Wingdings" w:hint="default"/>
      </w:rPr>
    </w:lvl>
  </w:abstractNum>
  <w:abstractNum w:abstractNumId="39" w15:restartNumberingAfterBreak="0">
    <w:nsid w:val="7049772C"/>
    <w:multiLevelType w:val="hybridMultilevel"/>
    <w:tmpl w:val="2C806F60"/>
    <w:lvl w:ilvl="0" w:tplc="3EE0786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DD776B"/>
    <w:multiLevelType w:val="hybridMultilevel"/>
    <w:tmpl w:val="55D1EF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33222F4"/>
    <w:multiLevelType w:val="multilevel"/>
    <w:tmpl w:val="94FAA8B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253A1"/>
    <w:multiLevelType w:val="hybridMultilevel"/>
    <w:tmpl w:val="29D65C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B511992"/>
    <w:multiLevelType w:val="hybridMultilevel"/>
    <w:tmpl w:val="5588B5B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4" w15:restartNumberingAfterBreak="0">
    <w:nsid w:val="7BAC418B"/>
    <w:multiLevelType w:val="multilevel"/>
    <w:tmpl w:val="766E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37679A"/>
    <w:multiLevelType w:val="hybridMultilevel"/>
    <w:tmpl w:val="5B24DAE2"/>
    <w:lvl w:ilvl="0" w:tplc="BAB076A0">
      <w:start w:val="4"/>
      <w:numFmt w:val="bullet"/>
      <w:lvlText w:val="-"/>
      <w:lvlJc w:val="left"/>
      <w:pPr>
        <w:ind w:left="1069"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41"/>
  </w:num>
  <w:num w:numId="4">
    <w:abstractNumId w:val="32"/>
  </w:num>
  <w:num w:numId="5">
    <w:abstractNumId w:val="7"/>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2"/>
  </w:num>
  <w:num w:numId="11">
    <w:abstractNumId w:val="33"/>
  </w:num>
  <w:num w:numId="12">
    <w:abstractNumId w:val="24"/>
  </w:num>
  <w:num w:numId="13">
    <w:abstractNumId w:val="45"/>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9"/>
  </w:num>
  <w:num w:numId="17">
    <w:abstractNumId w:val="15"/>
  </w:num>
  <w:num w:numId="18">
    <w:abstractNumId w:val="18"/>
  </w:num>
  <w:num w:numId="19">
    <w:abstractNumId w:val="23"/>
  </w:num>
  <w:num w:numId="20">
    <w:abstractNumId w:val="34"/>
  </w:num>
  <w:num w:numId="21">
    <w:abstractNumId w:val="19"/>
  </w:num>
  <w:num w:numId="22">
    <w:abstractNumId w:val="8"/>
  </w:num>
  <w:num w:numId="23">
    <w:abstractNumId w:val="12"/>
  </w:num>
  <w:num w:numId="24">
    <w:abstractNumId w:val="37"/>
  </w:num>
  <w:num w:numId="25">
    <w:abstractNumId w:val="14"/>
  </w:num>
  <w:num w:numId="26">
    <w:abstractNumId w:val="44"/>
  </w:num>
  <w:num w:numId="27">
    <w:abstractNumId w:val="6"/>
  </w:num>
  <w:num w:numId="28">
    <w:abstractNumId w:val="30"/>
  </w:num>
  <w:num w:numId="29">
    <w:abstractNumId w:val="25"/>
  </w:num>
  <w:num w:numId="30">
    <w:abstractNumId w:val="11"/>
  </w:num>
  <w:num w:numId="31">
    <w:abstractNumId w:val="29"/>
  </w:num>
  <w:num w:numId="32">
    <w:abstractNumId w:val="2"/>
  </w:num>
  <w:num w:numId="33">
    <w:abstractNumId w:val="5"/>
  </w:num>
  <w:num w:numId="34">
    <w:abstractNumId w:val="3"/>
  </w:num>
  <w:num w:numId="35">
    <w:abstractNumId w:val="21"/>
  </w:num>
  <w:num w:numId="36">
    <w:abstractNumId w:val="40"/>
  </w:num>
  <w:num w:numId="37">
    <w:abstractNumId w:val="1"/>
  </w:num>
  <w:num w:numId="38">
    <w:abstractNumId w:val="35"/>
  </w:num>
  <w:num w:numId="39">
    <w:abstractNumId w:val="0"/>
  </w:num>
  <w:num w:numId="40">
    <w:abstractNumId w:val="4"/>
  </w:num>
  <w:num w:numId="41">
    <w:abstractNumId w:val="10"/>
  </w:num>
  <w:num w:numId="42">
    <w:abstractNumId w:val="28"/>
  </w:num>
  <w:num w:numId="43">
    <w:abstractNumId w:val="42"/>
  </w:num>
  <w:num w:numId="44">
    <w:abstractNumId w:val="27"/>
  </w:num>
  <w:num w:numId="45">
    <w:abstractNumId w:val="43"/>
  </w:num>
  <w:num w:numId="46">
    <w:abstractNumId w:val="20"/>
  </w:num>
  <w:num w:numId="4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5"/>
    <w:rsid w:val="00000046"/>
    <w:rsid w:val="000011E1"/>
    <w:rsid w:val="00002242"/>
    <w:rsid w:val="0000233A"/>
    <w:rsid w:val="00002687"/>
    <w:rsid w:val="000027A6"/>
    <w:rsid w:val="00002998"/>
    <w:rsid w:val="00002F1F"/>
    <w:rsid w:val="00003D17"/>
    <w:rsid w:val="00003DC8"/>
    <w:rsid w:val="00004811"/>
    <w:rsid w:val="00004AD5"/>
    <w:rsid w:val="00004B13"/>
    <w:rsid w:val="000051BA"/>
    <w:rsid w:val="00005575"/>
    <w:rsid w:val="000055B1"/>
    <w:rsid w:val="000059D6"/>
    <w:rsid w:val="00005D48"/>
    <w:rsid w:val="0000671B"/>
    <w:rsid w:val="00006C12"/>
    <w:rsid w:val="00006D5A"/>
    <w:rsid w:val="00006D5E"/>
    <w:rsid w:val="000077B1"/>
    <w:rsid w:val="00007D37"/>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B3F"/>
    <w:rsid w:val="00015E90"/>
    <w:rsid w:val="00016676"/>
    <w:rsid w:val="0001691E"/>
    <w:rsid w:val="0001699F"/>
    <w:rsid w:val="00016B77"/>
    <w:rsid w:val="00016DAB"/>
    <w:rsid w:val="000179BE"/>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447"/>
    <w:rsid w:val="000266DB"/>
    <w:rsid w:val="0002697A"/>
    <w:rsid w:val="0002714F"/>
    <w:rsid w:val="00027428"/>
    <w:rsid w:val="00027781"/>
    <w:rsid w:val="00027904"/>
    <w:rsid w:val="00027A74"/>
    <w:rsid w:val="00027ADB"/>
    <w:rsid w:val="00030200"/>
    <w:rsid w:val="0003056E"/>
    <w:rsid w:val="000315DC"/>
    <w:rsid w:val="000316BF"/>
    <w:rsid w:val="00031BF3"/>
    <w:rsid w:val="00031E1E"/>
    <w:rsid w:val="000321DE"/>
    <w:rsid w:val="000324E6"/>
    <w:rsid w:val="000325BB"/>
    <w:rsid w:val="00032CE7"/>
    <w:rsid w:val="0003317A"/>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43EA"/>
    <w:rsid w:val="00045065"/>
    <w:rsid w:val="000452B9"/>
    <w:rsid w:val="0004589C"/>
    <w:rsid w:val="00045D18"/>
    <w:rsid w:val="0004608E"/>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2F2"/>
    <w:rsid w:val="0005640E"/>
    <w:rsid w:val="000568CA"/>
    <w:rsid w:val="00057B25"/>
    <w:rsid w:val="00060348"/>
    <w:rsid w:val="00061042"/>
    <w:rsid w:val="00061216"/>
    <w:rsid w:val="00061AD5"/>
    <w:rsid w:val="00061B49"/>
    <w:rsid w:val="00061D96"/>
    <w:rsid w:val="00061E61"/>
    <w:rsid w:val="000628B2"/>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11C"/>
    <w:rsid w:val="000944D7"/>
    <w:rsid w:val="0009468A"/>
    <w:rsid w:val="00094C9D"/>
    <w:rsid w:val="00095A13"/>
    <w:rsid w:val="00095F8A"/>
    <w:rsid w:val="00096194"/>
    <w:rsid w:val="00096D53"/>
    <w:rsid w:val="00096FBE"/>
    <w:rsid w:val="00097241"/>
    <w:rsid w:val="0009732F"/>
    <w:rsid w:val="0009764A"/>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28A3"/>
    <w:rsid w:val="000D2EEC"/>
    <w:rsid w:val="000D3481"/>
    <w:rsid w:val="000D3B97"/>
    <w:rsid w:val="000D3CFD"/>
    <w:rsid w:val="000D4193"/>
    <w:rsid w:val="000D43FC"/>
    <w:rsid w:val="000D46C5"/>
    <w:rsid w:val="000D4D96"/>
    <w:rsid w:val="000D5FE3"/>
    <w:rsid w:val="000D66C4"/>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B38"/>
    <w:rsid w:val="000F6FBF"/>
    <w:rsid w:val="000F76CC"/>
    <w:rsid w:val="000F78CC"/>
    <w:rsid w:val="000F79F3"/>
    <w:rsid w:val="00100529"/>
    <w:rsid w:val="001006D8"/>
    <w:rsid w:val="00100E66"/>
    <w:rsid w:val="00100F2D"/>
    <w:rsid w:val="0010154A"/>
    <w:rsid w:val="001015CA"/>
    <w:rsid w:val="001017D3"/>
    <w:rsid w:val="00101FAA"/>
    <w:rsid w:val="001026EA"/>
    <w:rsid w:val="001027C6"/>
    <w:rsid w:val="00102B4D"/>
    <w:rsid w:val="00103449"/>
    <w:rsid w:val="0010346B"/>
    <w:rsid w:val="00103C6F"/>
    <w:rsid w:val="00104287"/>
    <w:rsid w:val="0010483E"/>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8EC"/>
    <w:rsid w:val="00115158"/>
    <w:rsid w:val="0011623F"/>
    <w:rsid w:val="001163CE"/>
    <w:rsid w:val="001169E1"/>
    <w:rsid w:val="00116E6F"/>
    <w:rsid w:val="00117732"/>
    <w:rsid w:val="00117C34"/>
    <w:rsid w:val="00117D2F"/>
    <w:rsid w:val="001211D8"/>
    <w:rsid w:val="001215B9"/>
    <w:rsid w:val="00121B7F"/>
    <w:rsid w:val="0012208E"/>
    <w:rsid w:val="00123A50"/>
    <w:rsid w:val="00123AEC"/>
    <w:rsid w:val="001244FF"/>
    <w:rsid w:val="00124BE7"/>
    <w:rsid w:val="00125067"/>
    <w:rsid w:val="001259AA"/>
    <w:rsid w:val="00125C13"/>
    <w:rsid w:val="001265DE"/>
    <w:rsid w:val="00127C50"/>
    <w:rsid w:val="00127E33"/>
    <w:rsid w:val="00127E6E"/>
    <w:rsid w:val="00127F6B"/>
    <w:rsid w:val="00131385"/>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6AFC"/>
    <w:rsid w:val="0013716D"/>
    <w:rsid w:val="00137535"/>
    <w:rsid w:val="00137868"/>
    <w:rsid w:val="00137CE4"/>
    <w:rsid w:val="00137D83"/>
    <w:rsid w:val="00140554"/>
    <w:rsid w:val="001419D6"/>
    <w:rsid w:val="00141A24"/>
    <w:rsid w:val="00141A48"/>
    <w:rsid w:val="001422D1"/>
    <w:rsid w:val="00142310"/>
    <w:rsid w:val="0014343B"/>
    <w:rsid w:val="00143FDD"/>
    <w:rsid w:val="00144D87"/>
    <w:rsid w:val="00145260"/>
    <w:rsid w:val="00145521"/>
    <w:rsid w:val="00145A6A"/>
    <w:rsid w:val="00145BB4"/>
    <w:rsid w:val="00145BCC"/>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10C7"/>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2595"/>
    <w:rsid w:val="00172763"/>
    <w:rsid w:val="001729C1"/>
    <w:rsid w:val="00173980"/>
    <w:rsid w:val="00174401"/>
    <w:rsid w:val="00174A14"/>
    <w:rsid w:val="00174E65"/>
    <w:rsid w:val="00175A4D"/>
    <w:rsid w:val="00176C49"/>
    <w:rsid w:val="001777A5"/>
    <w:rsid w:val="001778A4"/>
    <w:rsid w:val="00177A40"/>
    <w:rsid w:val="00177CBE"/>
    <w:rsid w:val="00177FD0"/>
    <w:rsid w:val="00180824"/>
    <w:rsid w:val="00180E26"/>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C2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65F0"/>
    <w:rsid w:val="001C7D41"/>
    <w:rsid w:val="001D02D0"/>
    <w:rsid w:val="001D083E"/>
    <w:rsid w:val="001D0F1E"/>
    <w:rsid w:val="001D144F"/>
    <w:rsid w:val="001D1BB6"/>
    <w:rsid w:val="001D307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8A0"/>
    <w:rsid w:val="001E2913"/>
    <w:rsid w:val="001E36FD"/>
    <w:rsid w:val="001E373E"/>
    <w:rsid w:val="001E3F9E"/>
    <w:rsid w:val="001E4430"/>
    <w:rsid w:val="001E4545"/>
    <w:rsid w:val="001E478F"/>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953"/>
    <w:rsid w:val="001F6D7C"/>
    <w:rsid w:val="001F6F8D"/>
    <w:rsid w:val="001F7517"/>
    <w:rsid w:val="001F7ACD"/>
    <w:rsid w:val="001F7D6E"/>
    <w:rsid w:val="002005D6"/>
    <w:rsid w:val="00200A5A"/>
    <w:rsid w:val="002015C3"/>
    <w:rsid w:val="00201924"/>
    <w:rsid w:val="00201BD2"/>
    <w:rsid w:val="00201DAE"/>
    <w:rsid w:val="00202659"/>
    <w:rsid w:val="00203ABE"/>
    <w:rsid w:val="00203FE8"/>
    <w:rsid w:val="00204613"/>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FEE"/>
    <w:rsid w:val="002176E2"/>
    <w:rsid w:val="00217DF8"/>
    <w:rsid w:val="002201D8"/>
    <w:rsid w:val="00220581"/>
    <w:rsid w:val="002206F2"/>
    <w:rsid w:val="00220F22"/>
    <w:rsid w:val="00220F26"/>
    <w:rsid w:val="0022192B"/>
    <w:rsid w:val="00221967"/>
    <w:rsid w:val="0022199D"/>
    <w:rsid w:val="00221F00"/>
    <w:rsid w:val="00222330"/>
    <w:rsid w:val="00222A92"/>
    <w:rsid w:val="0022374A"/>
    <w:rsid w:val="00223914"/>
    <w:rsid w:val="002240DE"/>
    <w:rsid w:val="00224138"/>
    <w:rsid w:val="002243D5"/>
    <w:rsid w:val="00224552"/>
    <w:rsid w:val="00225245"/>
    <w:rsid w:val="002257A5"/>
    <w:rsid w:val="00225E88"/>
    <w:rsid w:val="00226067"/>
    <w:rsid w:val="0022671E"/>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09D7"/>
    <w:rsid w:val="00241217"/>
    <w:rsid w:val="00241CB4"/>
    <w:rsid w:val="00242941"/>
    <w:rsid w:val="00242AED"/>
    <w:rsid w:val="002435EA"/>
    <w:rsid w:val="0024380D"/>
    <w:rsid w:val="00244299"/>
    <w:rsid w:val="002449D9"/>
    <w:rsid w:val="002449ED"/>
    <w:rsid w:val="00244DCE"/>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21B"/>
    <w:rsid w:val="00251814"/>
    <w:rsid w:val="00251B38"/>
    <w:rsid w:val="00251DF9"/>
    <w:rsid w:val="00252CF7"/>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666"/>
    <w:rsid w:val="00275B8B"/>
    <w:rsid w:val="00275E68"/>
    <w:rsid w:val="00276A3E"/>
    <w:rsid w:val="00276DA9"/>
    <w:rsid w:val="00277450"/>
    <w:rsid w:val="00277587"/>
    <w:rsid w:val="002776C6"/>
    <w:rsid w:val="0027785F"/>
    <w:rsid w:val="00277A0C"/>
    <w:rsid w:val="00277DD8"/>
    <w:rsid w:val="00280D05"/>
    <w:rsid w:val="002812B6"/>
    <w:rsid w:val="002812C3"/>
    <w:rsid w:val="0028140F"/>
    <w:rsid w:val="00281771"/>
    <w:rsid w:val="00281AB9"/>
    <w:rsid w:val="00282155"/>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59F"/>
    <w:rsid w:val="0029564F"/>
    <w:rsid w:val="00295ECF"/>
    <w:rsid w:val="00296397"/>
    <w:rsid w:val="002963B2"/>
    <w:rsid w:val="00297127"/>
    <w:rsid w:val="0029721A"/>
    <w:rsid w:val="00297247"/>
    <w:rsid w:val="0029743C"/>
    <w:rsid w:val="00297B1B"/>
    <w:rsid w:val="002A0B04"/>
    <w:rsid w:val="002A1300"/>
    <w:rsid w:val="002A1A8C"/>
    <w:rsid w:val="002A1AC6"/>
    <w:rsid w:val="002A1E7C"/>
    <w:rsid w:val="002A28EA"/>
    <w:rsid w:val="002A28F8"/>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803"/>
    <w:rsid w:val="002D5F68"/>
    <w:rsid w:val="002D5FF2"/>
    <w:rsid w:val="002D7D8B"/>
    <w:rsid w:val="002E07B2"/>
    <w:rsid w:val="002E1C16"/>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6927"/>
    <w:rsid w:val="002F0348"/>
    <w:rsid w:val="002F08CF"/>
    <w:rsid w:val="002F09C5"/>
    <w:rsid w:val="002F0D05"/>
    <w:rsid w:val="002F0D1E"/>
    <w:rsid w:val="002F139A"/>
    <w:rsid w:val="002F1AC7"/>
    <w:rsid w:val="002F23CA"/>
    <w:rsid w:val="002F29A9"/>
    <w:rsid w:val="002F2A93"/>
    <w:rsid w:val="002F2B93"/>
    <w:rsid w:val="002F353F"/>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346B"/>
    <w:rsid w:val="00313D17"/>
    <w:rsid w:val="003144B3"/>
    <w:rsid w:val="0031537C"/>
    <w:rsid w:val="0031633C"/>
    <w:rsid w:val="003177A0"/>
    <w:rsid w:val="003178A7"/>
    <w:rsid w:val="00317D76"/>
    <w:rsid w:val="00317F7D"/>
    <w:rsid w:val="003201D4"/>
    <w:rsid w:val="00320527"/>
    <w:rsid w:val="0032055D"/>
    <w:rsid w:val="003205B9"/>
    <w:rsid w:val="00320A31"/>
    <w:rsid w:val="00320B93"/>
    <w:rsid w:val="00320F9B"/>
    <w:rsid w:val="003210EB"/>
    <w:rsid w:val="00321987"/>
    <w:rsid w:val="003239D7"/>
    <w:rsid w:val="0032407D"/>
    <w:rsid w:val="003245F8"/>
    <w:rsid w:val="00324D96"/>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5C1B"/>
    <w:rsid w:val="00346BD2"/>
    <w:rsid w:val="00347131"/>
    <w:rsid w:val="003472C4"/>
    <w:rsid w:val="003473C0"/>
    <w:rsid w:val="0034782E"/>
    <w:rsid w:val="00347D40"/>
    <w:rsid w:val="00350CFF"/>
    <w:rsid w:val="00350EFE"/>
    <w:rsid w:val="00350FC4"/>
    <w:rsid w:val="00351650"/>
    <w:rsid w:val="003517B6"/>
    <w:rsid w:val="00352615"/>
    <w:rsid w:val="003528C3"/>
    <w:rsid w:val="00352E8E"/>
    <w:rsid w:val="003530BB"/>
    <w:rsid w:val="003537D2"/>
    <w:rsid w:val="00353D98"/>
    <w:rsid w:val="00354273"/>
    <w:rsid w:val="0035459C"/>
    <w:rsid w:val="00354912"/>
    <w:rsid w:val="00354E5F"/>
    <w:rsid w:val="0035522B"/>
    <w:rsid w:val="0035522E"/>
    <w:rsid w:val="003552F4"/>
    <w:rsid w:val="003554DF"/>
    <w:rsid w:val="003555DC"/>
    <w:rsid w:val="003558C5"/>
    <w:rsid w:val="0035600B"/>
    <w:rsid w:val="003565B9"/>
    <w:rsid w:val="003569BE"/>
    <w:rsid w:val="00356BA2"/>
    <w:rsid w:val="003573E3"/>
    <w:rsid w:val="0035762E"/>
    <w:rsid w:val="00357B45"/>
    <w:rsid w:val="00357F78"/>
    <w:rsid w:val="003601A4"/>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73F0"/>
    <w:rsid w:val="0036796C"/>
    <w:rsid w:val="0037034A"/>
    <w:rsid w:val="00370993"/>
    <w:rsid w:val="00370D64"/>
    <w:rsid w:val="00371AE0"/>
    <w:rsid w:val="00371EFD"/>
    <w:rsid w:val="00371F02"/>
    <w:rsid w:val="003721D6"/>
    <w:rsid w:val="00372A5E"/>
    <w:rsid w:val="00372A8B"/>
    <w:rsid w:val="00372BDE"/>
    <w:rsid w:val="00373B8A"/>
    <w:rsid w:val="00373CCF"/>
    <w:rsid w:val="00374439"/>
    <w:rsid w:val="0037450E"/>
    <w:rsid w:val="00374CE1"/>
    <w:rsid w:val="00374D05"/>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8C7"/>
    <w:rsid w:val="00385D87"/>
    <w:rsid w:val="00386626"/>
    <w:rsid w:val="00386C2E"/>
    <w:rsid w:val="00387017"/>
    <w:rsid w:val="00387243"/>
    <w:rsid w:val="00387C51"/>
    <w:rsid w:val="0039025E"/>
    <w:rsid w:val="00390437"/>
    <w:rsid w:val="00390D75"/>
    <w:rsid w:val="00391C34"/>
    <w:rsid w:val="00391DED"/>
    <w:rsid w:val="00391F48"/>
    <w:rsid w:val="00392B1B"/>
    <w:rsid w:val="00393319"/>
    <w:rsid w:val="00393E6C"/>
    <w:rsid w:val="00394162"/>
    <w:rsid w:val="003952D4"/>
    <w:rsid w:val="003953C4"/>
    <w:rsid w:val="00395461"/>
    <w:rsid w:val="00395A01"/>
    <w:rsid w:val="00395F53"/>
    <w:rsid w:val="0039611D"/>
    <w:rsid w:val="00396DD6"/>
    <w:rsid w:val="0039720E"/>
    <w:rsid w:val="003974E6"/>
    <w:rsid w:val="00397A1F"/>
    <w:rsid w:val="00397BFA"/>
    <w:rsid w:val="003A0432"/>
    <w:rsid w:val="003A0B8F"/>
    <w:rsid w:val="003A1EA3"/>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0D6"/>
    <w:rsid w:val="003F0108"/>
    <w:rsid w:val="003F07F0"/>
    <w:rsid w:val="003F08B5"/>
    <w:rsid w:val="003F145B"/>
    <w:rsid w:val="003F1BED"/>
    <w:rsid w:val="003F1E80"/>
    <w:rsid w:val="003F1F0C"/>
    <w:rsid w:val="003F1FD0"/>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557"/>
    <w:rsid w:val="003F6BA9"/>
    <w:rsid w:val="003F7829"/>
    <w:rsid w:val="00400845"/>
    <w:rsid w:val="00401BE6"/>
    <w:rsid w:val="00401C68"/>
    <w:rsid w:val="00402108"/>
    <w:rsid w:val="0040341A"/>
    <w:rsid w:val="004037BB"/>
    <w:rsid w:val="004038EB"/>
    <w:rsid w:val="00404067"/>
    <w:rsid w:val="004040E3"/>
    <w:rsid w:val="00404104"/>
    <w:rsid w:val="00404A07"/>
    <w:rsid w:val="00404D98"/>
    <w:rsid w:val="0040510A"/>
    <w:rsid w:val="00407101"/>
    <w:rsid w:val="004074B2"/>
    <w:rsid w:val="00407855"/>
    <w:rsid w:val="00410177"/>
    <w:rsid w:val="00410426"/>
    <w:rsid w:val="00410892"/>
    <w:rsid w:val="00410A71"/>
    <w:rsid w:val="004118BC"/>
    <w:rsid w:val="00411F5B"/>
    <w:rsid w:val="004122CC"/>
    <w:rsid w:val="004122D8"/>
    <w:rsid w:val="004127DF"/>
    <w:rsid w:val="00412F59"/>
    <w:rsid w:val="0041337C"/>
    <w:rsid w:val="00413583"/>
    <w:rsid w:val="00413D6F"/>
    <w:rsid w:val="00413F6E"/>
    <w:rsid w:val="0041444D"/>
    <w:rsid w:val="00414571"/>
    <w:rsid w:val="0041468C"/>
    <w:rsid w:val="00414923"/>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5D"/>
    <w:rsid w:val="00420CD3"/>
    <w:rsid w:val="00420E17"/>
    <w:rsid w:val="00420F9C"/>
    <w:rsid w:val="0042147C"/>
    <w:rsid w:val="0042192F"/>
    <w:rsid w:val="00422490"/>
    <w:rsid w:val="00423D89"/>
    <w:rsid w:val="00424242"/>
    <w:rsid w:val="0042455A"/>
    <w:rsid w:val="00424F3B"/>
    <w:rsid w:val="00425445"/>
    <w:rsid w:val="00425492"/>
    <w:rsid w:val="00425A5A"/>
    <w:rsid w:val="00425ACC"/>
    <w:rsid w:val="004262B6"/>
    <w:rsid w:val="00426698"/>
    <w:rsid w:val="00426CE0"/>
    <w:rsid w:val="00427135"/>
    <w:rsid w:val="00427799"/>
    <w:rsid w:val="00427ADE"/>
    <w:rsid w:val="00427BD8"/>
    <w:rsid w:val="00430779"/>
    <w:rsid w:val="00430B0D"/>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BEE"/>
    <w:rsid w:val="00443C8B"/>
    <w:rsid w:val="00444255"/>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33B9"/>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76A"/>
    <w:rsid w:val="00487BFF"/>
    <w:rsid w:val="0049044C"/>
    <w:rsid w:val="0049124E"/>
    <w:rsid w:val="0049162C"/>
    <w:rsid w:val="00492102"/>
    <w:rsid w:val="0049278A"/>
    <w:rsid w:val="00493D3E"/>
    <w:rsid w:val="00494E25"/>
    <w:rsid w:val="00495258"/>
    <w:rsid w:val="0049618D"/>
    <w:rsid w:val="004969B0"/>
    <w:rsid w:val="00496F0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9D3"/>
    <w:rsid w:val="004A5DFB"/>
    <w:rsid w:val="004A7B2D"/>
    <w:rsid w:val="004B036F"/>
    <w:rsid w:val="004B0443"/>
    <w:rsid w:val="004B081E"/>
    <w:rsid w:val="004B098D"/>
    <w:rsid w:val="004B157F"/>
    <w:rsid w:val="004B16B7"/>
    <w:rsid w:val="004B1758"/>
    <w:rsid w:val="004B1B1A"/>
    <w:rsid w:val="004B3DB8"/>
    <w:rsid w:val="004B4177"/>
    <w:rsid w:val="004B4AEB"/>
    <w:rsid w:val="004B4ED1"/>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E8E"/>
    <w:rsid w:val="004C6EC1"/>
    <w:rsid w:val="004C74B5"/>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0D"/>
    <w:rsid w:val="004E7459"/>
    <w:rsid w:val="004E7B12"/>
    <w:rsid w:val="004E7BEF"/>
    <w:rsid w:val="004F0835"/>
    <w:rsid w:val="004F0CFB"/>
    <w:rsid w:val="004F122E"/>
    <w:rsid w:val="004F1571"/>
    <w:rsid w:val="004F1704"/>
    <w:rsid w:val="004F2029"/>
    <w:rsid w:val="004F2C62"/>
    <w:rsid w:val="004F43A7"/>
    <w:rsid w:val="004F4B82"/>
    <w:rsid w:val="004F4DA0"/>
    <w:rsid w:val="004F5051"/>
    <w:rsid w:val="004F592A"/>
    <w:rsid w:val="004F6026"/>
    <w:rsid w:val="004F63BE"/>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803"/>
    <w:rsid w:val="005109BD"/>
    <w:rsid w:val="00510B49"/>
    <w:rsid w:val="00510D99"/>
    <w:rsid w:val="00511249"/>
    <w:rsid w:val="00511E4F"/>
    <w:rsid w:val="00512150"/>
    <w:rsid w:val="00512BDF"/>
    <w:rsid w:val="005130FE"/>
    <w:rsid w:val="00513221"/>
    <w:rsid w:val="00513980"/>
    <w:rsid w:val="00514A68"/>
    <w:rsid w:val="00514CD1"/>
    <w:rsid w:val="00515754"/>
    <w:rsid w:val="00515806"/>
    <w:rsid w:val="00515AB9"/>
    <w:rsid w:val="00515C0F"/>
    <w:rsid w:val="0051662A"/>
    <w:rsid w:val="00516EAB"/>
    <w:rsid w:val="005170DA"/>
    <w:rsid w:val="005174F4"/>
    <w:rsid w:val="00520258"/>
    <w:rsid w:val="00520408"/>
    <w:rsid w:val="0052069F"/>
    <w:rsid w:val="00520E69"/>
    <w:rsid w:val="0052108C"/>
    <w:rsid w:val="00521C06"/>
    <w:rsid w:val="00521FF8"/>
    <w:rsid w:val="005220F4"/>
    <w:rsid w:val="005224E7"/>
    <w:rsid w:val="005237CB"/>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31BA"/>
    <w:rsid w:val="00533BDE"/>
    <w:rsid w:val="0053420D"/>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4E8"/>
    <w:rsid w:val="005566E5"/>
    <w:rsid w:val="005567B6"/>
    <w:rsid w:val="00556DD0"/>
    <w:rsid w:val="00557162"/>
    <w:rsid w:val="005602B7"/>
    <w:rsid w:val="00560602"/>
    <w:rsid w:val="00560B2B"/>
    <w:rsid w:val="0056114E"/>
    <w:rsid w:val="005620B2"/>
    <w:rsid w:val="00562A11"/>
    <w:rsid w:val="00562F39"/>
    <w:rsid w:val="005636D6"/>
    <w:rsid w:val="0056397F"/>
    <w:rsid w:val="005639C2"/>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516"/>
    <w:rsid w:val="005739E6"/>
    <w:rsid w:val="00573A3E"/>
    <w:rsid w:val="005744BB"/>
    <w:rsid w:val="00574AEA"/>
    <w:rsid w:val="005753B6"/>
    <w:rsid w:val="00575B88"/>
    <w:rsid w:val="00575CAF"/>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633"/>
    <w:rsid w:val="00583813"/>
    <w:rsid w:val="00583966"/>
    <w:rsid w:val="00583CEB"/>
    <w:rsid w:val="005847F9"/>
    <w:rsid w:val="00584D1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DD"/>
    <w:rsid w:val="00587D63"/>
    <w:rsid w:val="0059020F"/>
    <w:rsid w:val="005919B7"/>
    <w:rsid w:val="00591C0E"/>
    <w:rsid w:val="0059229E"/>
    <w:rsid w:val="005925A3"/>
    <w:rsid w:val="005925AA"/>
    <w:rsid w:val="005926FE"/>
    <w:rsid w:val="00592A15"/>
    <w:rsid w:val="00592C0A"/>
    <w:rsid w:val="00592C7C"/>
    <w:rsid w:val="00592C87"/>
    <w:rsid w:val="00592CE1"/>
    <w:rsid w:val="00592E91"/>
    <w:rsid w:val="00593830"/>
    <w:rsid w:val="00593EE9"/>
    <w:rsid w:val="0059447B"/>
    <w:rsid w:val="00594750"/>
    <w:rsid w:val="00594C2D"/>
    <w:rsid w:val="005955A3"/>
    <w:rsid w:val="00595F71"/>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947"/>
    <w:rsid w:val="005B4AAB"/>
    <w:rsid w:val="005B5200"/>
    <w:rsid w:val="005B53F7"/>
    <w:rsid w:val="005B5697"/>
    <w:rsid w:val="005B5E6F"/>
    <w:rsid w:val="005B6323"/>
    <w:rsid w:val="005B6EB9"/>
    <w:rsid w:val="005B700C"/>
    <w:rsid w:val="005B7020"/>
    <w:rsid w:val="005B713A"/>
    <w:rsid w:val="005B78AD"/>
    <w:rsid w:val="005C0310"/>
    <w:rsid w:val="005C086E"/>
    <w:rsid w:val="005C12C8"/>
    <w:rsid w:val="005C22FF"/>
    <w:rsid w:val="005C3245"/>
    <w:rsid w:val="005C329D"/>
    <w:rsid w:val="005C3D75"/>
    <w:rsid w:val="005C3FC4"/>
    <w:rsid w:val="005C4C9C"/>
    <w:rsid w:val="005C50E0"/>
    <w:rsid w:val="005C537E"/>
    <w:rsid w:val="005C53EB"/>
    <w:rsid w:val="005C6234"/>
    <w:rsid w:val="005C6565"/>
    <w:rsid w:val="005C6E73"/>
    <w:rsid w:val="005C7A2B"/>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20B"/>
    <w:rsid w:val="005E2473"/>
    <w:rsid w:val="005E3930"/>
    <w:rsid w:val="005E3E75"/>
    <w:rsid w:val="005E4ACA"/>
    <w:rsid w:val="005E534D"/>
    <w:rsid w:val="005E64F4"/>
    <w:rsid w:val="005E7110"/>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575B"/>
    <w:rsid w:val="005F57E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3F"/>
    <w:rsid w:val="00613AA4"/>
    <w:rsid w:val="00613BE5"/>
    <w:rsid w:val="00614109"/>
    <w:rsid w:val="00614AE9"/>
    <w:rsid w:val="006154D9"/>
    <w:rsid w:val="00615DE6"/>
    <w:rsid w:val="006163BC"/>
    <w:rsid w:val="00616409"/>
    <w:rsid w:val="006167DE"/>
    <w:rsid w:val="0061701B"/>
    <w:rsid w:val="00617255"/>
    <w:rsid w:val="0062001B"/>
    <w:rsid w:val="00622197"/>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7D6"/>
    <w:rsid w:val="006317F0"/>
    <w:rsid w:val="00631AB7"/>
    <w:rsid w:val="00631CE1"/>
    <w:rsid w:val="0063281F"/>
    <w:rsid w:val="006335D4"/>
    <w:rsid w:val="00633CCE"/>
    <w:rsid w:val="00633F01"/>
    <w:rsid w:val="006348D2"/>
    <w:rsid w:val="00634A3F"/>
    <w:rsid w:val="006355E1"/>
    <w:rsid w:val="0063585E"/>
    <w:rsid w:val="00635897"/>
    <w:rsid w:val="006364DB"/>
    <w:rsid w:val="006366CD"/>
    <w:rsid w:val="00636A45"/>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D1"/>
    <w:rsid w:val="00646385"/>
    <w:rsid w:val="00646663"/>
    <w:rsid w:val="00646F4B"/>
    <w:rsid w:val="006470CD"/>
    <w:rsid w:val="006473DB"/>
    <w:rsid w:val="00647612"/>
    <w:rsid w:val="00647900"/>
    <w:rsid w:val="00653884"/>
    <w:rsid w:val="00653E10"/>
    <w:rsid w:val="00654626"/>
    <w:rsid w:val="00654A5D"/>
    <w:rsid w:val="006552FB"/>
    <w:rsid w:val="00655722"/>
    <w:rsid w:val="006562C1"/>
    <w:rsid w:val="0066061E"/>
    <w:rsid w:val="00660E8C"/>
    <w:rsid w:val="006619E2"/>
    <w:rsid w:val="00661A1A"/>
    <w:rsid w:val="00661E89"/>
    <w:rsid w:val="00661FF0"/>
    <w:rsid w:val="0066256A"/>
    <w:rsid w:val="0066278B"/>
    <w:rsid w:val="00663630"/>
    <w:rsid w:val="006639F3"/>
    <w:rsid w:val="00663B19"/>
    <w:rsid w:val="00663B2A"/>
    <w:rsid w:val="00663B8A"/>
    <w:rsid w:val="00663CA0"/>
    <w:rsid w:val="0066401E"/>
    <w:rsid w:val="006641AF"/>
    <w:rsid w:val="00664254"/>
    <w:rsid w:val="006644FA"/>
    <w:rsid w:val="00664794"/>
    <w:rsid w:val="006647AE"/>
    <w:rsid w:val="00664B34"/>
    <w:rsid w:val="00664C2D"/>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36EF"/>
    <w:rsid w:val="00674126"/>
    <w:rsid w:val="006757F5"/>
    <w:rsid w:val="00675B12"/>
    <w:rsid w:val="00676308"/>
    <w:rsid w:val="0067675A"/>
    <w:rsid w:val="006769C2"/>
    <w:rsid w:val="006778CB"/>
    <w:rsid w:val="0068057E"/>
    <w:rsid w:val="00680B25"/>
    <w:rsid w:val="00681B7F"/>
    <w:rsid w:val="00681C4E"/>
    <w:rsid w:val="006821DB"/>
    <w:rsid w:val="0068357D"/>
    <w:rsid w:val="00683C6A"/>
    <w:rsid w:val="00684F82"/>
    <w:rsid w:val="006852EB"/>
    <w:rsid w:val="00685BF6"/>
    <w:rsid w:val="006864FD"/>
    <w:rsid w:val="00686707"/>
    <w:rsid w:val="006867C9"/>
    <w:rsid w:val="00686FC4"/>
    <w:rsid w:val="00687478"/>
    <w:rsid w:val="00690152"/>
    <w:rsid w:val="006901CC"/>
    <w:rsid w:val="006903A0"/>
    <w:rsid w:val="0069079F"/>
    <w:rsid w:val="00690AD5"/>
    <w:rsid w:val="0069139C"/>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1BB2"/>
    <w:rsid w:val="006A1CEA"/>
    <w:rsid w:val="006A2802"/>
    <w:rsid w:val="006A2C83"/>
    <w:rsid w:val="006A2FE1"/>
    <w:rsid w:val="006A3642"/>
    <w:rsid w:val="006A4C77"/>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581F"/>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7454"/>
    <w:rsid w:val="006D7DC6"/>
    <w:rsid w:val="006D7FAC"/>
    <w:rsid w:val="006E0A3F"/>
    <w:rsid w:val="006E0DDF"/>
    <w:rsid w:val="006E198F"/>
    <w:rsid w:val="006E1C2D"/>
    <w:rsid w:val="006E20A5"/>
    <w:rsid w:val="006E20CE"/>
    <w:rsid w:val="006E2781"/>
    <w:rsid w:val="006E2911"/>
    <w:rsid w:val="006E2AC4"/>
    <w:rsid w:val="006E2B43"/>
    <w:rsid w:val="006E2B5A"/>
    <w:rsid w:val="006E324B"/>
    <w:rsid w:val="006E3988"/>
    <w:rsid w:val="006E3B86"/>
    <w:rsid w:val="006E3BD3"/>
    <w:rsid w:val="006E4442"/>
    <w:rsid w:val="006E4569"/>
    <w:rsid w:val="006E4FBB"/>
    <w:rsid w:val="006E513D"/>
    <w:rsid w:val="006E5449"/>
    <w:rsid w:val="006E58FB"/>
    <w:rsid w:val="006E5BEA"/>
    <w:rsid w:val="006E6B09"/>
    <w:rsid w:val="006E7292"/>
    <w:rsid w:val="006F0FC9"/>
    <w:rsid w:val="006F10BF"/>
    <w:rsid w:val="006F1937"/>
    <w:rsid w:val="006F1FB0"/>
    <w:rsid w:val="006F2579"/>
    <w:rsid w:val="006F2E09"/>
    <w:rsid w:val="006F2E90"/>
    <w:rsid w:val="006F2FB4"/>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1393"/>
    <w:rsid w:val="00701AE6"/>
    <w:rsid w:val="00701D7A"/>
    <w:rsid w:val="007020D4"/>
    <w:rsid w:val="00702393"/>
    <w:rsid w:val="00702E3C"/>
    <w:rsid w:val="00703071"/>
    <w:rsid w:val="00703403"/>
    <w:rsid w:val="00703950"/>
    <w:rsid w:val="00704202"/>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7E0"/>
    <w:rsid w:val="0071486A"/>
    <w:rsid w:val="00714EF0"/>
    <w:rsid w:val="0071524C"/>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ADB"/>
    <w:rsid w:val="00724BBE"/>
    <w:rsid w:val="007250FB"/>
    <w:rsid w:val="00725612"/>
    <w:rsid w:val="0072608D"/>
    <w:rsid w:val="007266B6"/>
    <w:rsid w:val="00726E06"/>
    <w:rsid w:val="00727DB1"/>
    <w:rsid w:val="0073031F"/>
    <w:rsid w:val="0073053D"/>
    <w:rsid w:val="007316B2"/>
    <w:rsid w:val="00731B7D"/>
    <w:rsid w:val="00732106"/>
    <w:rsid w:val="0073306F"/>
    <w:rsid w:val="0073307E"/>
    <w:rsid w:val="0073330A"/>
    <w:rsid w:val="007334A2"/>
    <w:rsid w:val="007334C0"/>
    <w:rsid w:val="00733CF1"/>
    <w:rsid w:val="007341AE"/>
    <w:rsid w:val="0073440F"/>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3B1"/>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F61"/>
    <w:rsid w:val="007655CC"/>
    <w:rsid w:val="00765727"/>
    <w:rsid w:val="0076591A"/>
    <w:rsid w:val="00765BEC"/>
    <w:rsid w:val="00765CAA"/>
    <w:rsid w:val="00766135"/>
    <w:rsid w:val="00766620"/>
    <w:rsid w:val="0076745B"/>
    <w:rsid w:val="00767912"/>
    <w:rsid w:val="00770C30"/>
    <w:rsid w:val="007713C8"/>
    <w:rsid w:val="00771761"/>
    <w:rsid w:val="00771888"/>
    <w:rsid w:val="0077291C"/>
    <w:rsid w:val="00772C4E"/>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EA8"/>
    <w:rsid w:val="007819E8"/>
    <w:rsid w:val="00781A1E"/>
    <w:rsid w:val="00781ACC"/>
    <w:rsid w:val="00781FA2"/>
    <w:rsid w:val="00782091"/>
    <w:rsid w:val="007827F2"/>
    <w:rsid w:val="00783030"/>
    <w:rsid w:val="007831C5"/>
    <w:rsid w:val="0078339D"/>
    <w:rsid w:val="007834DB"/>
    <w:rsid w:val="0078359C"/>
    <w:rsid w:val="00783975"/>
    <w:rsid w:val="0078486D"/>
    <w:rsid w:val="00784C54"/>
    <w:rsid w:val="00785598"/>
    <w:rsid w:val="007856E8"/>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C81"/>
    <w:rsid w:val="007A6D60"/>
    <w:rsid w:val="007A72CA"/>
    <w:rsid w:val="007B0215"/>
    <w:rsid w:val="007B0267"/>
    <w:rsid w:val="007B1048"/>
    <w:rsid w:val="007B15D7"/>
    <w:rsid w:val="007B17E3"/>
    <w:rsid w:val="007B1801"/>
    <w:rsid w:val="007B1865"/>
    <w:rsid w:val="007B1B16"/>
    <w:rsid w:val="007B1F08"/>
    <w:rsid w:val="007B2E5A"/>
    <w:rsid w:val="007B2FAA"/>
    <w:rsid w:val="007B3601"/>
    <w:rsid w:val="007B3EE6"/>
    <w:rsid w:val="007B4029"/>
    <w:rsid w:val="007B471D"/>
    <w:rsid w:val="007B4BC1"/>
    <w:rsid w:val="007B4DE0"/>
    <w:rsid w:val="007B5435"/>
    <w:rsid w:val="007B5EA2"/>
    <w:rsid w:val="007B677A"/>
    <w:rsid w:val="007B7190"/>
    <w:rsid w:val="007B729B"/>
    <w:rsid w:val="007B7829"/>
    <w:rsid w:val="007B795B"/>
    <w:rsid w:val="007C02FA"/>
    <w:rsid w:val="007C0A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FEA"/>
    <w:rsid w:val="007C77D4"/>
    <w:rsid w:val="007C7CF4"/>
    <w:rsid w:val="007C7D1B"/>
    <w:rsid w:val="007D0952"/>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0EFD"/>
    <w:rsid w:val="007E1D8D"/>
    <w:rsid w:val="007E2952"/>
    <w:rsid w:val="007E2959"/>
    <w:rsid w:val="007E2C29"/>
    <w:rsid w:val="007E2EB3"/>
    <w:rsid w:val="007E34A1"/>
    <w:rsid w:val="007E3B7C"/>
    <w:rsid w:val="007E474A"/>
    <w:rsid w:val="007E47F4"/>
    <w:rsid w:val="007E4C5A"/>
    <w:rsid w:val="007E524A"/>
    <w:rsid w:val="007E56D2"/>
    <w:rsid w:val="007E57F1"/>
    <w:rsid w:val="007E5EA1"/>
    <w:rsid w:val="007E6452"/>
    <w:rsid w:val="007E7936"/>
    <w:rsid w:val="007F0393"/>
    <w:rsid w:val="007F0F23"/>
    <w:rsid w:val="007F100A"/>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4178"/>
    <w:rsid w:val="0081427B"/>
    <w:rsid w:val="008142C6"/>
    <w:rsid w:val="00814879"/>
    <w:rsid w:val="00814A73"/>
    <w:rsid w:val="008150AF"/>
    <w:rsid w:val="008153BD"/>
    <w:rsid w:val="008157DB"/>
    <w:rsid w:val="00815D92"/>
    <w:rsid w:val="00816231"/>
    <w:rsid w:val="0081672E"/>
    <w:rsid w:val="00816CC4"/>
    <w:rsid w:val="008176A5"/>
    <w:rsid w:val="00820188"/>
    <w:rsid w:val="008209A5"/>
    <w:rsid w:val="0082109B"/>
    <w:rsid w:val="00821186"/>
    <w:rsid w:val="00821810"/>
    <w:rsid w:val="0082233D"/>
    <w:rsid w:val="0082280E"/>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3E2"/>
    <w:rsid w:val="008575C4"/>
    <w:rsid w:val="00857CEB"/>
    <w:rsid w:val="00861970"/>
    <w:rsid w:val="008619A0"/>
    <w:rsid w:val="00861F06"/>
    <w:rsid w:val="00863234"/>
    <w:rsid w:val="00863812"/>
    <w:rsid w:val="00863946"/>
    <w:rsid w:val="008642F1"/>
    <w:rsid w:val="00864B1A"/>
    <w:rsid w:val="008655C3"/>
    <w:rsid w:val="00865633"/>
    <w:rsid w:val="0086569C"/>
    <w:rsid w:val="00865B96"/>
    <w:rsid w:val="00865F61"/>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3F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3478"/>
    <w:rsid w:val="00883C5D"/>
    <w:rsid w:val="00885B5B"/>
    <w:rsid w:val="00885BAE"/>
    <w:rsid w:val="00885D77"/>
    <w:rsid w:val="00885ED1"/>
    <w:rsid w:val="008861DA"/>
    <w:rsid w:val="0088653E"/>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290"/>
    <w:rsid w:val="008B0A9A"/>
    <w:rsid w:val="008B1099"/>
    <w:rsid w:val="008B1265"/>
    <w:rsid w:val="008B192E"/>
    <w:rsid w:val="008B2577"/>
    <w:rsid w:val="008B25D7"/>
    <w:rsid w:val="008B263F"/>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56DC"/>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52"/>
    <w:rsid w:val="008F0BA0"/>
    <w:rsid w:val="008F0C18"/>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711"/>
    <w:rsid w:val="00910B18"/>
    <w:rsid w:val="00910E3E"/>
    <w:rsid w:val="00911449"/>
    <w:rsid w:val="009120A5"/>
    <w:rsid w:val="00912146"/>
    <w:rsid w:val="009123E3"/>
    <w:rsid w:val="00912699"/>
    <w:rsid w:val="009129B1"/>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091A"/>
    <w:rsid w:val="009215F5"/>
    <w:rsid w:val="0092251D"/>
    <w:rsid w:val="00923139"/>
    <w:rsid w:val="00923264"/>
    <w:rsid w:val="00923D92"/>
    <w:rsid w:val="009245D7"/>
    <w:rsid w:val="0092482B"/>
    <w:rsid w:val="009259A2"/>
    <w:rsid w:val="0092603F"/>
    <w:rsid w:val="00926636"/>
    <w:rsid w:val="00926644"/>
    <w:rsid w:val="00926C28"/>
    <w:rsid w:val="0092755F"/>
    <w:rsid w:val="0093016C"/>
    <w:rsid w:val="00930215"/>
    <w:rsid w:val="0093095B"/>
    <w:rsid w:val="00931026"/>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6E9A"/>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BAF"/>
    <w:rsid w:val="00951DAB"/>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57A8B"/>
    <w:rsid w:val="009603BB"/>
    <w:rsid w:val="009609DC"/>
    <w:rsid w:val="00960B2D"/>
    <w:rsid w:val="00960D88"/>
    <w:rsid w:val="00960E82"/>
    <w:rsid w:val="00960E8C"/>
    <w:rsid w:val="00961D16"/>
    <w:rsid w:val="00962224"/>
    <w:rsid w:val="00962349"/>
    <w:rsid w:val="0096249A"/>
    <w:rsid w:val="00962842"/>
    <w:rsid w:val="00962BBE"/>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FB2"/>
    <w:rsid w:val="00975079"/>
    <w:rsid w:val="009754D6"/>
    <w:rsid w:val="009757D8"/>
    <w:rsid w:val="00975A37"/>
    <w:rsid w:val="00976A4C"/>
    <w:rsid w:val="00976B9E"/>
    <w:rsid w:val="00976D52"/>
    <w:rsid w:val="009771D2"/>
    <w:rsid w:val="00977B2A"/>
    <w:rsid w:val="00977EAD"/>
    <w:rsid w:val="00977F28"/>
    <w:rsid w:val="0098044C"/>
    <w:rsid w:val="009804AF"/>
    <w:rsid w:val="0098160B"/>
    <w:rsid w:val="00981ACE"/>
    <w:rsid w:val="00981E71"/>
    <w:rsid w:val="00981F32"/>
    <w:rsid w:val="009825C5"/>
    <w:rsid w:val="00982B20"/>
    <w:rsid w:val="00983554"/>
    <w:rsid w:val="0098357F"/>
    <w:rsid w:val="00985027"/>
    <w:rsid w:val="009865F3"/>
    <w:rsid w:val="00986861"/>
    <w:rsid w:val="00987017"/>
    <w:rsid w:val="00987070"/>
    <w:rsid w:val="00987F98"/>
    <w:rsid w:val="00990277"/>
    <w:rsid w:val="009908A7"/>
    <w:rsid w:val="0099126D"/>
    <w:rsid w:val="009912F3"/>
    <w:rsid w:val="009915D1"/>
    <w:rsid w:val="00992606"/>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54C"/>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5B75"/>
    <w:rsid w:val="009C6263"/>
    <w:rsid w:val="009C67AE"/>
    <w:rsid w:val="009C6AE5"/>
    <w:rsid w:val="009C6CB3"/>
    <w:rsid w:val="009C7474"/>
    <w:rsid w:val="009C7986"/>
    <w:rsid w:val="009C7998"/>
    <w:rsid w:val="009C7FBA"/>
    <w:rsid w:val="009D0347"/>
    <w:rsid w:val="009D17CE"/>
    <w:rsid w:val="009D1C18"/>
    <w:rsid w:val="009D1D65"/>
    <w:rsid w:val="009D1D6E"/>
    <w:rsid w:val="009D2824"/>
    <w:rsid w:val="009D2833"/>
    <w:rsid w:val="009D2CE5"/>
    <w:rsid w:val="009D2E1B"/>
    <w:rsid w:val="009D4635"/>
    <w:rsid w:val="009D46BC"/>
    <w:rsid w:val="009D4A26"/>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4B31"/>
    <w:rsid w:val="009E51B5"/>
    <w:rsid w:val="009E5D06"/>
    <w:rsid w:val="009E5F89"/>
    <w:rsid w:val="009E5FDE"/>
    <w:rsid w:val="009E6372"/>
    <w:rsid w:val="009E6857"/>
    <w:rsid w:val="009E7151"/>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188"/>
    <w:rsid w:val="00A008F6"/>
    <w:rsid w:val="00A01522"/>
    <w:rsid w:val="00A018F0"/>
    <w:rsid w:val="00A01B14"/>
    <w:rsid w:val="00A03733"/>
    <w:rsid w:val="00A04B92"/>
    <w:rsid w:val="00A04DD5"/>
    <w:rsid w:val="00A04FD6"/>
    <w:rsid w:val="00A053B4"/>
    <w:rsid w:val="00A05DF8"/>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0675"/>
    <w:rsid w:val="00A21889"/>
    <w:rsid w:val="00A21941"/>
    <w:rsid w:val="00A219C0"/>
    <w:rsid w:val="00A21B8B"/>
    <w:rsid w:val="00A21C45"/>
    <w:rsid w:val="00A2216B"/>
    <w:rsid w:val="00A226B1"/>
    <w:rsid w:val="00A22CFA"/>
    <w:rsid w:val="00A23446"/>
    <w:rsid w:val="00A23D3B"/>
    <w:rsid w:val="00A23D9A"/>
    <w:rsid w:val="00A2412E"/>
    <w:rsid w:val="00A25A2B"/>
    <w:rsid w:val="00A26345"/>
    <w:rsid w:val="00A2743D"/>
    <w:rsid w:val="00A2786F"/>
    <w:rsid w:val="00A27C91"/>
    <w:rsid w:val="00A27DE4"/>
    <w:rsid w:val="00A27F8D"/>
    <w:rsid w:val="00A3043B"/>
    <w:rsid w:val="00A304A0"/>
    <w:rsid w:val="00A311D6"/>
    <w:rsid w:val="00A3140C"/>
    <w:rsid w:val="00A315F7"/>
    <w:rsid w:val="00A31BB9"/>
    <w:rsid w:val="00A32367"/>
    <w:rsid w:val="00A32860"/>
    <w:rsid w:val="00A32C17"/>
    <w:rsid w:val="00A33B9B"/>
    <w:rsid w:val="00A34FE1"/>
    <w:rsid w:val="00A35BAC"/>
    <w:rsid w:val="00A35D22"/>
    <w:rsid w:val="00A362A6"/>
    <w:rsid w:val="00A365D7"/>
    <w:rsid w:val="00A366D4"/>
    <w:rsid w:val="00A36C64"/>
    <w:rsid w:val="00A3754D"/>
    <w:rsid w:val="00A3784F"/>
    <w:rsid w:val="00A37DF7"/>
    <w:rsid w:val="00A40042"/>
    <w:rsid w:val="00A40043"/>
    <w:rsid w:val="00A40383"/>
    <w:rsid w:val="00A4044B"/>
    <w:rsid w:val="00A4071E"/>
    <w:rsid w:val="00A414F7"/>
    <w:rsid w:val="00A4162E"/>
    <w:rsid w:val="00A41C70"/>
    <w:rsid w:val="00A42886"/>
    <w:rsid w:val="00A43E57"/>
    <w:rsid w:val="00A4424E"/>
    <w:rsid w:val="00A4452C"/>
    <w:rsid w:val="00A44D8B"/>
    <w:rsid w:val="00A44FA5"/>
    <w:rsid w:val="00A458BC"/>
    <w:rsid w:val="00A458E2"/>
    <w:rsid w:val="00A45C52"/>
    <w:rsid w:val="00A468E0"/>
    <w:rsid w:val="00A46E90"/>
    <w:rsid w:val="00A4701B"/>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446"/>
    <w:rsid w:val="00A5406E"/>
    <w:rsid w:val="00A5551F"/>
    <w:rsid w:val="00A55BE7"/>
    <w:rsid w:val="00A55DC9"/>
    <w:rsid w:val="00A56243"/>
    <w:rsid w:val="00A56419"/>
    <w:rsid w:val="00A5663D"/>
    <w:rsid w:val="00A56C40"/>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F9A"/>
    <w:rsid w:val="00A9568A"/>
    <w:rsid w:val="00A95967"/>
    <w:rsid w:val="00A95ACA"/>
    <w:rsid w:val="00A95E0D"/>
    <w:rsid w:val="00A9631C"/>
    <w:rsid w:val="00A9684A"/>
    <w:rsid w:val="00A9685A"/>
    <w:rsid w:val="00A96B79"/>
    <w:rsid w:val="00A974F3"/>
    <w:rsid w:val="00A9799E"/>
    <w:rsid w:val="00AA001D"/>
    <w:rsid w:val="00AA0BB2"/>
    <w:rsid w:val="00AA1497"/>
    <w:rsid w:val="00AA18C3"/>
    <w:rsid w:val="00AA3093"/>
    <w:rsid w:val="00AA33DF"/>
    <w:rsid w:val="00AA38C8"/>
    <w:rsid w:val="00AA415B"/>
    <w:rsid w:val="00AA5048"/>
    <w:rsid w:val="00AA5472"/>
    <w:rsid w:val="00AA5477"/>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30E"/>
    <w:rsid w:val="00AC2549"/>
    <w:rsid w:val="00AC25B7"/>
    <w:rsid w:val="00AC2FE8"/>
    <w:rsid w:val="00AC38DD"/>
    <w:rsid w:val="00AC3B84"/>
    <w:rsid w:val="00AC4326"/>
    <w:rsid w:val="00AC4C80"/>
    <w:rsid w:val="00AC582E"/>
    <w:rsid w:val="00AC5B4C"/>
    <w:rsid w:val="00AC5CC2"/>
    <w:rsid w:val="00AC611C"/>
    <w:rsid w:val="00AC6132"/>
    <w:rsid w:val="00AC6269"/>
    <w:rsid w:val="00AC6F4C"/>
    <w:rsid w:val="00AC7031"/>
    <w:rsid w:val="00AC79AD"/>
    <w:rsid w:val="00AC7B9D"/>
    <w:rsid w:val="00AC7E60"/>
    <w:rsid w:val="00AC7EFF"/>
    <w:rsid w:val="00AD011C"/>
    <w:rsid w:val="00AD0223"/>
    <w:rsid w:val="00AD0311"/>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564"/>
    <w:rsid w:val="00AD4F89"/>
    <w:rsid w:val="00AD5169"/>
    <w:rsid w:val="00AD5831"/>
    <w:rsid w:val="00AD650B"/>
    <w:rsid w:val="00AD6AB3"/>
    <w:rsid w:val="00AD6F0F"/>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2F6"/>
    <w:rsid w:val="00AF2B1A"/>
    <w:rsid w:val="00AF3FF1"/>
    <w:rsid w:val="00AF4A16"/>
    <w:rsid w:val="00AF4DB1"/>
    <w:rsid w:val="00AF5006"/>
    <w:rsid w:val="00AF53F6"/>
    <w:rsid w:val="00AF5C39"/>
    <w:rsid w:val="00AF5F84"/>
    <w:rsid w:val="00AF61EC"/>
    <w:rsid w:val="00AF6401"/>
    <w:rsid w:val="00AF6599"/>
    <w:rsid w:val="00AF6ECE"/>
    <w:rsid w:val="00AF78DA"/>
    <w:rsid w:val="00AF7A1F"/>
    <w:rsid w:val="00AF7CDF"/>
    <w:rsid w:val="00AF7F0A"/>
    <w:rsid w:val="00B00152"/>
    <w:rsid w:val="00B017BC"/>
    <w:rsid w:val="00B01872"/>
    <w:rsid w:val="00B02252"/>
    <w:rsid w:val="00B02507"/>
    <w:rsid w:val="00B02B66"/>
    <w:rsid w:val="00B031AC"/>
    <w:rsid w:val="00B03544"/>
    <w:rsid w:val="00B03CA5"/>
    <w:rsid w:val="00B040B1"/>
    <w:rsid w:val="00B04117"/>
    <w:rsid w:val="00B04404"/>
    <w:rsid w:val="00B0444E"/>
    <w:rsid w:val="00B046AF"/>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1011"/>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61"/>
    <w:rsid w:val="00B44AFE"/>
    <w:rsid w:val="00B44E03"/>
    <w:rsid w:val="00B44F11"/>
    <w:rsid w:val="00B467A6"/>
    <w:rsid w:val="00B468BF"/>
    <w:rsid w:val="00B470A8"/>
    <w:rsid w:val="00B473FB"/>
    <w:rsid w:val="00B4758F"/>
    <w:rsid w:val="00B47783"/>
    <w:rsid w:val="00B477C5"/>
    <w:rsid w:val="00B4793A"/>
    <w:rsid w:val="00B50E12"/>
    <w:rsid w:val="00B50F8E"/>
    <w:rsid w:val="00B51FE5"/>
    <w:rsid w:val="00B5300B"/>
    <w:rsid w:val="00B530E6"/>
    <w:rsid w:val="00B54042"/>
    <w:rsid w:val="00B55480"/>
    <w:rsid w:val="00B558A1"/>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6A2E"/>
    <w:rsid w:val="00B67FBB"/>
    <w:rsid w:val="00B70203"/>
    <w:rsid w:val="00B7023A"/>
    <w:rsid w:val="00B70609"/>
    <w:rsid w:val="00B709B2"/>
    <w:rsid w:val="00B71313"/>
    <w:rsid w:val="00B7134C"/>
    <w:rsid w:val="00B71AA2"/>
    <w:rsid w:val="00B71E13"/>
    <w:rsid w:val="00B72277"/>
    <w:rsid w:val="00B723C9"/>
    <w:rsid w:val="00B72C6E"/>
    <w:rsid w:val="00B72FDF"/>
    <w:rsid w:val="00B74296"/>
    <w:rsid w:val="00B74397"/>
    <w:rsid w:val="00B743DB"/>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135F"/>
    <w:rsid w:val="00B9204C"/>
    <w:rsid w:val="00B926EB"/>
    <w:rsid w:val="00B92EA4"/>
    <w:rsid w:val="00B9378E"/>
    <w:rsid w:val="00B93A0E"/>
    <w:rsid w:val="00B9431F"/>
    <w:rsid w:val="00B94696"/>
    <w:rsid w:val="00B95219"/>
    <w:rsid w:val="00B95F23"/>
    <w:rsid w:val="00B9634D"/>
    <w:rsid w:val="00B96966"/>
    <w:rsid w:val="00B96CAE"/>
    <w:rsid w:val="00B970CA"/>
    <w:rsid w:val="00B971F0"/>
    <w:rsid w:val="00BA005F"/>
    <w:rsid w:val="00BA00BA"/>
    <w:rsid w:val="00BA0805"/>
    <w:rsid w:val="00BA0870"/>
    <w:rsid w:val="00BA08A4"/>
    <w:rsid w:val="00BA0CDE"/>
    <w:rsid w:val="00BA1381"/>
    <w:rsid w:val="00BA15AB"/>
    <w:rsid w:val="00BA205E"/>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A7847"/>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6574"/>
    <w:rsid w:val="00BE6D06"/>
    <w:rsid w:val="00BE7401"/>
    <w:rsid w:val="00BE7475"/>
    <w:rsid w:val="00BF0E88"/>
    <w:rsid w:val="00BF14E3"/>
    <w:rsid w:val="00BF1A77"/>
    <w:rsid w:val="00BF1FD5"/>
    <w:rsid w:val="00BF21D6"/>
    <w:rsid w:val="00BF2401"/>
    <w:rsid w:val="00BF2916"/>
    <w:rsid w:val="00BF36B8"/>
    <w:rsid w:val="00BF3DAC"/>
    <w:rsid w:val="00BF4191"/>
    <w:rsid w:val="00BF41EF"/>
    <w:rsid w:val="00BF452D"/>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E81"/>
    <w:rsid w:val="00C064B0"/>
    <w:rsid w:val="00C066CB"/>
    <w:rsid w:val="00C06BC3"/>
    <w:rsid w:val="00C0710C"/>
    <w:rsid w:val="00C0736C"/>
    <w:rsid w:val="00C075E1"/>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92"/>
    <w:rsid w:val="00C1610C"/>
    <w:rsid w:val="00C16971"/>
    <w:rsid w:val="00C172DD"/>
    <w:rsid w:val="00C1731A"/>
    <w:rsid w:val="00C175AE"/>
    <w:rsid w:val="00C175F3"/>
    <w:rsid w:val="00C17640"/>
    <w:rsid w:val="00C177E1"/>
    <w:rsid w:val="00C17976"/>
    <w:rsid w:val="00C1797A"/>
    <w:rsid w:val="00C17A56"/>
    <w:rsid w:val="00C17EFF"/>
    <w:rsid w:val="00C2024C"/>
    <w:rsid w:val="00C20356"/>
    <w:rsid w:val="00C203CC"/>
    <w:rsid w:val="00C20C50"/>
    <w:rsid w:val="00C20C8B"/>
    <w:rsid w:val="00C20DC7"/>
    <w:rsid w:val="00C22655"/>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2B19"/>
    <w:rsid w:val="00C332A6"/>
    <w:rsid w:val="00C33508"/>
    <w:rsid w:val="00C335BB"/>
    <w:rsid w:val="00C34B22"/>
    <w:rsid w:val="00C34EA6"/>
    <w:rsid w:val="00C3563C"/>
    <w:rsid w:val="00C3571D"/>
    <w:rsid w:val="00C36139"/>
    <w:rsid w:val="00C36A11"/>
    <w:rsid w:val="00C36CD1"/>
    <w:rsid w:val="00C37370"/>
    <w:rsid w:val="00C4021A"/>
    <w:rsid w:val="00C40577"/>
    <w:rsid w:val="00C40685"/>
    <w:rsid w:val="00C40971"/>
    <w:rsid w:val="00C410A2"/>
    <w:rsid w:val="00C411ED"/>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AC8"/>
    <w:rsid w:val="00C61923"/>
    <w:rsid w:val="00C61967"/>
    <w:rsid w:val="00C61B72"/>
    <w:rsid w:val="00C6220F"/>
    <w:rsid w:val="00C623A4"/>
    <w:rsid w:val="00C62F88"/>
    <w:rsid w:val="00C62F95"/>
    <w:rsid w:val="00C632E4"/>
    <w:rsid w:val="00C63438"/>
    <w:rsid w:val="00C639F7"/>
    <w:rsid w:val="00C64A56"/>
    <w:rsid w:val="00C64CAA"/>
    <w:rsid w:val="00C66402"/>
    <w:rsid w:val="00C66442"/>
    <w:rsid w:val="00C66522"/>
    <w:rsid w:val="00C6671B"/>
    <w:rsid w:val="00C66E2A"/>
    <w:rsid w:val="00C677B9"/>
    <w:rsid w:val="00C67941"/>
    <w:rsid w:val="00C70076"/>
    <w:rsid w:val="00C70216"/>
    <w:rsid w:val="00C708C7"/>
    <w:rsid w:val="00C70DB2"/>
    <w:rsid w:val="00C70E3F"/>
    <w:rsid w:val="00C719B5"/>
    <w:rsid w:val="00C71A7A"/>
    <w:rsid w:val="00C71C2C"/>
    <w:rsid w:val="00C7294F"/>
    <w:rsid w:val="00C72DD0"/>
    <w:rsid w:val="00C7350D"/>
    <w:rsid w:val="00C73B18"/>
    <w:rsid w:val="00C73DA8"/>
    <w:rsid w:val="00C7450D"/>
    <w:rsid w:val="00C75BC7"/>
    <w:rsid w:val="00C77141"/>
    <w:rsid w:val="00C77B12"/>
    <w:rsid w:val="00C80A73"/>
    <w:rsid w:val="00C81FB6"/>
    <w:rsid w:val="00C824C9"/>
    <w:rsid w:val="00C82B19"/>
    <w:rsid w:val="00C82DD5"/>
    <w:rsid w:val="00C83823"/>
    <w:rsid w:val="00C839F3"/>
    <w:rsid w:val="00C84039"/>
    <w:rsid w:val="00C8430D"/>
    <w:rsid w:val="00C84A6F"/>
    <w:rsid w:val="00C851C9"/>
    <w:rsid w:val="00C8629F"/>
    <w:rsid w:val="00C8643A"/>
    <w:rsid w:val="00C867CF"/>
    <w:rsid w:val="00C868E4"/>
    <w:rsid w:val="00C87056"/>
    <w:rsid w:val="00C8722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4E67"/>
    <w:rsid w:val="00C950B8"/>
    <w:rsid w:val="00C95E72"/>
    <w:rsid w:val="00C95E8A"/>
    <w:rsid w:val="00C95EF9"/>
    <w:rsid w:val="00C95F81"/>
    <w:rsid w:val="00C96340"/>
    <w:rsid w:val="00C963CE"/>
    <w:rsid w:val="00C96498"/>
    <w:rsid w:val="00C96A2A"/>
    <w:rsid w:val="00C96E76"/>
    <w:rsid w:val="00C96ED6"/>
    <w:rsid w:val="00C97184"/>
    <w:rsid w:val="00CA0394"/>
    <w:rsid w:val="00CA05FD"/>
    <w:rsid w:val="00CA0ACA"/>
    <w:rsid w:val="00CA0E57"/>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770"/>
    <w:rsid w:val="00CC4C7A"/>
    <w:rsid w:val="00CC5890"/>
    <w:rsid w:val="00CC5897"/>
    <w:rsid w:val="00CC5ED4"/>
    <w:rsid w:val="00CC5F7E"/>
    <w:rsid w:val="00CC68B5"/>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38A"/>
    <w:rsid w:val="00CD5489"/>
    <w:rsid w:val="00CD5A30"/>
    <w:rsid w:val="00CD5B2C"/>
    <w:rsid w:val="00CD5E60"/>
    <w:rsid w:val="00CD5FA2"/>
    <w:rsid w:val="00CD64C0"/>
    <w:rsid w:val="00CD7051"/>
    <w:rsid w:val="00CD7522"/>
    <w:rsid w:val="00CE02D8"/>
    <w:rsid w:val="00CE0724"/>
    <w:rsid w:val="00CE0A86"/>
    <w:rsid w:val="00CE110B"/>
    <w:rsid w:val="00CE147D"/>
    <w:rsid w:val="00CE16F1"/>
    <w:rsid w:val="00CE1C13"/>
    <w:rsid w:val="00CE23DB"/>
    <w:rsid w:val="00CE334B"/>
    <w:rsid w:val="00CE45BF"/>
    <w:rsid w:val="00CE477D"/>
    <w:rsid w:val="00CE4AAB"/>
    <w:rsid w:val="00CE5303"/>
    <w:rsid w:val="00CE57D4"/>
    <w:rsid w:val="00CE608F"/>
    <w:rsid w:val="00CE615F"/>
    <w:rsid w:val="00CE69DA"/>
    <w:rsid w:val="00CE6D79"/>
    <w:rsid w:val="00CE6E40"/>
    <w:rsid w:val="00CE724A"/>
    <w:rsid w:val="00CE75BB"/>
    <w:rsid w:val="00CE78E6"/>
    <w:rsid w:val="00CE79C8"/>
    <w:rsid w:val="00CF0293"/>
    <w:rsid w:val="00CF0993"/>
    <w:rsid w:val="00CF09CC"/>
    <w:rsid w:val="00CF0A16"/>
    <w:rsid w:val="00CF0A5F"/>
    <w:rsid w:val="00CF2268"/>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CF7687"/>
    <w:rsid w:val="00D00854"/>
    <w:rsid w:val="00D00941"/>
    <w:rsid w:val="00D00A91"/>
    <w:rsid w:val="00D00D58"/>
    <w:rsid w:val="00D01348"/>
    <w:rsid w:val="00D0148E"/>
    <w:rsid w:val="00D0176A"/>
    <w:rsid w:val="00D01978"/>
    <w:rsid w:val="00D0259D"/>
    <w:rsid w:val="00D02875"/>
    <w:rsid w:val="00D02C25"/>
    <w:rsid w:val="00D0354B"/>
    <w:rsid w:val="00D03C1A"/>
    <w:rsid w:val="00D03DC5"/>
    <w:rsid w:val="00D03E4B"/>
    <w:rsid w:val="00D043E1"/>
    <w:rsid w:val="00D0519F"/>
    <w:rsid w:val="00D058FF"/>
    <w:rsid w:val="00D05E43"/>
    <w:rsid w:val="00D07746"/>
    <w:rsid w:val="00D078A7"/>
    <w:rsid w:val="00D07C26"/>
    <w:rsid w:val="00D10455"/>
    <w:rsid w:val="00D10C72"/>
    <w:rsid w:val="00D11188"/>
    <w:rsid w:val="00D1199D"/>
    <w:rsid w:val="00D12DBB"/>
    <w:rsid w:val="00D130C3"/>
    <w:rsid w:val="00D13287"/>
    <w:rsid w:val="00D13E8D"/>
    <w:rsid w:val="00D158E1"/>
    <w:rsid w:val="00D15DC3"/>
    <w:rsid w:val="00D16034"/>
    <w:rsid w:val="00D160EA"/>
    <w:rsid w:val="00D16D08"/>
    <w:rsid w:val="00D16D24"/>
    <w:rsid w:val="00D1712C"/>
    <w:rsid w:val="00D17A36"/>
    <w:rsid w:val="00D2039E"/>
    <w:rsid w:val="00D2085B"/>
    <w:rsid w:val="00D20DDF"/>
    <w:rsid w:val="00D20E7F"/>
    <w:rsid w:val="00D213DF"/>
    <w:rsid w:val="00D21497"/>
    <w:rsid w:val="00D2151E"/>
    <w:rsid w:val="00D2179B"/>
    <w:rsid w:val="00D21ACE"/>
    <w:rsid w:val="00D21F3B"/>
    <w:rsid w:val="00D22129"/>
    <w:rsid w:val="00D224AC"/>
    <w:rsid w:val="00D22505"/>
    <w:rsid w:val="00D2430F"/>
    <w:rsid w:val="00D246BE"/>
    <w:rsid w:val="00D25566"/>
    <w:rsid w:val="00D25B0D"/>
    <w:rsid w:val="00D26064"/>
    <w:rsid w:val="00D26490"/>
    <w:rsid w:val="00D266FF"/>
    <w:rsid w:val="00D26BBE"/>
    <w:rsid w:val="00D279B4"/>
    <w:rsid w:val="00D27B82"/>
    <w:rsid w:val="00D3031E"/>
    <w:rsid w:val="00D30466"/>
    <w:rsid w:val="00D309C4"/>
    <w:rsid w:val="00D3113F"/>
    <w:rsid w:val="00D31387"/>
    <w:rsid w:val="00D31516"/>
    <w:rsid w:val="00D3162F"/>
    <w:rsid w:val="00D31983"/>
    <w:rsid w:val="00D32AE6"/>
    <w:rsid w:val="00D32E9E"/>
    <w:rsid w:val="00D332EF"/>
    <w:rsid w:val="00D334CE"/>
    <w:rsid w:val="00D339DD"/>
    <w:rsid w:val="00D33EF3"/>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7E2"/>
    <w:rsid w:val="00D65956"/>
    <w:rsid w:val="00D65B2C"/>
    <w:rsid w:val="00D65B34"/>
    <w:rsid w:val="00D6678E"/>
    <w:rsid w:val="00D668C1"/>
    <w:rsid w:val="00D66BCC"/>
    <w:rsid w:val="00D66C67"/>
    <w:rsid w:val="00D67FC2"/>
    <w:rsid w:val="00D70092"/>
    <w:rsid w:val="00D70291"/>
    <w:rsid w:val="00D703F1"/>
    <w:rsid w:val="00D70401"/>
    <w:rsid w:val="00D70D6F"/>
    <w:rsid w:val="00D7150C"/>
    <w:rsid w:val="00D71C72"/>
    <w:rsid w:val="00D7221C"/>
    <w:rsid w:val="00D729DE"/>
    <w:rsid w:val="00D72DA2"/>
    <w:rsid w:val="00D72F8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5489"/>
    <w:rsid w:val="00D85B15"/>
    <w:rsid w:val="00D865FB"/>
    <w:rsid w:val="00D9089D"/>
    <w:rsid w:val="00D913A2"/>
    <w:rsid w:val="00D916D4"/>
    <w:rsid w:val="00D92836"/>
    <w:rsid w:val="00D9381C"/>
    <w:rsid w:val="00D93BAC"/>
    <w:rsid w:val="00D95240"/>
    <w:rsid w:val="00D95588"/>
    <w:rsid w:val="00D957E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A26"/>
    <w:rsid w:val="00DB7762"/>
    <w:rsid w:val="00DB7DE9"/>
    <w:rsid w:val="00DB7E69"/>
    <w:rsid w:val="00DC06F6"/>
    <w:rsid w:val="00DC0828"/>
    <w:rsid w:val="00DC0B16"/>
    <w:rsid w:val="00DC0B86"/>
    <w:rsid w:val="00DC0D45"/>
    <w:rsid w:val="00DC1118"/>
    <w:rsid w:val="00DC2556"/>
    <w:rsid w:val="00DC2909"/>
    <w:rsid w:val="00DC2D0C"/>
    <w:rsid w:val="00DC355C"/>
    <w:rsid w:val="00DC3E28"/>
    <w:rsid w:val="00DC431F"/>
    <w:rsid w:val="00DC4943"/>
    <w:rsid w:val="00DC555A"/>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69"/>
    <w:rsid w:val="00DD7F3D"/>
    <w:rsid w:val="00DE0291"/>
    <w:rsid w:val="00DE0443"/>
    <w:rsid w:val="00DE0570"/>
    <w:rsid w:val="00DE067D"/>
    <w:rsid w:val="00DE0A84"/>
    <w:rsid w:val="00DE11F3"/>
    <w:rsid w:val="00DE149C"/>
    <w:rsid w:val="00DE1DBB"/>
    <w:rsid w:val="00DE25F7"/>
    <w:rsid w:val="00DE2C73"/>
    <w:rsid w:val="00DE30AB"/>
    <w:rsid w:val="00DE39F8"/>
    <w:rsid w:val="00DE4BC1"/>
    <w:rsid w:val="00DE4FC0"/>
    <w:rsid w:val="00DE56E7"/>
    <w:rsid w:val="00DE5D31"/>
    <w:rsid w:val="00DE5F81"/>
    <w:rsid w:val="00DE66C0"/>
    <w:rsid w:val="00DE67D8"/>
    <w:rsid w:val="00DE6870"/>
    <w:rsid w:val="00DF0063"/>
    <w:rsid w:val="00DF03B4"/>
    <w:rsid w:val="00DF0422"/>
    <w:rsid w:val="00DF066E"/>
    <w:rsid w:val="00DF0EEC"/>
    <w:rsid w:val="00DF14D6"/>
    <w:rsid w:val="00DF1B36"/>
    <w:rsid w:val="00DF2AC9"/>
    <w:rsid w:val="00DF2CE6"/>
    <w:rsid w:val="00DF2F18"/>
    <w:rsid w:val="00DF5629"/>
    <w:rsid w:val="00DF59FA"/>
    <w:rsid w:val="00DF5B80"/>
    <w:rsid w:val="00DF5C28"/>
    <w:rsid w:val="00DF6350"/>
    <w:rsid w:val="00DF66AB"/>
    <w:rsid w:val="00DF6D5E"/>
    <w:rsid w:val="00DF7161"/>
    <w:rsid w:val="00E004AB"/>
    <w:rsid w:val="00E005FD"/>
    <w:rsid w:val="00E00DDA"/>
    <w:rsid w:val="00E01192"/>
    <w:rsid w:val="00E0122B"/>
    <w:rsid w:val="00E0171A"/>
    <w:rsid w:val="00E01C89"/>
    <w:rsid w:val="00E01E88"/>
    <w:rsid w:val="00E0229A"/>
    <w:rsid w:val="00E03677"/>
    <w:rsid w:val="00E03873"/>
    <w:rsid w:val="00E03E53"/>
    <w:rsid w:val="00E04E61"/>
    <w:rsid w:val="00E050A5"/>
    <w:rsid w:val="00E05376"/>
    <w:rsid w:val="00E0539B"/>
    <w:rsid w:val="00E056EA"/>
    <w:rsid w:val="00E06C73"/>
    <w:rsid w:val="00E06F7E"/>
    <w:rsid w:val="00E07AE4"/>
    <w:rsid w:val="00E07F85"/>
    <w:rsid w:val="00E10EF6"/>
    <w:rsid w:val="00E1130B"/>
    <w:rsid w:val="00E11589"/>
    <w:rsid w:val="00E11FA8"/>
    <w:rsid w:val="00E12373"/>
    <w:rsid w:val="00E12583"/>
    <w:rsid w:val="00E12DF5"/>
    <w:rsid w:val="00E130D5"/>
    <w:rsid w:val="00E1384A"/>
    <w:rsid w:val="00E1406E"/>
    <w:rsid w:val="00E140A9"/>
    <w:rsid w:val="00E140C6"/>
    <w:rsid w:val="00E1455C"/>
    <w:rsid w:val="00E152A2"/>
    <w:rsid w:val="00E155FC"/>
    <w:rsid w:val="00E15991"/>
    <w:rsid w:val="00E15FD6"/>
    <w:rsid w:val="00E1769E"/>
    <w:rsid w:val="00E17809"/>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E0E"/>
    <w:rsid w:val="00E35567"/>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A4C"/>
    <w:rsid w:val="00E44D89"/>
    <w:rsid w:val="00E459C5"/>
    <w:rsid w:val="00E45A22"/>
    <w:rsid w:val="00E45E1C"/>
    <w:rsid w:val="00E45ECE"/>
    <w:rsid w:val="00E45F5B"/>
    <w:rsid w:val="00E46977"/>
    <w:rsid w:val="00E46E98"/>
    <w:rsid w:val="00E50403"/>
    <w:rsid w:val="00E507BF"/>
    <w:rsid w:val="00E509EF"/>
    <w:rsid w:val="00E5121E"/>
    <w:rsid w:val="00E517F6"/>
    <w:rsid w:val="00E5180D"/>
    <w:rsid w:val="00E5338E"/>
    <w:rsid w:val="00E53477"/>
    <w:rsid w:val="00E54DD7"/>
    <w:rsid w:val="00E54EED"/>
    <w:rsid w:val="00E55075"/>
    <w:rsid w:val="00E557D4"/>
    <w:rsid w:val="00E571CF"/>
    <w:rsid w:val="00E57EBD"/>
    <w:rsid w:val="00E60B50"/>
    <w:rsid w:val="00E61014"/>
    <w:rsid w:val="00E61D94"/>
    <w:rsid w:val="00E61E66"/>
    <w:rsid w:val="00E6231D"/>
    <w:rsid w:val="00E62325"/>
    <w:rsid w:val="00E631D0"/>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5229"/>
    <w:rsid w:val="00E853CC"/>
    <w:rsid w:val="00E85DDA"/>
    <w:rsid w:val="00E86380"/>
    <w:rsid w:val="00E86615"/>
    <w:rsid w:val="00E86E18"/>
    <w:rsid w:val="00E87A02"/>
    <w:rsid w:val="00E901F1"/>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607"/>
    <w:rsid w:val="00E968FC"/>
    <w:rsid w:val="00E96A02"/>
    <w:rsid w:val="00E9742A"/>
    <w:rsid w:val="00E977A2"/>
    <w:rsid w:val="00E97B99"/>
    <w:rsid w:val="00E97F80"/>
    <w:rsid w:val="00EA0696"/>
    <w:rsid w:val="00EA0A33"/>
    <w:rsid w:val="00EA0E29"/>
    <w:rsid w:val="00EA0E9E"/>
    <w:rsid w:val="00EA1234"/>
    <w:rsid w:val="00EA1417"/>
    <w:rsid w:val="00EA1A10"/>
    <w:rsid w:val="00EA1CAC"/>
    <w:rsid w:val="00EA21B2"/>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400"/>
    <w:rsid w:val="00EB14E7"/>
    <w:rsid w:val="00EB24DD"/>
    <w:rsid w:val="00EB29E5"/>
    <w:rsid w:val="00EB30DA"/>
    <w:rsid w:val="00EB3966"/>
    <w:rsid w:val="00EB400F"/>
    <w:rsid w:val="00EB44F3"/>
    <w:rsid w:val="00EB4CC4"/>
    <w:rsid w:val="00EB4F84"/>
    <w:rsid w:val="00EB5349"/>
    <w:rsid w:val="00EB5566"/>
    <w:rsid w:val="00EB5954"/>
    <w:rsid w:val="00EB65BE"/>
    <w:rsid w:val="00EB7048"/>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1F73"/>
    <w:rsid w:val="00EF228A"/>
    <w:rsid w:val="00EF248B"/>
    <w:rsid w:val="00EF290A"/>
    <w:rsid w:val="00EF3282"/>
    <w:rsid w:val="00EF38E7"/>
    <w:rsid w:val="00EF3968"/>
    <w:rsid w:val="00EF52F1"/>
    <w:rsid w:val="00EF534A"/>
    <w:rsid w:val="00EF53CB"/>
    <w:rsid w:val="00EF5EB0"/>
    <w:rsid w:val="00EF6692"/>
    <w:rsid w:val="00EF6C04"/>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A2D"/>
    <w:rsid w:val="00F15345"/>
    <w:rsid w:val="00F16772"/>
    <w:rsid w:val="00F16FA8"/>
    <w:rsid w:val="00F177FD"/>
    <w:rsid w:val="00F17E08"/>
    <w:rsid w:val="00F20B9C"/>
    <w:rsid w:val="00F20F94"/>
    <w:rsid w:val="00F214C9"/>
    <w:rsid w:val="00F21950"/>
    <w:rsid w:val="00F21ABA"/>
    <w:rsid w:val="00F21F45"/>
    <w:rsid w:val="00F21FB3"/>
    <w:rsid w:val="00F227AF"/>
    <w:rsid w:val="00F23528"/>
    <w:rsid w:val="00F236D1"/>
    <w:rsid w:val="00F23AC5"/>
    <w:rsid w:val="00F24279"/>
    <w:rsid w:val="00F24363"/>
    <w:rsid w:val="00F24BA6"/>
    <w:rsid w:val="00F2561F"/>
    <w:rsid w:val="00F2576A"/>
    <w:rsid w:val="00F275FB"/>
    <w:rsid w:val="00F27A0A"/>
    <w:rsid w:val="00F27C35"/>
    <w:rsid w:val="00F27F57"/>
    <w:rsid w:val="00F30131"/>
    <w:rsid w:val="00F30194"/>
    <w:rsid w:val="00F30B1F"/>
    <w:rsid w:val="00F311BE"/>
    <w:rsid w:val="00F31200"/>
    <w:rsid w:val="00F314B9"/>
    <w:rsid w:val="00F31B72"/>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65F"/>
    <w:rsid w:val="00F428D2"/>
    <w:rsid w:val="00F42EAC"/>
    <w:rsid w:val="00F4318B"/>
    <w:rsid w:val="00F432CA"/>
    <w:rsid w:val="00F435FD"/>
    <w:rsid w:val="00F448ED"/>
    <w:rsid w:val="00F44C08"/>
    <w:rsid w:val="00F455A8"/>
    <w:rsid w:val="00F45F70"/>
    <w:rsid w:val="00F45FF7"/>
    <w:rsid w:val="00F462FE"/>
    <w:rsid w:val="00F464C8"/>
    <w:rsid w:val="00F46CB4"/>
    <w:rsid w:val="00F46E38"/>
    <w:rsid w:val="00F47171"/>
    <w:rsid w:val="00F47B0C"/>
    <w:rsid w:val="00F47BD3"/>
    <w:rsid w:val="00F50587"/>
    <w:rsid w:val="00F505B8"/>
    <w:rsid w:val="00F5077E"/>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BC2"/>
    <w:rsid w:val="00F56BDF"/>
    <w:rsid w:val="00F56C34"/>
    <w:rsid w:val="00F56D0B"/>
    <w:rsid w:val="00F57A60"/>
    <w:rsid w:val="00F57B39"/>
    <w:rsid w:val="00F60245"/>
    <w:rsid w:val="00F605BE"/>
    <w:rsid w:val="00F610E7"/>
    <w:rsid w:val="00F61398"/>
    <w:rsid w:val="00F6296D"/>
    <w:rsid w:val="00F62A0E"/>
    <w:rsid w:val="00F632EB"/>
    <w:rsid w:val="00F63488"/>
    <w:rsid w:val="00F63496"/>
    <w:rsid w:val="00F63594"/>
    <w:rsid w:val="00F635A5"/>
    <w:rsid w:val="00F63DE0"/>
    <w:rsid w:val="00F645C0"/>
    <w:rsid w:val="00F64ABC"/>
    <w:rsid w:val="00F64CC0"/>
    <w:rsid w:val="00F64E9A"/>
    <w:rsid w:val="00F65D33"/>
    <w:rsid w:val="00F66117"/>
    <w:rsid w:val="00F66449"/>
    <w:rsid w:val="00F66E5F"/>
    <w:rsid w:val="00F679B6"/>
    <w:rsid w:val="00F7003B"/>
    <w:rsid w:val="00F7043A"/>
    <w:rsid w:val="00F70660"/>
    <w:rsid w:val="00F7145E"/>
    <w:rsid w:val="00F7230E"/>
    <w:rsid w:val="00F726C8"/>
    <w:rsid w:val="00F729A3"/>
    <w:rsid w:val="00F72C5A"/>
    <w:rsid w:val="00F73438"/>
    <w:rsid w:val="00F7442F"/>
    <w:rsid w:val="00F74659"/>
    <w:rsid w:val="00F74872"/>
    <w:rsid w:val="00F748F2"/>
    <w:rsid w:val="00F74A6A"/>
    <w:rsid w:val="00F74D69"/>
    <w:rsid w:val="00F7533A"/>
    <w:rsid w:val="00F75BDF"/>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AC2"/>
    <w:rsid w:val="00F8700D"/>
    <w:rsid w:val="00F87A03"/>
    <w:rsid w:val="00F905A5"/>
    <w:rsid w:val="00F90A5E"/>
    <w:rsid w:val="00F90F1B"/>
    <w:rsid w:val="00F91586"/>
    <w:rsid w:val="00F91BAB"/>
    <w:rsid w:val="00F92289"/>
    <w:rsid w:val="00F93146"/>
    <w:rsid w:val="00F931F4"/>
    <w:rsid w:val="00F93303"/>
    <w:rsid w:val="00F939A7"/>
    <w:rsid w:val="00F93A5B"/>
    <w:rsid w:val="00F94659"/>
    <w:rsid w:val="00F955CF"/>
    <w:rsid w:val="00F9585A"/>
    <w:rsid w:val="00F95B83"/>
    <w:rsid w:val="00F96451"/>
    <w:rsid w:val="00F973FA"/>
    <w:rsid w:val="00F97C3F"/>
    <w:rsid w:val="00F97E2B"/>
    <w:rsid w:val="00FA0030"/>
    <w:rsid w:val="00FA180B"/>
    <w:rsid w:val="00FA1827"/>
    <w:rsid w:val="00FA2462"/>
    <w:rsid w:val="00FA2526"/>
    <w:rsid w:val="00FA253A"/>
    <w:rsid w:val="00FA2E2E"/>
    <w:rsid w:val="00FA2FA0"/>
    <w:rsid w:val="00FA369D"/>
    <w:rsid w:val="00FA39E5"/>
    <w:rsid w:val="00FA3B3E"/>
    <w:rsid w:val="00FA3E57"/>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1C3D"/>
    <w:rsid w:val="00FB30E7"/>
    <w:rsid w:val="00FB32AA"/>
    <w:rsid w:val="00FB3AA8"/>
    <w:rsid w:val="00FB3C8E"/>
    <w:rsid w:val="00FB403C"/>
    <w:rsid w:val="00FB4AC9"/>
    <w:rsid w:val="00FB5A43"/>
    <w:rsid w:val="00FB5CC4"/>
    <w:rsid w:val="00FB5D7F"/>
    <w:rsid w:val="00FB6465"/>
    <w:rsid w:val="00FB6AEC"/>
    <w:rsid w:val="00FB7257"/>
    <w:rsid w:val="00FB73CB"/>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902"/>
    <w:rsid w:val="00FC7915"/>
    <w:rsid w:val="00FC7919"/>
    <w:rsid w:val="00FC7A32"/>
    <w:rsid w:val="00FD09C7"/>
    <w:rsid w:val="00FD0AF8"/>
    <w:rsid w:val="00FD0CC6"/>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6B83"/>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D56F02-9A8F-4161-831D-90635428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line="240" w:lineRule="auto"/>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icreditbulbank.bg/bg/index.htm" TargetMode="External"/><Relationship Id="rId18" Type="http://schemas.openxmlformats.org/officeDocument/2006/relationships/hyperlink" Target="https://www.promiana.com/" TargetMode="External"/><Relationship Id="rId26" Type="http://schemas.openxmlformats.org/officeDocument/2006/relationships/hyperlink" Target="mailto:fni-konkursi@mon.bg" TargetMode="External"/><Relationship Id="rId39" Type="http://schemas.openxmlformats.org/officeDocument/2006/relationships/hyperlink" Target="http://www.europarl.europa.eu/resources/library/media/20180928RES14606/20180928RES14606.pdf" TargetMode="External"/><Relationship Id="rId21" Type="http://schemas.openxmlformats.org/officeDocument/2006/relationships/hyperlink" Target="http://telerikacademy.com/" TargetMode="External"/><Relationship Id="rId34" Type="http://schemas.openxmlformats.org/officeDocument/2006/relationships/hyperlink" Target="http://www.eua.be/activities-services/events/event/2018/11/15/default-calendar/13th-european-quality-assurance-forum" TargetMode="External"/><Relationship Id="rId42" Type="http://schemas.openxmlformats.org/officeDocument/2006/relationships/hyperlink" Target="https://euraxess.ec.europa.eu/euraxess/events/2019-info-day-ensuring-excellent-research-investing-researchers-talents-skills" TargetMode="External"/><Relationship Id="rId47" Type="http://schemas.openxmlformats.org/officeDocument/2006/relationships/image" Target="media/image3.png"/><Relationship Id="rId50" Type="http://schemas.openxmlformats.org/officeDocument/2006/relationships/hyperlink" Target="https://academic.oup.com/ndt/article/33/suppl_2/ii15/5078404" TargetMode="External"/><Relationship Id="rId55" Type="http://schemas.openxmlformats.org/officeDocument/2006/relationships/hyperlink" Target="https://www.degruyter.com/viewbooktoc/product/507228?rskey=Te34SV&amp;result=1"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nurembergacademy.org/about-us/job-offers/detail/3-months-internship-14/" TargetMode="External"/><Relationship Id="rId20" Type="http://schemas.openxmlformats.org/officeDocument/2006/relationships/hyperlink" Target="https://www.telerikacademy.com/alpha" TargetMode="External"/><Relationship Id="rId29" Type="http://schemas.openxmlformats.org/officeDocument/2006/relationships/footer" Target="footer3.xml"/><Relationship Id="rId41" Type="http://schemas.openxmlformats.org/officeDocument/2006/relationships/hyperlink" Target="https://efmc.eu/trainings/about-training/" TargetMode="External"/><Relationship Id="rId54" Type="http://schemas.openxmlformats.org/officeDocument/2006/relationships/image" Target="media/image4.png"/><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fe.com/scholarship.aspx" TargetMode="External"/><Relationship Id="rId24" Type="http://schemas.openxmlformats.org/officeDocument/2006/relationships/hyperlink" Target="https://www.fni.bg/?q=node/527" TargetMode="External"/><Relationship Id="rId32" Type="http://schemas.openxmlformats.org/officeDocument/2006/relationships/hyperlink" Target="http://www.innovatorsinculturalheritage.eu/launch" TargetMode="External"/><Relationship Id="rId37" Type="http://schemas.openxmlformats.org/officeDocument/2006/relationships/hyperlink" Target="https://tutech.de/en/termine-veranstaltungen/creating-value-from-knowledge/" TargetMode="External"/><Relationship Id="rId40" Type="http://schemas.openxmlformats.org/officeDocument/2006/relationships/hyperlink" Target="http://www.europarl.europa.eu/news/en/headlines/eu-affairs/20180920STO14023/conference-the-impact-of-eu-research-and-innovation-on-your-daily-life" TargetMode="External"/><Relationship Id="rId45" Type="http://schemas.openxmlformats.org/officeDocument/2006/relationships/image" Target="media/image2.jpeg"/><Relationship Id="rId53" Type="http://schemas.openxmlformats.org/officeDocument/2006/relationships/hyperlink" Target="https://academic.oup.com/ndt/article/33/suppl_2/ii41/5078406" TargetMode="External"/><Relationship Id="rId58" Type="http://schemas.openxmlformats.org/officeDocument/2006/relationships/hyperlink" Target="http://iopp.fileburst.com/ccr/archive/CERNCourier2018Oct-digitaledition.pdf" TargetMode="External"/><Relationship Id="rId5" Type="http://schemas.openxmlformats.org/officeDocument/2006/relationships/settings" Target="settings.xml"/><Relationship Id="rId15" Type="http://schemas.openxmlformats.org/officeDocument/2006/relationships/hyperlink" Target="http://www.fao.org/employment/opportunities-for-young-talents/internship-programme/en/" TargetMode="External"/><Relationship Id="rId23" Type="http://schemas.openxmlformats.org/officeDocument/2006/relationships/hyperlink" Target="http://www.fni.bg" TargetMode="External"/><Relationship Id="rId28" Type="http://schemas.openxmlformats.org/officeDocument/2006/relationships/hyperlink" Target="http://www.kaowarsom.be/" TargetMode="External"/><Relationship Id="rId36" Type="http://schemas.openxmlformats.org/officeDocument/2006/relationships/hyperlink" Target="http://www.belspo.be/registration/openscience/form.asp" TargetMode="External"/><Relationship Id="rId49" Type="http://schemas.openxmlformats.org/officeDocument/2006/relationships/hyperlink" Target="https://academic.oup.com/ndt/article/33/suppl_2/ii4/5078407" TargetMode="External"/><Relationship Id="rId57" Type="http://schemas.openxmlformats.org/officeDocument/2006/relationships/hyperlink" Target="https://link.springer.com/book/10.1007/978-3-319-90415-3" TargetMode="External"/><Relationship Id="rId61" Type="http://schemas.openxmlformats.org/officeDocument/2006/relationships/hyperlink" Target="https://www.springer.com/gp/book/9783319702926" TargetMode="External"/><Relationship Id="rId10" Type="http://schemas.openxmlformats.org/officeDocument/2006/relationships/footer" Target="footer1.xml"/><Relationship Id="rId19" Type="http://schemas.openxmlformats.org/officeDocument/2006/relationships/hyperlink" Target="https://www.telerikacademy.com/alpha" TargetMode="External"/><Relationship Id="rId31" Type="http://schemas.openxmlformats.org/officeDocument/2006/relationships/hyperlink" Target="http://ec.europa.eu/cultural-heritage/news/cultural-heritage-foundation-new-agenda-culture_it" TargetMode="External"/><Relationship Id="rId44" Type="http://schemas.openxmlformats.org/officeDocument/2006/relationships/footer" Target="footer4.xml"/><Relationship Id="rId52" Type="http://schemas.openxmlformats.org/officeDocument/2006/relationships/hyperlink" Target="https://academic.oup.com/ndt/article/33/suppl_2/ii29/5078403" TargetMode="External"/><Relationship Id="rId60"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mailto:internship@unicreditgroup.bg" TargetMode="External"/><Relationship Id="rId22" Type="http://schemas.openxmlformats.org/officeDocument/2006/relationships/footer" Target="footer2.xml"/><Relationship Id="rId27" Type="http://schemas.openxmlformats.org/officeDocument/2006/relationships/hyperlink" Target="http://ec.europa.eu/research/participants/portal/desktop/en/opportunities/h2020/" TargetMode="External"/><Relationship Id="rId30" Type="http://schemas.openxmlformats.org/officeDocument/2006/relationships/hyperlink" Target="https://sc6-2019-brokerage.b2match.io/home" TargetMode="External"/><Relationship Id="rId35" Type="http://schemas.openxmlformats.org/officeDocument/2006/relationships/hyperlink" Target="https://www.icpermed.eu/en/ICPerMed-Conference-2018.html" TargetMode="External"/><Relationship Id="rId43" Type="http://schemas.openxmlformats.org/officeDocument/2006/relationships/hyperlink" Target="https://eua.eu/events/24-2019-european-learning-teaching-forum.html" TargetMode="External"/><Relationship Id="rId48" Type="http://schemas.openxmlformats.org/officeDocument/2006/relationships/hyperlink" Target="https://academic.oup.com/ndt/article/33/suppl_2/ii1/5078405" TargetMode="External"/><Relationship Id="rId56" Type="http://schemas.openxmlformats.org/officeDocument/2006/relationships/image" Target="media/image5.png"/><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academic.oup.com/ndt/article/33/suppl_2/ii22/5078402" TargetMode="External"/><Relationship Id="rId3" Type="http://schemas.openxmlformats.org/officeDocument/2006/relationships/numbering" Target="numbering.xml"/><Relationship Id="rId12" Type="http://schemas.openxmlformats.org/officeDocument/2006/relationships/hyperlink" Target="https://erecruitment.wto.org/public/hrd-cl-vac-view.asp?jobinfo_uid_c=3475&amp;vaclng=en" TargetMode="External"/><Relationship Id="rId17" Type="http://schemas.openxmlformats.org/officeDocument/2006/relationships/hyperlink" Target="http://www.promiana.com/" TargetMode="External"/><Relationship Id="rId25" Type="http://schemas.openxmlformats.org/officeDocument/2006/relationships/hyperlink" Target="https://www.fni.bg/sites/default/files/competition/10_2016/Procedura_COST_nac_finansirane%E2%80%9329012016.pdf" TargetMode="External"/><Relationship Id="rId33" Type="http://schemas.openxmlformats.org/officeDocument/2006/relationships/hyperlink" Target="http://www.fairofinnovatorsinculturalheritage.eu/" TargetMode="External"/><Relationship Id="rId38" Type="http://schemas.openxmlformats.org/officeDocument/2006/relationships/hyperlink" Target="https://ec.europa.eu/eusurvey/runner/HLCResearch" TargetMode="External"/><Relationship Id="rId46" Type="http://schemas.openxmlformats.org/officeDocument/2006/relationships/hyperlink" Target="https://cordis.europa.eu/article/id/401107-mental-health-an-undercover-epidemic_en.html" TargetMode="External"/><Relationship Id="rId5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ОКТОМВРИ,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5CD6F2-4C4D-4484-B3CE-F595EC61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7777</Words>
  <Characters>44331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2018-10-18T12:25:00Z</dcterms:created>
  <dcterms:modified xsi:type="dcterms:W3CDTF">2018-10-18T12:25:00Z</dcterms:modified>
</cp:coreProperties>
</file>