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D94B76"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16AB8" w:rsidRPr="00015B3F" w:rsidRDefault="00516AB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516AB8" w:rsidRPr="00015B3F" w:rsidRDefault="00516AB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516AB8" w:rsidRPr="00015B3F" w:rsidRDefault="00516AB8" w:rsidP="00250696">
                                  <w:pPr>
                                    <w:pStyle w:val="NoSpacing"/>
                                    <w:spacing w:line="360" w:lineRule="auto"/>
                                    <w:rPr>
                                      <w:color w:val="FFFFFF" w:themeColor="background1"/>
                                      <w:sz w:val="28"/>
                                      <w:szCs w:val="28"/>
                                    </w:rPr>
                                  </w:pPr>
                                </w:p>
                                <w:p w:rsidR="00516AB8" w:rsidRPr="00015B3F" w:rsidRDefault="00516AB8"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516AB8" w:rsidRPr="00D00941" w:rsidRDefault="00516AB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16AB8" w:rsidRPr="00015B3F" w:rsidRDefault="00516AB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516AB8" w:rsidRPr="00015B3F" w:rsidRDefault="00516AB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516AB8" w:rsidRPr="00015B3F" w:rsidRDefault="00516AB8" w:rsidP="00250696">
                            <w:pPr>
                              <w:pStyle w:val="NoSpacing"/>
                              <w:spacing w:line="360" w:lineRule="auto"/>
                              <w:rPr>
                                <w:color w:val="FFFFFF" w:themeColor="background1"/>
                                <w:sz w:val="28"/>
                                <w:szCs w:val="28"/>
                              </w:rPr>
                            </w:pPr>
                          </w:p>
                          <w:p w:rsidR="00516AB8" w:rsidRPr="00015B3F" w:rsidRDefault="00516AB8"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516AB8" w:rsidRPr="00D00941" w:rsidRDefault="00516AB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8C131E"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84330664" w:history="1">
            <w:r w:rsidR="008C131E" w:rsidRPr="00281CB6">
              <w:rPr>
                <w:rStyle w:val="Hyperlink"/>
                <w:noProof/>
              </w:rPr>
              <w:t>КОНКУРСИ, СТИПЕНДИИ, СТАЖОВЕ</w:t>
            </w:r>
            <w:r w:rsidR="008C131E">
              <w:rPr>
                <w:noProof/>
                <w:webHidden/>
              </w:rPr>
              <w:tab/>
            </w:r>
            <w:r w:rsidR="008C131E">
              <w:rPr>
                <w:noProof/>
                <w:webHidden/>
              </w:rPr>
              <w:fldChar w:fldCharType="begin"/>
            </w:r>
            <w:r w:rsidR="008C131E">
              <w:rPr>
                <w:noProof/>
                <w:webHidden/>
              </w:rPr>
              <w:instrText xml:space="preserve"> PAGEREF _Toc84330664 \h </w:instrText>
            </w:r>
            <w:r w:rsidR="008C131E">
              <w:rPr>
                <w:noProof/>
                <w:webHidden/>
              </w:rPr>
            </w:r>
            <w:r w:rsidR="008C131E">
              <w:rPr>
                <w:noProof/>
                <w:webHidden/>
              </w:rPr>
              <w:fldChar w:fldCharType="separate"/>
            </w:r>
            <w:r w:rsidR="008C131E">
              <w:rPr>
                <w:noProof/>
                <w:webHidden/>
              </w:rPr>
              <w:t>3</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65"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Стипендии “Фулбрайт” за преподавателска и изследователска дейност</w:t>
            </w:r>
            <w:r w:rsidR="008C131E">
              <w:rPr>
                <w:noProof/>
                <w:webHidden/>
              </w:rPr>
              <w:tab/>
            </w:r>
            <w:r w:rsidR="008C131E">
              <w:rPr>
                <w:noProof/>
                <w:webHidden/>
              </w:rPr>
              <w:fldChar w:fldCharType="begin"/>
            </w:r>
            <w:r w:rsidR="008C131E">
              <w:rPr>
                <w:noProof/>
                <w:webHidden/>
              </w:rPr>
              <w:instrText xml:space="preserve"> PAGEREF _Toc84330665 \h </w:instrText>
            </w:r>
            <w:r w:rsidR="008C131E">
              <w:rPr>
                <w:noProof/>
                <w:webHidden/>
              </w:rPr>
            </w:r>
            <w:r w:rsidR="008C131E">
              <w:rPr>
                <w:noProof/>
                <w:webHidden/>
              </w:rPr>
              <w:fldChar w:fldCharType="separate"/>
            </w:r>
            <w:r w:rsidR="008C131E">
              <w:rPr>
                <w:noProof/>
                <w:webHidden/>
              </w:rPr>
              <w:t>3</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66"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Стипендии за изследователска дейност на докторанти</w:t>
            </w:r>
            <w:r w:rsidR="008C131E">
              <w:rPr>
                <w:noProof/>
                <w:webHidden/>
              </w:rPr>
              <w:tab/>
            </w:r>
            <w:r w:rsidR="008C131E">
              <w:rPr>
                <w:noProof/>
                <w:webHidden/>
              </w:rPr>
              <w:fldChar w:fldCharType="begin"/>
            </w:r>
            <w:r w:rsidR="008C131E">
              <w:rPr>
                <w:noProof/>
                <w:webHidden/>
              </w:rPr>
              <w:instrText xml:space="preserve"> PAGEREF _Toc84330666 \h </w:instrText>
            </w:r>
            <w:r w:rsidR="008C131E">
              <w:rPr>
                <w:noProof/>
                <w:webHidden/>
              </w:rPr>
            </w:r>
            <w:r w:rsidR="008C131E">
              <w:rPr>
                <w:noProof/>
                <w:webHidden/>
              </w:rPr>
              <w:fldChar w:fldCharType="separate"/>
            </w:r>
            <w:r w:rsidR="008C131E">
              <w:rPr>
                <w:noProof/>
                <w:webHidden/>
              </w:rPr>
              <w:t>3</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67" w:history="1">
            <w:r w:rsidR="008C131E" w:rsidRPr="00281CB6">
              <w:rPr>
                <w:rStyle w:val="Hyperlink"/>
                <w:rFonts w:ascii="Wingdings" w:hAnsi="Wingdings"/>
                <w:noProof/>
                <w:lang w:val="bg-BG" w:eastAsia="bg-BG"/>
              </w:rPr>
              <w:t></w:t>
            </w:r>
            <w:r w:rsidR="008C131E">
              <w:rPr>
                <w:rFonts w:asciiTheme="minorHAnsi" w:eastAsiaTheme="minorEastAsia" w:hAnsiTheme="minorHAnsi" w:cstheme="minorBidi"/>
                <w:noProof/>
                <w:sz w:val="22"/>
                <w:szCs w:val="22"/>
              </w:rPr>
              <w:tab/>
            </w:r>
            <w:r w:rsidR="008C131E" w:rsidRPr="00281CB6">
              <w:rPr>
                <w:rStyle w:val="Hyperlink"/>
                <w:noProof/>
                <w:lang w:val="bg-BG" w:eastAsia="bg-BG"/>
              </w:rPr>
              <w:t>Стипендии на Германската служба за академичен обмен</w:t>
            </w:r>
            <w:r w:rsidR="008C131E">
              <w:rPr>
                <w:noProof/>
                <w:webHidden/>
              </w:rPr>
              <w:tab/>
            </w:r>
            <w:r w:rsidR="008C131E">
              <w:rPr>
                <w:noProof/>
                <w:webHidden/>
              </w:rPr>
              <w:fldChar w:fldCharType="begin"/>
            </w:r>
            <w:r w:rsidR="008C131E">
              <w:rPr>
                <w:noProof/>
                <w:webHidden/>
              </w:rPr>
              <w:instrText xml:space="preserve"> PAGEREF _Toc84330667 \h </w:instrText>
            </w:r>
            <w:r w:rsidR="008C131E">
              <w:rPr>
                <w:noProof/>
                <w:webHidden/>
              </w:rPr>
            </w:r>
            <w:r w:rsidR="008C131E">
              <w:rPr>
                <w:noProof/>
                <w:webHidden/>
              </w:rPr>
              <w:fldChar w:fldCharType="separate"/>
            </w:r>
            <w:r w:rsidR="008C131E">
              <w:rPr>
                <w:noProof/>
                <w:webHidden/>
              </w:rPr>
              <w:t>4</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68"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val="bg-BG" w:eastAsia="bg-BG"/>
              </w:rPr>
              <w:t xml:space="preserve">Институт </w:t>
            </w:r>
            <w:r w:rsidR="008C131E" w:rsidRPr="00281CB6">
              <w:rPr>
                <w:rStyle w:val="Hyperlink"/>
                <w:noProof/>
                <w:lang w:eastAsia="bg-BG"/>
              </w:rPr>
              <w:t>GATE обявява две стипендии на DeepMind</w:t>
            </w:r>
            <w:r w:rsidR="008C131E">
              <w:rPr>
                <w:noProof/>
                <w:webHidden/>
              </w:rPr>
              <w:tab/>
            </w:r>
            <w:r w:rsidR="008C131E">
              <w:rPr>
                <w:noProof/>
                <w:webHidden/>
              </w:rPr>
              <w:fldChar w:fldCharType="begin"/>
            </w:r>
            <w:r w:rsidR="008C131E">
              <w:rPr>
                <w:noProof/>
                <w:webHidden/>
              </w:rPr>
              <w:instrText xml:space="preserve"> PAGEREF _Toc84330668 \h </w:instrText>
            </w:r>
            <w:r w:rsidR="008C131E">
              <w:rPr>
                <w:noProof/>
                <w:webHidden/>
              </w:rPr>
            </w:r>
            <w:r w:rsidR="008C131E">
              <w:rPr>
                <w:noProof/>
                <w:webHidden/>
              </w:rPr>
              <w:fldChar w:fldCharType="separate"/>
            </w:r>
            <w:r w:rsidR="008C131E">
              <w:rPr>
                <w:noProof/>
                <w:webHidden/>
              </w:rPr>
              <w:t>4</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69"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Sustainability Scholarship</w:t>
            </w:r>
            <w:r w:rsidR="008C131E">
              <w:rPr>
                <w:noProof/>
                <w:webHidden/>
              </w:rPr>
              <w:tab/>
            </w:r>
            <w:r w:rsidR="008C131E">
              <w:rPr>
                <w:noProof/>
                <w:webHidden/>
              </w:rPr>
              <w:fldChar w:fldCharType="begin"/>
            </w:r>
            <w:r w:rsidR="008C131E">
              <w:rPr>
                <w:noProof/>
                <w:webHidden/>
              </w:rPr>
              <w:instrText xml:space="preserve"> PAGEREF _Toc84330669 \h </w:instrText>
            </w:r>
            <w:r w:rsidR="008C131E">
              <w:rPr>
                <w:noProof/>
                <w:webHidden/>
              </w:rPr>
            </w:r>
            <w:r w:rsidR="008C131E">
              <w:rPr>
                <w:noProof/>
                <w:webHidden/>
              </w:rPr>
              <w:fldChar w:fldCharType="separate"/>
            </w:r>
            <w:r w:rsidR="008C131E">
              <w:rPr>
                <w:noProof/>
                <w:webHidden/>
              </w:rPr>
              <w:t>5</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0" w:history="1">
            <w:r w:rsidR="008C131E" w:rsidRPr="00281CB6">
              <w:rPr>
                <w:rStyle w:val="Hyperlink"/>
                <w:rFonts w:ascii="Wingdings" w:hAnsi="Wingdings"/>
                <w:noProof/>
                <w:lang w:val="bg-BG" w:eastAsia="bg-BG"/>
              </w:rPr>
              <w:t></w:t>
            </w:r>
            <w:r w:rsidR="008C131E">
              <w:rPr>
                <w:rFonts w:asciiTheme="minorHAnsi" w:eastAsiaTheme="minorEastAsia" w:hAnsiTheme="minorHAnsi" w:cstheme="minorBidi"/>
                <w:noProof/>
                <w:sz w:val="22"/>
                <w:szCs w:val="22"/>
              </w:rPr>
              <w:tab/>
            </w:r>
            <w:r w:rsidR="008C131E" w:rsidRPr="00281CB6">
              <w:rPr>
                <w:rStyle w:val="Hyperlink"/>
                <w:noProof/>
                <w:lang w:val="bg-BG" w:eastAsia="bg-BG"/>
              </w:rPr>
              <w:t>Стипендии на Solutions Journalism Network</w:t>
            </w:r>
            <w:r w:rsidR="008C131E">
              <w:rPr>
                <w:noProof/>
                <w:webHidden/>
              </w:rPr>
              <w:tab/>
            </w:r>
            <w:r w:rsidR="008C131E">
              <w:rPr>
                <w:noProof/>
                <w:webHidden/>
              </w:rPr>
              <w:fldChar w:fldCharType="begin"/>
            </w:r>
            <w:r w:rsidR="008C131E">
              <w:rPr>
                <w:noProof/>
                <w:webHidden/>
              </w:rPr>
              <w:instrText xml:space="preserve"> PAGEREF _Toc84330670 \h </w:instrText>
            </w:r>
            <w:r w:rsidR="008C131E">
              <w:rPr>
                <w:noProof/>
                <w:webHidden/>
              </w:rPr>
            </w:r>
            <w:r w:rsidR="008C131E">
              <w:rPr>
                <w:noProof/>
                <w:webHidden/>
              </w:rPr>
              <w:fldChar w:fldCharType="separate"/>
            </w:r>
            <w:r w:rsidR="008C131E">
              <w:rPr>
                <w:noProof/>
                <w:webHidden/>
              </w:rPr>
              <w:t>7</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1"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Internships at the World Bank</w:t>
            </w:r>
            <w:r w:rsidR="008C131E">
              <w:rPr>
                <w:noProof/>
                <w:webHidden/>
              </w:rPr>
              <w:tab/>
            </w:r>
            <w:r w:rsidR="008C131E">
              <w:rPr>
                <w:noProof/>
                <w:webHidden/>
              </w:rPr>
              <w:fldChar w:fldCharType="begin"/>
            </w:r>
            <w:r w:rsidR="008C131E">
              <w:rPr>
                <w:noProof/>
                <w:webHidden/>
              </w:rPr>
              <w:instrText xml:space="preserve"> PAGEREF _Toc84330671 \h </w:instrText>
            </w:r>
            <w:r w:rsidR="008C131E">
              <w:rPr>
                <w:noProof/>
                <w:webHidden/>
              </w:rPr>
            </w:r>
            <w:r w:rsidR="008C131E">
              <w:rPr>
                <w:noProof/>
                <w:webHidden/>
              </w:rPr>
              <w:fldChar w:fldCharType="separate"/>
            </w:r>
            <w:r w:rsidR="008C131E">
              <w:rPr>
                <w:noProof/>
                <w:webHidden/>
              </w:rPr>
              <w:t>8</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2" w:history="1">
            <w:r w:rsidR="008C131E" w:rsidRPr="00281CB6">
              <w:rPr>
                <w:rStyle w:val="Hyperlink"/>
                <w:rFonts w:ascii="Wingdings" w:hAnsi="Wingdings"/>
                <w:noProof/>
                <w:lang w:val="en-US"/>
              </w:rPr>
              <w:t></w:t>
            </w:r>
            <w:r w:rsidR="008C131E">
              <w:rPr>
                <w:rFonts w:asciiTheme="minorHAnsi" w:eastAsiaTheme="minorEastAsia" w:hAnsiTheme="minorHAnsi" w:cstheme="minorBidi"/>
                <w:noProof/>
                <w:sz w:val="22"/>
                <w:szCs w:val="22"/>
              </w:rPr>
              <w:tab/>
            </w:r>
            <w:r w:rsidR="008C131E" w:rsidRPr="00281CB6">
              <w:rPr>
                <w:rStyle w:val="Hyperlink"/>
                <w:noProof/>
                <w:lang w:val="en-US"/>
              </w:rPr>
              <w:t>Junior Research Internship Program</w:t>
            </w:r>
            <w:r w:rsidR="008C131E">
              <w:rPr>
                <w:noProof/>
                <w:webHidden/>
              </w:rPr>
              <w:tab/>
            </w:r>
            <w:r w:rsidR="008C131E">
              <w:rPr>
                <w:noProof/>
                <w:webHidden/>
              </w:rPr>
              <w:fldChar w:fldCharType="begin"/>
            </w:r>
            <w:r w:rsidR="008C131E">
              <w:rPr>
                <w:noProof/>
                <w:webHidden/>
              </w:rPr>
              <w:instrText xml:space="preserve"> PAGEREF _Toc84330672 \h </w:instrText>
            </w:r>
            <w:r w:rsidR="008C131E">
              <w:rPr>
                <w:noProof/>
                <w:webHidden/>
              </w:rPr>
            </w:r>
            <w:r w:rsidR="008C131E">
              <w:rPr>
                <w:noProof/>
                <w:webHidden/>
              </w:rPr>
              <w:fldChar w:fldCharType="separate"/>
            </w:r>
            <w:r w:rsidR="008C131E">
              <w:rPr>
                <w:noProof/>
                <w:webHidden/>
              </w:rPr>
              <w:t>8</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3" w:history="1">
            <w:r w:rsidR="008C131E" w:rsidRPr="00281CB6">
              <w:rPr>
                <w:rStyle w:val="Hyperlink"/>
                <w:rFonts w:ascii="Wingdings" w:hAnsi="Wingdings"/>
                <w:noProof/>
                <w:bdr w:val="none" w:sz="0" w:space="0" w:color="auto" w:frame="1"/>
                <w:lang w:val="bg-BG"/>
              </w:rPr>
              <w:t></w:t>
            </w:r>
            <w:r w:rsidR="008C131E">
              <w:rPr>
                <w:rFonts w:asciiTheme="minorHAnsi" w:eastAsiaTheme="minorEastAsia" w:hAnsiTheme="minorHAnsi" w:cstheme="minorBidi"/>
                <w:noProof/>
                <w:sz w:val="22"/>
                <w:szCs w:val="22"/>
              </w:rPr>
              <w:tab/>
            </w:r>
            <w:r w:rsidR="008C131E" w:rsidRPr="00281CB6">
              <w:rPr>
                <w:rStyle w:val="Hyperlink"/>
                <w:noProof/>
                <w:bdr w:val="none" w:sz="0" w:space="0" w:color="auto" w:frame="1"/>
                <w:shd w:val="clear" w:color="auto" w:fill="FFFFFF"/>
                <w:lang w:val="bg-BG"/>
              </w:rPr>
              <w:t>Стажове в Агенцията на ЕС за космическата програма</w:t>
            </w:r>
            <w:r w:rsidR="008C131E">
              <w:rPr>
                <w:noProof/>
                <w:webHidden/>
              </w:rPr>
              <w:tab/>
            </w:r>
            <w:r w:rsidR="008C131E">
              <w:rPr>
                <w:noProof/>
                <w:webHidden/>
              </w:rPr>
              <w:fldChar w:fldCharType="begin"/>
            </w:r>
            <w:r w:rsidR="008C131E">
              <w:rPr>
                <w:noProof/>
                <w:webHidden/>
              </w:rPr>
              <w:instrText xml:space="preserve"> PAGEREF _Toc84330673 \h </w:instrText>
            </w:r>
            <w:r w:rsidR="008C131E">
              <w:rPr>
                <w:noProof/>
                <w:webHidden/>
              </w:rPr>
            </w:r>
            <w:r w:rsidR="008C131E">
              <w:rPr>
                <w:noProof/>
                <w:webHidden/>
              </w:rPr>
              <w:fldChar w:fldCharType="separate"/>
            </w:r>
            <w:r w:rsidR="008C131E">
              <w:rPr>
                <w:noProof/>
                <w:webHidden/>
              </w:rPr>
              <w:t>9</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4" w:history="1">
            <w:r w:rsidR="008C131E" w:rsidRPr="00281CB6">
              <w:rPr>
                <w:rStyle w:val="Hyperlink"/>
                <w:rFonts w:ascii="Wingdings" w:hAnsi="Wingdings"/>
                <w:noProof/>
                <w:lang w:val="bg-BG"/>
              </w:rPr>
              <w:t></w:t>
            </w:r>
            <w:r w:rsidR="008C131E">
              <w:rPr>
                <w:rFonts w:asciiTheme="minorHAnsi" w:eastAsiaTheme="minorEastAsia" w:hAnsiTheme="minorHAnsi" w:cstheme="minorBidi"/>
                <w:noProof/>
                <w:sz w:val="22"/>
                <w:szCs w:val="22"/>
              </w:rPr>
              <w:tab/>
            </w:r>
            <w:r w:rsidR="008C131E" w:rsidRPr="00281CB6">
              <w:rPr>
                <w:rStyle w:val="Hyperlink"/>
                <w:noProof/>
                <w:bdr w:val="none" w:sz="0" w:space="0" w:color="auto" w:frame="1"/>
                <w:shd w:val="clear" w:color="auto" w:fill="FFFFFF"/>
                <w:lang w:val="bg-BG"/>
              </w:rPr>
              <w:t>Стажантска академия на ОББ</w:t>
            </w:r>
            <w:r w:rsidR="008C131E">
              <w:rPr>
                <w:noProof/>
                <w:webHidden/>
              </w:rPr>
              <w:tab/>
            </w:r>
            <w:r w:rsidR="008C131E">
              <w:rPr>
                <w:noProof/>
                <w:webHidden/>
              </w:rPr>
              <w:fldChar w:fldCharType="begin"/>
            </w:r>
            <w:r w:rsidR="008C131E">
              <w:rPr>
                <w:noProof/>
                <w:webHidden/>
              </w:rPr>
              <w:instrText xml:space="preserve"> PAGEREF _Toc84330674 \h </w:instrText>
            </w:r>
            <w:r w:rsidR="008C131E">
              <w:rPr>
                <w:noProof/>
                <w:webHidden/>
              </w:rPr>
            </w:r>
            <w:r w:rsidR="008C131E">
              <w:rPr>
                <w:noProof/>
                <w:webHidden/>
              </w:rPr>
              <w:fldChar w:fldCharType="separate"/>
            </w:r>
            <w:r w:rsidR="008C131E">
              <w:rPr>
                <w:noProof/>
                <w:webHidden/>
              </w:rPr>
              <w:t>9</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5" w:history="1">
            <w:r w:rsidR="008C131E" w:rsidRPr="00281CB6">
              <w:rPr>
                <w:rStyle w:val="Hyperlink"/>
                <w:rFonts w:ascii="Wingdings" w:hAnsi="Wingdings"/>
                <w:noProof/>
                <w:lang w:val="bg-BG"/>
              </w:rPr>
              <w:t></w:t>
            </w:r>
            <w:r w:rsidR="008C131E">
              <w:rPr>
                <w:rFonts w:asciiTheme="minorHAnsi" w:eastAsiaTheme="minorEastAsia" w:hAnsiTheme="minorHAnsi" w:cstheme="minorBidi"/>
                <w:noProof/>
                <w:sz w:val="22"/>
                <w:szCs w:val="22"/>
              </w:rPr>
              <w:tab/>
            </w:r>
            <w:r w:rsidR="008C131E" w:rsidRPr="00281CB6">
              <w:rPr>
                <w:rStyle w:val="Hyperlink"/>
                <w:noProof/>
                <w:lang w:val="bg-BG"/>
              </w:rPr>
              <w:t>Стажантска програма на Пощенска банка</w:t>
            </w:r>
            <w:r w:rsidR="008C131E">
              <w:rPr>
                <w:noProof/>
                <w:webHidden/>
              </w:rPr>
              <w:tab/>
            </w:r>
            <w:r w:rsidR="008C131E">
              <w:rPr>
                <w:noProof/>
                <w:webHidden/>
              </w:rPr>
              <w:fldChar w:fldCharType="begin"/>
            </w:r>
            <w:r w:rsidR="008C131E">
              <w:rPr>
                <w:noProof/>
                <w:webHidden/>
              </w:rPr>
              <w:instrText xml:space="preserve"> PAGEREF _Toc84330675 \h </w:instrText>
            </w:r>
            <w:r w:rsidR="008C131E">
              <w:rPr>
                <w:noProof/>
                <w:webHidden/>
              </w:rPr>
            </w:r>
            <w:r w:rsidR="008C131E">
              <w:rPr>
                <w:noProof/>
                <w:webHidden/>
              </w:rPr>
              <w:fldChar w:fldCharType="separate"/>
            </w:r>
            <w:r w:rsidR="008C131E">
              <w:rPr>
                <w:noProof/>
                <w:webHidden/>
              </w:rPr>
              <w:t>10</w:t>
            </w:r>
            <w:r w:rsidR="008C131E">
              <w:rPr>
                <w:noProof/>
                <w:webHidden/>
              </w:rPr>
              <w:fldChar w:fldCharType="end"/>
            </w:r>
          </w:hyperlink>
        </w:p>
        <w:p w:rsidR="008C131E" w:rsidRDefault="00D94B76">
          <w:pPr>
            <w:pStyle w:val="TOC1"/>
            <w:tabs>
              <w:tab w:val="right" w:leader="dot" w:pos="9062"/>
            </w:tabs>
            <w:rPr>
              <w:rFonts w:asciiTheme="minorHAnsi" w:eastAsiaTheme="minorEastAsia" w:hAnsiTheme="minorHAnsi" w:cstheme="minorBidi"/>
              <w:noProof/>
              <w:sz w:val="22"/>
              <w:szCs w:val="22"/>
            </w:rPr>
          </w:pPr>
          <w:hyperlink w:anchor="_Toc84330676" w:history="1">
            <w:r w:rsidR="008C131E" w:rsidRPr="00281CB6">
              <w:rPr>
                <w:rStyle w:val="Hyperlink"/>
                <w:noProof/>
              </w:rPr>
              <w:t>ПРОГРАМИ</w:t>
            </w:r>
            <w:r w:rsidR="008C131E">
              <w:rPr>
                <w:noProof/>
                <w:webHidden/>
              </w:rPr>
              <w:tab/>
            </w:r>
            <w:r w:rsidR="008C131E">
              <w:rPr>
                <w:noProof/>
                <w:webHidden/>
              </w:rPr>
              <w:fldChar w:fldCharType="begin"/>
            </w:r>
            <w:r w:rsidR="008C131E">
              <w:rPr>
                <w:noProof/>
                <w:webHidden/>
              </w:rPr>
              <w:instrText xml:space="preserve"> PAGEREF _Toc84330676 \h </w:instrText>
            </w:r>
            <w:r w:rsidR="008C131E">
              <w:rPr>
                <w:noProof/>
                <w:webHidden/>
              </w:rPr>
            </w:r>
            <w:r w:rsidR="008C131E">
              <w:rPr>
                <w:noProof/>
                <w:webHidden/>
              </w:rPr>
              <w:fldChar w:fldCharType="separate"/>
            </w:r>
            <w:r w:rsidR="008C131E">
              <w:rPr>
                <w:noProof/>
                <w:webHidden/>
              </w:rPr>
              <w:t>11</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7"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Конкурс по Национална научна програма ВИХРЕН-2021</w:t>
            </w:r>
            <w:r w:rsidR="008C131E">
              <w:rPr>
                <w:noProof/>
                <w:webHidden/>
              </w:rPr>
              <w:tab/>
            </w:r>
            <w:r w:rsidR="008C131E">
              <w:rPr>
                <w:noProof/>
                <w:webHidden/>
              </w:rPr>
              <w:fldChar w:fldCharType="begin"/>
            </w:r>
            <w:r w:rsidR="008C131E">
              <w:rPr>
                <w:noProof/>
                <w:webHidden/>
              </w:rPr>
              <w:instrText xml:space="preserve"> PAGEREF _Toc84330677 \h </w:instrText>
            </w:r>
            <w:r w:rsidR="008C131E">
              <w:rPr>
                <w:noProof/>
                <w:webHidden/>
              </w:rPr>
            </w:r>
            <w:r w:rsidR="008C131E">
              <w:rPr>
                <w:noProof/>
                <w:webHidden/>
              </w:rPr>
              <w:fldChar w:fldCharType="separate"/>
            </w:r>
            <w:r w:rsidR="008C131E">
              <w:rPr>
                <w:noProof/>
                <w:webHidden/>
              </w:rPr>
              <w:t>11</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8" w:history="1">
            <w:r w:rsidR="008C131E" w:rsidRPr="00281CB6">
              <w:rPr>
                <w:rStyle w:val="Hyperlink"/>
                <w:rFonts w:ascii="Wingdings" w:hAnsi="Wingdings"/>
                <w:noProof/>
                <w:lang w:val="en-US"/>
              </w:rPr>
              <w:t></w:t>
            </w:r>
            <w:r w:rsidR="008C131E">
              <w:rPr>
                <w:rFonts w:asciiTheme="minorHAnsi" w:eastAsiaTheme="minorEastAsia" w:hAnsiTheme="minorHAnsi" w:cstheme="minorBidi"/>
                <w:noProof/>
                <w:sz w:val="22"/>
                <w:szCs w:val="22"/>
              </w:rPr>
              <w:tab/>
            </w:r>
            <w:r w:rsidR="008C131E" w:rsidRPr="00281CB6">
              <w:rPr>
                <w:rStyle w:val="Hyperlink"/>
                <w:noProof/>
                <w:lang w:val="en-US"/>
              </w:rPr>
              <w:t>COST open call for proposals</w:t>
            </w:r>
            <w:r w:rsidR="008C131E">
              <w:rPr>
                <w:noProof/>
                <w:webHidden/>
              </w:rPr>
              <w:tab/>
            </w:r>
            <w:r w:rsidR="008C131E">
              <w:rPr>
                <w:noProof/>
                <w:webHidden/>
              </w:rPr>
              <w:fldChar w:fldCharType="begin"/>
            </w:r>
            <w:r w:rsidR="008C131E">
              <w:rPr>
                <w:noProof/>
                <w:webHidden/>
              </w:rPr>
              <w:instrText xml:space="preserve"> PAGEREF _Toc84330678 \h </w:instrText>
            </w:r>
            <w:r w:rsidR="008C131E">
              <w:rPr>
                <w:noProof/>
                <w:webHidden/>
              </w:rPr>
            </w:r>
            <w:r w:rsidR="008C131E">
              <w:rPr>
                <w:noProof/>
                <w:webHidden/>
              </w:rPr>
              <w:fldChar w:fldCharType="separate"/>
            </w:r>
            <w:r w:rsidR="008C131E">
              <w:rPr>
                <w:noProof/>
                <w:webHidden/>
              </w:rPr>
              <w:t>12</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79"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 xml:space="preserve">Покана за </w:t>
            </w:r>
            <w:r w:rsidR="008C131E" w:rsidRPr="00281CB6">
              <w:rPr>
                <w:rStyle w:val="Hyperlink"/>
                <w:noProof/>
                <w:lang w:val="bg-BG"/>
              </w:rPr>
              <w:t>проекти п</w:t>
            </w:r>
            <w:r w:rsidR="008C131E" w:rsidRPr="00281CB6">
              <w:rPr>
                <w:rStyle w:val="Hyperlink"/>
                <w:noProof/>
              </w:rPr>
              <w:t>о програма Southeast Asia-Europe JFS</w:t>
            </w:r>
            <w:r w:rsidR="008C131E">
              <w:rPr>
                <w:noProof/>
                <w:webHidden/>
              </w:rPr>
              <w:tab/>
            </w:r>
            <w:r w:rsidR="008C131E">
              <w:rPr>
                <w:noProof/>
                <w:webHidden/>
              </w:rPr>
              <w:fldChar w:fldCharType="begin"/>
            </w:r>
            <w:r w:rsidR="008C131E">
              <w:rPr>
                <w:noProof/>
                <w:webHidden/>
              </w:rPr>
              <w:instrText xml:space="preserve"> PAGEREF _Toc84330679 \h </w:instrText>
            </w:r>
            <w:r w:rsidR="008C131E">
              <w:rPr>
                <w:noProof/>
                <w:webHidden/>
              </w:rPr>
            </w:r>
            <w:r w:rsidR="008C131E">
              <w:rPr>
                <w:noProof/>
                <w:webHidden/>
              </w:rPr>
              <w:fldChar w:fldCharType="separate"/>
            </w:r>
            <w:r w:rsidR="008C131E">
              <w:rPr>
                <w:noProof/>
                <w:webHidden/>
              </w:rPr>
              <w:t>12</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0"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Подкрепа на международни научни форуми, провеждани в Република България</w:t>
            </w:r>
            <w:r w:rsidR="008C131E">
              <w:rPr>
                <w:noProof/>
                <w:webHidden/>
              </w:rPr>
              <w:tab/>
            </w:r>
            <w:r w:rsidR="008C131E">
              <w:rPr>
                <w:noProof/>
                <w:webHidden/>
              </w:rPr>
              <w:fldChar w:fldCharType="begin"/>
            </w:r>
            <w:r w:rsidR="008C131E">
              <w:rPr>
                <w:noProof/>
                <w:webHidden/>
              </w:rPr>
              <w:instrText xml:space="preserve"> PAGEREF _Toc84330680 \h </w:instrText>
            </w:r>
            <w:r w:rsidR="008C131E">
              <w:rPr>
                <w:noProof/>
                <w:webHidden/>
              </w:rPr>
            </w:r>
            <w:r w:rsidR="008C131E">
              <w:rPr>
                <w:noProof/>
                <w:webHidden/>
              </w:rPr>
              <w:fldChar w:fldCharType="separate"/>
            </w:r>
            <w:r w:rsidR="008C131E">
              <w:rPr>
                <w:noProof/>
                <w:webHidden/>
              </w:rPr>
              <w:t>14</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1" w:history="1">
            <w:r w:rsidR="008C131E" w:rsidRPr="00281CB6">
              <w:rPr>
                <w:rStyle w:val="Hyperlink"/>
                <w:rFonts w:ascii="Wingdings" w:hAnsi="Wingdings"/>
                <w:noProof/>
                <w:lang w:eastAsia="bg-BG"/>
              </w:rPr>
              <w:t></w:t>
            </w:r>
            <w:r w:rsidR="008C131E">
              <w:rPr>
                <w:rFonts w:asciiTheme="minorHAnsi" w:eastAsiaTheme="minorEastAsia" w:hAnsiTheme="minorHAnsi" w:cstheme="minorBidi"/>
                <w:noProof/>
                <w:sz w:val="22"/>
                <w:szCs w:val="22"/>
              </w:rPr>
              <w:tab/>
            </w:r>
            <w:r w:rsidR="008C131E" w:rsidRPr="00281CB6">
              <w:rPr>
                <w:rStyle w:val="Hyperlink"/>
                <w:noProof/>
                <w:lang w:eastAsia="bg-BG"/>
              </w:rPr>
              <w:t>Национално съфинансиране за участие на български колективи в утвърдени проекти по COST</w:t>
            </w:r>
            <w:r w:rsidR="008C131E">
              <w:rPr>
                <w:noProof/>
                <w:webHidden/>
              </w:rPr>
              <w:tab/>
            </w:r>
            <w:r w:rsidR="008C131E">
              <w:rPr>
                <w:noProof/>
                <w:webHidden/>
              </w:rPr>
              <w:fldChar w:fldCharType="begin"/>
            </w:r>
            <w:r w:rsidR="008C131E">
              <w:rPr>
                <w:noProof/>
                <w:webHidden/>
              </w:rPr>
              <w:instrText xml:space="preserve"> PAGEREF _Toc84330681 \h </w:instrText>
            </w:r>
            <w:r w:rsidR="008C131E">
              <w:rPr>
                <w:noProof/>
                <w:webHidden/>
              </w:rPr>
            </w:r>
            <w:r w:rsidR="008C131E">
              <w:rPr>
                <w:noProof/>
                <w:webHidden/>
              </w:rPr>
              <w:fldChar w:fldCharType="separate"/>
            </w:r>
            <w:r w:rsidR="008C131E">
              <w:rPr>
                <w:noProof/>
                <w:webHidden/>
              </w:rPr>
              <w:t>16</w:t>
            </w:r>
            <w:r w:rsidR="008C131E">
              <w:rPr>
                <w:noProof/>
                <w:webHidden/>
              </w:rPr>
              <w:fldChar w:fldCharType="end"/>
            </w:r>
          </w:hyperlink>
        </w:p>
        <w:p w:rsidR="008C131E" w:rsidRDefault="00D94B76">
          <w:pPr>
            <w:pStyle w:val="TOC1"/>
            <w:tabs>
              <w:tab w:val="right" w:leader="dot" w:pos="9062"/>
            </w:tabs>
            <w:rPr>
              <w:rFonts w:asciiTheme="minorHAnsi" w:eastAsiaTheme="minorEastAsia" w:hAnsiTheme="minorHAnsi" w:cstheme="minorBidi"/>
              <w:noProof/>
              <w:sz w:val="22"/>
              <w:szCs w:val="22"/>
            </w:rPr>
          </w:pPr>
          <w:hyperlink w:anchor="_Toc84330682" w:history="1">
            <w:r w:rsidR="008C131E" w:rsidRPr="00281CB6">
              <w:rPr>
                <w:rStyle w:val="Hyperlink"/>
                <w:noProof/>
              </w:rPr>
              <w:t>СЪБИТИЯ</w:t>
            </w:r>
            <w:r w:rsidR="008C131E">
              <w:rPr>
                <w:noProof/>
                <w:webHidden/>
              </w:rPr>
              <w:tab/>
            </w:r>
            <w:r w:rsidR="008C131E">
              <w:rPr>
                <w:noProof/>
                <w:webHidden/>
              </w:rPr>
              <w:fldChar w:fldCharType="begin"/>
            </w:r>
            <w:r w:rsidR="008C131E">
              <w:rPr>
                <w:noProof/>
                <w:webHidden/>
              </w:rPr>
              <w:instrText xml:space="preserve"> PAGEREF _Toc84330682 \h </w:instrText>
            </w:r>
            <w:r w:rsidR="008C131E">
              <w:rPr>
                <w:noProof/>
                <w:webHidden/>
              </w:rPr>
            </w:r>
            <w:r w:rsidR="008C131E">
              <w:rPr>
                <w:noProof/>
                <w:webHidden/>
              </w:rPr>
              <w:fldChar w:fldCharType="separate"/>
            </w:r>
            <w:r w:rsidR="008C131E">
              <w:rPr>
                <w:noProof/>
                <w:webHidden/>
              </w:rPr>
              <w:t>17</w:t>
            </w:r>
            <w:r w:rsidR="008C131E">
              <w:rPr>
                <w:noProof/>
                <w:webHidden/>
              </w:rPr>
              <w:fldChar w:fldCharType="end"/>
            </w:r>
          </w:hyperlink>
        </w:p>
        <w:p w:rsidR="008C131E" w:rsidRDefault="00D94B76">
          <w:pPr>
            <w:pStyle w:val="TOC1"/>
            <w:tabs>
              <w:tab w:val="right" w:leader="dot" w:pos="9062"/>
            </w:tabs>
            <w:rPr>
              <w:rFonts w:asciiTheme="minorHAnsi" w:eastAsiaTheme="minorEastAsia" w:hAnsiTheme="minorHAnsi" w:cstheme="minorBidi"/>
              <w:noProof/>
              <w:sz w:val="22"/>
              <w:szCs w:val="22"/>
            </w:rPr>
          </w:pPr>
          <w:hyperlink w:anchor="_Toc84330683" w:history="1">
            <w:r w:rsidR="008C131E" w:rsidRPr="00281CB6">
              <w:rPr>
                <w:rStyle w:val="Hyperlink"/>
                <w:noProof/>
              </w:rPr>
              <w:t>ПУБЛИКАЦИИ</w:t>
            </w:r>
            <w:r w:rsidR="008C131E">
              <w:rPr>
                <w:noProof/>
                <w:webHidden/>
              </w:rPr>
              <w:tab/>
            </w:r>
            <w:r w:rsidR="008C131E">
              <w:rPr>
                <w:noProof/>
                <w:webHidden/>
              </w:rPr>
              <w:fldChar w:fldCharType="begin"/>
            </w:r>
            <w:r w:rsidR="008C131E">
              <w:rPr>
                <w:noProof/>
                <w:webHidden/>
              </w:rPr>
              <w:instrText xml:space="preserve"> PAGEREF _Toc84330683 \h </w:instrText>
            </w:r>
            <w:r w:rsidR="008C131E">
              <w:rPr>
                <w:noProof/>
                <w:webHidden/>
              </w:rPr>
            </w:r>
            <w:r w:rsidR="008C131E">
              <w:rPr>
                <w:noProof/>
                <w:webHidden/>
              </w:rPr>
              <w:fldChar w:fldCharType="separate"/>
            </w:r>
            <w:r w:rsidR="008C131E">
              <w:rPr>
                <w:noProof/>
                <w:webHidden/>
              </w:rPr>
              <w:t>19</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4" w:history="1">
            <w:r w:rsidR="008C131E" w:rsidRPr="00281CB6">
              <w:rPr>
                <w:rStyle w:val="Hyperlink"/>
                <w:rFonts w:ascii="Wingdings" w:hAnsi="Wingdings"/>
                <w:noProof/>
                <w:lang w:val="en-US"/>
              </w:rPr>
              <w:t></w:t>
            </w:r>
            <w:r w:rsidR="008C131E">
              <w:rPr>
                <w:rFonts w:asciiTheme="minorHAnsi" w:eastAsiaTheme="minorEastAsia" w:hAnsiTheme="minorHAnsi" w:cstheme="minorBidi"/>
                <w:noProof/>
                <w:sz w:val="22"/>
                <w:szCs w:val="22"/>
              </w:rPr>
              <w:tab/>
            </w:r>
            <w:r w:rsidR="008C131E" w:rsidRPr="00281CB6">
              <w:rPr>
                <w:rStyle w:val="Hyperlink"/>
                <w:noProof/>
                <w:lang w:val="en-US"/>
              </w:rPr>
              <w:t>CERN Courier</w:t>
            </w:r>
            <w:r w:rsidR="008C131E">
              <w:rPr>
                <w:noProof/>
                <w:webHidden/>
              </w:rPr>
              <w:tab/>
            </w:r>
            <w:r w:rsidR="008C131E">
              <w:rPr>
                <w:noProof/>
                <w:webHidden/>
              </w:rPr>
              <w:fldChar w:fldCharType="begin"/>
            </w:r>
            <w:r w:rsidR="008C131E">
              <w:rPr>
                <w:noProof/>
                <w:webHidden/>
              </w:rPr>
              <w:instrText xml:space="preserve"> PAGEREF _Toc84330684 \h </w:instrText>
            </w:r>
            <w:r w:rsidR="008C131E">
              <w:rPr>
                <w:noProof/>
                <w:webHidden/>
              </w:rPr>
            </w:r>
            <w:r w:rsidR="008C131E">
              <w:rPr>
                <w:noProof/>
                <w:webHidden/>
              </w:rPr>
              <w:fldChar w:fldCharType="separate"/>
            </w:r>
            <w:r w:rsidR="008C131E">
              <w:rPr>
                <w:noProof/>
                <w:webHidden/>
              </w:rPr>
              <w:t>19</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5"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EUA publication: Pathways to the future</w:t>
            </w:r>
            <w:r w:rsidR="008C131E">
              <w:rPr>
                <w:noProof/>
                <w:webHidden/>
              </w:rPr>
              <w:tab/>
            </w:r>
            <w:r w:rsidR="008C131E">
              <w:rPr>
                <w:noProof/>
                <w:webHidden/>
              </w:rPr>
              <w:fldChar w:fldCharType="begin"/>
            </w:r>
            <w:r w:rsidR="008C131E">
              <w:rPr>
                <w:noProof/>
                <w:webHidden/>
              </w:rPr>
              <w:instrText xml:space="preserve"> PAGEREF _Toc84330685 \h </w:instrText>
            </w:r>
            <w:r w:rsidR="008C131E">
              <w:rPr>
                <w:noProof/>
                <w:webHidden/>
              </w:rPr>
            </w:r>
            <w:r w:rsidR="008C131E">
              <w:rPr>
                <w:noProof/>
                <w:webHidden/>
              </w:rPr>
              <w:fldChar w:fldCharType="separate"/>
            </w:r>
            <w:r w:rsidR="008C131E">
              <w:rPr>
                <w:noProof/>
                <w:webHidden/>
              </w:rPr>
              <w:t>19</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6"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IAU Global Survey on the Impact of COVID-19 on Higher Education around the World</w:t>
            </w:r>
            <w:r w:rsidR="008C131E">
              <w:rPr>
                <w:noProof/>
                <w:webHidden/>
              </w:rPr>
              <w:tab/>
            </w:r>
            <w:r w:rsidR="008C131E">
              <w:rPr>
                <w:noProof/>
                <w:webHidden/>
              </w:rPr>
              <w:fldChar w:fldCharType="begin"/>
            </w:r>
            <w:r w:rsidR="008C131E">
              <w:rPr>
                <w:noProof/>
                <w:webHidden/>
              </w:rPr>
              <w:instrText xml:space="preserve"> PAGEREF _Toc84330686 \h </w:instrText>
            </w:r>
            <w:r w:rsidR="008C131E">
              <w:rPr>
                <w:noProof/>
                <w:webHidden/>
              </w:rPr>
            </w:r>
            <w:r w:rsidR="008C131E">
              <w:rPr>
                <w:noProof/>
                <w:webHidden/>
              </w:rPr>
              <w:fldChar w:fldCharType="separate"/>
            </w:r>
            <w:r w:rsidR="008C131E">
              <w:rPr>
                <w:noProof/>
                <w:webHidden/>
              </w:rPr>
              <w:t>20</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7"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 xml:space="preserve">Learning to deal with problematic usage of the </w:t>
            </w:r>
            <w:r w:rsidR="008C131E" w:rsidRPr="00281CB6">
              <w:rPr>
                <w:rStyle w:val="Hyperlink"/>
                <w:noProof/>
                <w:lang w:val="en-US"/>
              </w:rPr>
              <w:t>I</w:t>
            </w:r>
            <w:r w:rsidR="008C131E" w:rsidRPr="00281CB6">
              <w:rPr>
                <w:rStyle w:val="Hyperlink"/>
                <w:noProof/>
              </w:rPr>
              <w:t>nternet</w:t>
            </w:r>
            <w:r w:rsidR="008C131E">
              <w:rPr>
                <w:noProof/>
                <w:webHidden/>
              </w:rPr>
              <w:tab/>
            </w:r>
            <w:r w:rsidR="008C131E">
              <w:rPr>
                <w:noProof/>
                <w:webHidden/>
              </w:rPr>
              <w:fldChar w:fldCharType="begin"/>
            </w:r>
            <w:r w:rsidR="008C131E">
              <w:rPr>
                <w:noProof/>
                <w:webHidden/>
              </w:rPr>
              <w:instrText xml:space="preserve"> PAGEREF _Toc84330687 \h </w:instrText>
            </w:r>
            <w:r w:rsidR="008C131E">
              <w:rPr>
                <w:noProof/>
                <w:webHidden/>
              </w:rPr>
            </w:r>
            <w:r w:rsidR="008C131E">
              <w:rPr>
                <w:noProof/>
                <w:webHidden/>
              </w:rPr>
              <w:fldChar w:fldCharType="separate"/>
            </w:r>
            <w:r w:rsidR="008C131E">
              <w:rPr>
                <w:noProof/>
                <w:webHidden/>
              </w:rPr>
              <w:t>20</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8"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Communicating science in times of COVID-19</w:t>
            </w:r>
            <w:r w:rsidR="008C131E">
              <w:rPr>
                <w:noProof/>
                <w:webHidden/>
              </w:rPr>
              <w:tab/>
            </w:r>
            <w:r w:rsidR="008C131E">
              <w:rPr>
                <w:noProof/>
                <w:webHidden/>
              </w:rPr>
              <w:fldChar w:fldCharType="begin"/>
            </w:r>
            <w:r w:rsidR="008C131E">
              <w:rPr>
                <w:noProof/>
                <w:webHidden/>
              </w:rPr>
              <w:instrText xml:space="preserve"> PAGEREF _Toc84330688 \h </w:instrText>
            </w:r>
            <w:r w:rsidR="008C131E">
              <w:rPr>
                <w:noProof/>
                <w:webHidden/>
              </w:rPr>
            </w:r>
            <w:r w:rsidR="008C131E">
              <w:rPr>
                <w:noProof/>
                <w:webHidden/>
              </w:rPr>
              <w:fldChar w:fldCharType="separate"/>
            </w:r>
            <w:r w:rsidR="008C131E">
              <w:rPr>
                <w:noProof/>
                <w:webHidden/>
              </w:rPr>
              <w:t>21</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89"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EUA publication: Towards an EU strategy in support of universities</w:t>
            </w:r>
            <w:r w:rsidR="008C131E">
              <w:rPr>
                <w:noProof/>
                <w:webHidden/>
              </w:rPr>
              <w:tab/>
            </w:r>
            <w:r w:rsidR="008C131E">
              <w:rPr>
                <w:noProof/>
                <w:webHidden/>
              </w:rPr>
              <w:fldChar w:fldCharType="begin"/>
            </w:r>
            <w:r w:rsidR="008C131E">
              <w:rPr>
                <w:noProof/>
                <w:webHidden/>
              </w:rPr>
              <w:instrText xml:space="preserve"> PAGEREF _Toc84330689 \h </w:instrText>
            </w:r>
            <w:r w:rsidR="008C131E">
              <w:rPr>
                <w:noProof/>
                <w:webHidden/>
              </w:rPr>
            </w:r>
            <w:r w:rsidR="008C131E">
              <w:rPr>
                <w:noProof/>
                <w:webHidden/>
              </w:rPr>
              <w:fldChar w:fldCharType="separate"/>
            </w:r>
            <w:r w:rsidR="008C131E">
              <w:rPr>
                <w:noProof/>
                <w:webHidden/>
              </w:rPr>
              <w:t>21</w:t>
            </w:r>
            <w:r w:rsidR="008C131E">
              <w:rPr>
                <w:noProof/>
                <w:webHidden/>
              </w:rPr>
              <w:fldChar w:fldCharType="end"/>
            </w:r>
          </w:hyperlink>
        </w:p>
        <w:p w:rsidR="008C131E" w:rsidRDefault="00D94B76">
          <w:pPr>
            <w:pStyle w:val="TOC2"/>
            <w:tabs>
              <w:tab w:val="left" w:pos="660"/>
              <w:tab w:val="right" w:leader="dot" w:pos="9062"/>
            </w:tabs>
            <w:rPr>
              <w:rFonts w:asciiTheme="minorHAnsi" w:eastAsiaTheme="minorEastAsia" w:hAnsiTheme="minorHAnsi" w:cstheme="minorBidi"/>
              <w:noProof/>
              <w:sz w:val="22"/>
              <w:szCs w:val="22"/>
            </w:rPr>
          </w:pPr>
          <w:hyperlink w:anchor="_Toc84330690" w:history="1">
            <w:r w:rsidR="008C131E" w:rsidRPr="00281CB6">
              <w:rPr>
                <w:rStyle w:val="Hyperlink"/>
                <w:rFonts w:ascii="Wingdings" w:hAnsi="Wingdings"/>
                <w:noProof/>
              </w:rPr>
              <w:t></w:t>
            </w:r>
            <w:r w:rsidR="008C131E">
              <w:rPr>
                <w:rFonts w:asciiTheme="minorHAnsi" w:eastAsiaTheme="minorEastAsia" w:hAnsiTheme="minorHAnsi" w:cstheme="minorBidi"/>
                <w:noProof/>
                <w:sz w:val="22"/>
                <w:szCs w:val="22"/>
              </w:rPr>
              <w:tab/>
            </w:r>
            <w:r w:rsidR="008C131E" w:rsidRPr="00281CB6">
              <w:rPr>
                <w:rStyle w:val="Hyperlink"/>
                <w:noProof/>
              </w:rPr>
              <w:t>Rethinking Sustainability Towards a regenerative Economy</w:t>
            </w:r>
            <w:r w:rsidR="008C131E">
              <w:rPr>
                <w:noProof/>
                <w:webHidden/>
              </w:rPr>
              <w:tab/>
            </w:r>
            <w:r w:rsidR="008C131E">
              <w:rPr>
                <w:noProof/>
                <w:webHidden/>
              </w:rPr>
              <w:fldChar w:fldCharType="begin"/>
            </w:r>
            <w:r w:rsidR="008C131E">
              <w:rPr>
                <w:noProof/>
                <w:webHidden/>
              </w:rPr>
              <w:instrText xml:space="preserve"> PAGEREF _Toc84330690 \h </w:instrText>
            </w:r>
            <w:r w:rsidR="008C131E">
              <w:rPr>
                <w:noProof/>
                <w:webHidden/>
              </w:rPr>
            </w:r>
            <w:r w:rsidR="008C131E">
              <w:rPr>
                <w:noProof/>
                <w:webHidden/>
              </w:rPr>
              <w:fldChar w:fldCharType="separate"/>
            </w:r>
            <w:r w:rsidR="008C131E">
              <w:rPr>
                <w:noProof/>
                <w:webHidden/>
              </w:rPr>
              <w:t>22</w:t>
            </w:r>
            <w:r w:rsidR="008C131E">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84330664"/>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976D24" w:rsidRPr="00976D24" w:rsidRDefault="00976D24" w:rsidP="00B72531">
      <w:pPr>
        <w:pStyle w:val="Heading2"/>
        <w:ind w:left="426"/>
        <w:rPr>
          <w:lang w:eastAsia="bg-BG"/>
        </w:rPr>
      </w:pPr>
      <w:bookmarkStart w:id="1" w:name="_Toc84330665"/>
      <w:r w:rsidRPr="00976D24">
        <w:rPr>
          <w:lang w:eastAsia="bg-BG"/>
        </w:rPr>
        <w:t>Стипендии “Фулбрайт” за преподавателска и изследователска дейност</w:t>
      </w:r>
      <w:bookmarkEnd w:id="1"/>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F32BA0">
      <w:pPr>
        <w:numPr>
          <w:ilvl w:val="0"/>
          <w:numId w:val="5"/>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F32BA0">
      <w:pPr>
        <w:numPr>
          <w:ilvl w:val="0"/>
          <w:numId w:val="5"/>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2" w:name="_Toc84330666"/>
      <w:r w:rsidRPr="0042472B">
        <w:rPr>
          <w:lang w:eastAsia="bg-BG"/>
        </w:rPr>
        <w:t>Стипендии за изследователска дейност на докторанти</w:t>
      </w:r>
      <w:bookmarkEnd w:id="2"/>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F32BA0">
      <w:pPr>
        <w:numPr>
          <w:ilvl w:val="0"/>
          <w:numId w:val="6"/>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F32BA0">
      <w:pPr>
        <w:numPr>
          <w:ilvl w:val="0"/>
          <w:numId w:val="6"/>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F32BA0">
      <w:pPr>
        <w:numPr>
          <w:ilvl w:val="0"/>
          <w:numId w:val="6"/>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AD4FD9" w:rsidRPr="00AD4FD9" w:rsidRDefault="00AD4FD9" w:rsidP="00AD4FD9">
      <w:pPr>
        <w:pStyle w:val="Heading2"/>
        <w:ind w:left="426"/>
        <w:rPr>
          <w:lang w:val="bg-BG" w:eastAsia="bg-BG"/>
        </w:rPr>
      </w:pPr>
      <w:bookmarkStart w:id="3" w:name="_Toc84330667"/>
      <w:r>
        <w:rPr>
          <w:lang w:val="bg-BG" w:eastAsia="bg-BG"/>
        </w:rPr>
        <w:t>Стипендии на Германската служба за академичен обмен</w:t>
      </w:r>
      <w:bookmarkEnd w:id="3"/>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3"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4"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D53577">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5" w:tgtFrame="_blank" w:history="1">
        <w:r w:rsidRPr="0094625F">
          <w:rPr>
            <w:rStyle w:val="Hyperlink"/>
            <w:bCs/>
            <w:lang w:eastAsia="bg-BG"/>
          </w:rPr>
          <w:t>тук</w:t>
        </w:r>
      </w:hyperlink>
      <w:r w:rsidRPr="0094625F">
        <w:rPr>
          <w:bCs/>
          <w:lang w:eastAsia="bg-BG"/>
        </w:rPr>
        <w:t>.</w:t>
      </w:r>
    </w:p>
    <w:p w:rsidR="00F05936" w:rsidRPr="00F05936" w:rsidRDefault="00F05936" w:rsidP="00467695">
      <w:pPr>
        <w:pStyle w:val="Heading2"/>
        <w:ind w:left="284"/>
        <w:rPr>
          <w:lang w:eastAsia="bg-BG"/>
        </w:rPr>
      </w:pPr>
      <w:bookmarkStart w:id="4" w:name="_Toc84330668"/>
      <w:r>
        <w:rPr>
          <w:lang w:val="bg-BG" w:eastAsia="bg-BG"/>
        </w:rPr>
        <w:t xml:space="preserve">Институт </w:t>
      </w:r>
      <w:r w:rsidRPr="00F05936">
        <w:rPr>
          <w:lang w:eastAsia="bg-BG"/>
        </w:rPr>
        <w:t>GATE обявява две стипендии на DeepMind</w:t>
      </w:r>
      <w:bookmarkEnd w:id="4"/>
    </w:p>
    <w:p w:rsidR="00F05936" w:rsidRPr="00F05936" w:rsidRDefault="00F05936" w:rsidP="00F05936">
      <w:pPr>
        <w:spacing w:before="120" w:after="120" w:line="276" w:lineRule="auto"/>
        <w:jc w:val="both"/>
        <w:rPr>
          <w:bCs/>
          <w:lang w:eastAsia="bg-BG"/>
        </w:rPr>
      </w:pPr>
      <w:r w:rsidRPr="00F05936">
        <w:rPr>
          <w:bCs/>
          <w:lang w:eastAsia="bg-BG"/>
        </w:rPr>
        <w:t>Институтът GATE има удоволствието да обяви две стипендии, щедро финансирани от </w:t>
      </w:r>
      <w:hyperlink r:id="rId16" w:history="1">
        <w:r w:rsidRPr="00F05936">
          <w:rPr>
            <w:rStyle w:val="Hyperlink"/>
            <w:bCs/>
            <w:lang w:eastAsia="bg-BG"/>
          </w:rPr>
          <w:t>DeepMind</w:t>
        </w:r>
      </w:hyperlink>
      <w:r w:rsidRPr="00F05936">
        <w:rPr>
          <w:bCs/>
          <w:lang w:eastAsia="bg-BG"/>
        </w:rPr>
        <w:t xml:space="preserve"> – британската компания, известна с научните си изследвания и иновации в областта на изкуствения интелект. Те са за студенти от женски пол или в неравностойно положение, които имат желание да придобият магистърска степен по програмите „Изкуствен </w:t>
      </w:r>
      <w:proofErr w:type="gramStart"/>
      <w:r w:rsidRPr="00F05936">
        <w:rPr>
          <w:bCs/>
          <w:lang w:eastAsia="bg-BG"/>
        </w:rPr>
        <w:t>интелект“ и</w:t>
      </w:r>
      <w:proofErr w:type="gramEnd"/>
      <w:r w:rsidRPr="00F05936">
        <w:rPr>
          <w:bCs/>
          <w:lang w:eastAsia="bg-BG"/>
        </w:rPr>
        <w:t xml:space="preserve"> „Извличане на информация и откриване на знания“ във Факултета по математика и информатика (ФМИ) на Софийския университет.</w:t>
      </w:r>
    </w:p>
    <w:p w:rsidR="00F05936" w:rsidRPr="00F05936" w:rsidRDefault="00F05936" w:rsidP="00F05936">
      <w:pPr>
        <w:spacing w:before="120" w:after="120" w:line="276" w:lineRule="auto"/>
        <w:jc w:val="both"/>
        <w:rPr>
          <w:bCs/>
          <w:lang w:eastAsia="bg-BG"/>
        </w:rPr>
      </w:pPr>
      <w:r w:rsidRPr="00F05936">
        <w:rPr>
          <w:bCs/>
          <w:lang w:eastAsia="bg-BG"/>
        </w:rPr>
        <w:t xml:space="preserve">Стойността на финансовата помощ възлиза на приблизително 21 573 евро за цялата образователна програма. Тя покрива таксите за обучение и разходите за живот, изплащани на вноски по време на обучението. Освен това, в рамките на инициативата, стипендиантите ще получават и редовни покани за събития, организирани от DeepMind, субсидия за присъствие на международна изследователска конференция, както и за закупуване на </w:t>
      </w:r>
      <w:r w:rsidRPr="00F05936">
        <w:rPr>
          <w:bCs/>
          <w:lang w:eastAsia="bg-BG"/>
        </w:rPr>
        <w:lastRenderedPageBreak/>
        <w:t>основно оборудване за работа (подходящ лаптоп). Те също така ще разполагат с индивидуални ментори от DeepMind и GATE.</w:t>
      </w:r>
    </w:p>
    <w:p w:rsidR="00F05936" w:rsidRPr="00F05936" w:rsidRDefault="00F05936" w:rsidP="00F05936">
      <w:pPr>
        <w:spacing w:before="120" w:after="120" w:line="276" w:lineRule="auto"/>
        <w:jc w:val="both"/>
        <w:rPr>
          <w:bCs/>
          <w:lang w:eastAsia="bg-BG"/>
        </w:rPr>
      </w:pPr>
      <w:r w:rsidRPr="00F05936">
        <w:rPr>
          <w:bCs/>
          <w:lang w:eastAsia="bg-BG"/>
        </w:rPr>
        <w:t xml:space="preserve">Основната цел на партньорството между Софийския университет „Св. Климент </w:t>
      </w:r>
      <w:proofErr w:type="gramStart"/>
      <w:r w:rsidRPr="00F05936">
        <w:rPr>
          <w:bCs/>
          <w:lang w:eastAsia="bg-BG"/>
        </w:rPr>
        <w:t>Охридски“</w:t>
      </w:r>
      <w:proofErr w:type="gramEnd"/>
      <w:r w:rsidRPr="00F05936">
        <w:rPr>
          <w:bCs/>
          <w:lang w:eastAsia="bg-BG"/>
        </w:rPr>
        <w:t>, GATE и DeepMind, е да демонстрира високата стойност за обществото, която носи насърчаването на студентите към научна кариера в стратегическите области на големите данни и изкуствения интелект (ИИ), особено ако те принадлежат към групи в неравностойно положение или недостатъчно представени групи.</w:t>
      </w:r>
    </w:p>
    <w:p w:rsidR="00F05936" w:rsidRPr="00F05936" w:rsidRDefault="00F05936" w:rsidP="00F05936">
      <w:pPr>
        <w:spacing w:before="120" w:after="120" w:line="276" w:lineRule="auto"/>
        <w:jc w:val="both"/>
        <w:rPr>
          <w:b/>
          <w:bCs/>
          <w:lang w:eastAsia="bg-BG"/>
        </w:rPr>
      </w:pPr>
      <w:r w:rsidRPr="00F05936">
        <w:rPr>
          <w:b/>
          <w:bCs/>
          <w:lang w:eastAsia="bg-BG"/>
        </w:rPr>
        <w:t>Условия за кандидатстване</w:t>
      </w:r>
    </w:p>
    <w:p w:rsidR="00F05936" w:rsidRPr="00F05936" w:rsidRDefault="00F05936" w:rsidP="00F05936">
      <w:pPr>
        <w:spacing w:before="120" w:after="120" w:line="276" w:lineRule="auto"/>
        <w:jc w:val="both"/>
        <w:rPr>
          <w:bCs/>
          <w:lang w:eastAsia="bg-BG"/>
        </w:rPr>
      </w:pPr>
      <w:r w:rsidRPr="00F05936">
        <w:rPr>
          <w:bCs/>
          <w:lang w:eastAsia="bg-BG"/>
        </w:rPr>
        <w:t>Кандидатите трябва да отговарят на следните критерии:</w:t>
      </w:r>
    </w:p>
    <w:p w:rsidR="00F05936" w:rsidRPr="00F05936" w:rsidRDefault="00F05936" w:rsidP="00F05936">
      <w:pPr>
        <w:numPr>
          <w:ilvl w:val="0"/>
          <w:numId w:val="32"/>
        </w:numPr>
        <w:spacing w:before="120" w:after="120" w:line="276" w:lineRule="auto"/>
        <w:jc w:val="both"/>
        <w:rPr>
          <w:bCs/>
          <w:lang w:eastAsia="bg-BG"/>
        </w:rPr>
      </w:pPr>
      <w:r w:rsidRPr="00F05936">
        <w:rPr>
          <w:bCs/>
          <w:lang w:eastAsia="bg-BG"/>
        </w:rPr>
        <w:t>да се идентифицират като жена; или да притежават по-нисък социално-икономически статус, който не им позволява да следват без финансова помощ;</w:t>
      </w:r>
    </w:p>
    <w:p w:rsidR="00F05936" w:rsidRPr="00F05936" w:rsidRDefault="00F05936" w:rsidP="00F05936">
      <w:pPr>
        <w:numPr>
          <w:ilvl w:val="0"/>
          <w:numId w:val="32"/>
        </w:numPr>
        <w:spacing w:before="120" w:after="120" w:line="276" w:lineRule="auto"/>
        <w:jc w:val="both"/>
        <w:rPr>
          <w:bCs/>
          <w:lang w:eastAsia="bg-BG"/>
        </w:rPr>
      </w:pPr>
      <w:r w:rsidRPr="00F05936">
        <w:rPr>
          <w:bCs/>
          <w:lang w:eastAsia="bg-BG"/>
        </w:rPr>
        <w:t>да имат постоянно местожителство в България или в Европейския съюз;</w:t>
      </w:r>
    </w:p>
    <w:p w:rsidR="00F05936" w:rsidRPr="00F05936" w:rsidRDefault="00F05936" w:rsidP="00F05936">
      <w:pPr>
        <w:numPr>
          <w:ilvl w:val="0"/>
          <w:numId w:val="32"/>
        </w:numPr>
        <w:spacing w:before="120" w:after="120" w:line="276" w:lineRule="auto"/>
        <w:jc w:val="both"/>
        <w:rPr>
          <w:bCs/>
          <w:lang w:eastAsia="bg-BG"/>
        </w:rPr>
      </w:pPr>
      <w:r w:rsidRPr="00F05936">
        <w:rPr>
          <w:bCs/>
          <w:lang w:eastAsia="bg-BG"/>
        </w:rPr>
        <w:t>да бъдат записани в програмата с успех на кандидат-студентските изпити не по-нисък от 4,50;</w:t>
      </w:r>
    </w:p>
    <w:p w:rsidR="00F05936" w:rsidRPr="00F05936" w:rsidRDefault="00F05936" w:rsidP="00F05936">
      <w:pPr>
        <w:numPr>
          <w:ilvl w:val="0"/>
          <w:numId w:val="32"/>
        </w:numPr>
        <w:spacing w:before="120" w:after="120" w:line="276" w:lineRule="auto"/>
        <w:jc w:val="both"/>
        <w:rPr>
          <w:bCs/>
          <w:lang w:eastAsia="bg-BG"/>
        </w:rPr>
      </w:pPr>
      <w:r w:rsidRPr="00F05936">
        <w:rPr>
          <w:bCs/>
          <w:lang w:eastAsia="bg-BG"/>
        </w:rPr>
        <w:t>да са завършили бакалавърска степен с успех не по-нисък от 4,50.</w:t>
      </w:r>
    </w:p>
    <w:p w:rsidR="000D48F4" w:rsidRDefault="000D48F4" w:rsidP="000D48F4">
      <w:pPr>
        <w:spacing w:before="120" w:after="120" w:line="276" w:lineRule="auto"/>
        <w:jc w:val="both"/>
        <w:rPr>
          <w:bCs/>
          <w:lang w:eastAsia="bg-BG"/>
        </w:rPr>
      </w:pPr>
      <w:r>
        <w:rPr>
          <w:bCs/>
          <w:lang w:val="bg-BG" w:eastAsia="bg-BG"/>
        </w:rPr>
        <w:t xml:space="preserve">Повече информация за документите за кандидатстване можете да намерите </w:t>
      </w:r>
      <w:hyperlink r:id="rId17" w:history="1">
        <w:r w:rsidRPr="000D48F4">
          <w:rPr>
            <w:rStyle w:val="Hyperlink"/>
            <w:bCs/>
            <w:lang w:val="bg-BG" w:eastAsia="bg-BG"/>
          </w:rPr>
          <w:t>ТУК</w:t>
        </w:r>
      </w:hyperlink>
      <w:r w:rsidRPr="000D48F4">
        <w:rPr>
          <w:bCs/>
          <w:lang w:eastAsia="bg-BG"/>
        </w:rPr>
        <w:t xml:space="preserve"> </w:t>
      </w:r>
    </w:p>
    <w:p w:rsidR="000D48F4" w:rsidRDefault="000D48F4" w:rsidP="00D53577">
      <w:pPr>
        <w:spacing w:before="120" w:after="600" w:line="276" w:lineRule="auto"/>
        <w:jc w:val="both"/>
        <w:rPr>
          <w:bCs/>
          <w:lang w:eastAsia="bg-BG"/>
        </w:rPr>
      </w:pPr>
      <w:r w:rsidRPr="00F05936">
        <w:rPr>
          <w:bCs/>
          <w:lang w:eastAsia="bg-BG"/>
        </w:rPr>
        <w:t>Заявленията ще се приемат </w:t>
      </w:r>
      <w:r w:rsidRPr="00F05936">
        <w:rPr>
          <w:b/>
          <w:bCs/>
          <w:lang w:eastAsia="bg-BG"/>
        </w:rPr>
        <w:t>до 15 октомври 2021</w:t>
      </w:r>
      <w:r w:rsidRPr="00F05936">
        <w:rPr>
          <w:bCs/>
          <w:lang w:eastAsia="bg-BG"/>
        </w:rPr>
        <w:t> чрез нашия </w:t>
      </w:r>
      <w:hyperlink r:id="rId18" w:history="1">
        <w:r w:rsidRPr="00F05936">
          <w:rPr>
            <w:rStyle w:val="Hyperlink"/>
            <w:b/>
            <w:bCs/>
            <w:lang w:eastAsia="bg-BG"/>
          </w:rPr>
          <w:t>онлайн формуляр</w:t>
        </w:r>
      </w:hyperlink>
      <w:r w:rsidRPr="00F05936">
        <w:rPr>
          <w:bCs/>
          <w:lang w:eastAsia="bg-BG"/>
        </w:rPr>
        <w:t>. За да се класирате, ще бъде необходимо и да изпратите документите си по имейл на: </w:t>
      </w:r>
      <w:r w:rsidRPr="00F05936">
        <w:rPr>
          <w:b/>
          <w:bCs/>
          <w:lang w:eastAsia="bg-BG"/>
        </w:rPr>
        <w:t>career@gate-ai.eu</w:t>
      </w:r>
      <w:r w:rsidRPr="00F05936">
        <w:rPr>
          <w:bCs/>
          <w:lang w:eastAsia="bg-BG"/>
        </w:rPr>
        <w:t>, след подаване на заявлението. Моля, напишете пълното си име, за да можем да ги прикачим към вашето заявление.  </w:t>
      </w:r>
    </w:p>
    <w:p w:rsidR="00A72D95" w:rsidRPr="00EC7D27" w:rsidRDefault="00A72D95" w:rsidP="00EC7D27">
      <w:pPr>
        <w:pStyle w:val="Heading2"/>
        <w:ind w:left="426"/>
        <w:rPr>
          <w:lang w:eastAsia="bg-BG"/>
        </w:rPr>
      </w:pPr>
      <w:bookmarkStart w:id="5" w:name="_Toc84330669"/>
      <w:r w:rsidRPr="00EC7D27">
        <w:rPr>
          <w:lang w:eastAsia="bg-BG"/>
        </w:rPr>
        <w:t>Sustainability Scholarship</w:t>
      </w:r>
      <w:bookmarkEnd w:id="5"/>
    </w:p>
    <w:p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rsidR="00A72D95" w:rsidRPr="00EC7D27" w:rsidRDefault="00A72D95" w:rsidP="00A72D95">
      <w:pPr>
        <w:spacing w:before="120" w:after="120" w:line="276" w:lineRule="auto"/>
        <w:jc w:val="both"/>
        <w:rPr>
          <w:b/>
          <w:bCs/>
          <w:lang w:eastAsia="bg-BG"/>
        </w:rPr>
      </w:pPr>
      <w:r w:rsidRPr="00EC7D27">
        <w:rPr>
          <w:b/>
          <w:bCs/>
          <w:lang w:eastAsia="bg-BG"/>
        </w:rPr>
        <w:t>Eligible candidates</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hold a valid undergraduate degree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meet language requirements for the programme</w:t>
      </w:r>
    </w:p>
    <w:p w:rsidR="00EC7D27" w:rsidRDefault="00A72D95" w:rsidP="006A4D0F">
      <w:pPr>
        <w:numPr>
          <w:ilvl w:val="0"/>
          <w:numId w:val="13"/>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rsidR="00A72D95" w:rsidRPr="00EC7D27" w:rsidRDefault="00A72D95" w:rsidP="00EC7D27">
      <w:pPr>
        <w:spacing w:before="120" w:after="120" w:line="276" w:lineRule="auto"/>
        <w:jc w:val="both"/>
        <w:rPr>
          <w:bCs/>
          <w:lang w:eastAsia="bg-BG"/>
        </w:rPr>
      </w:pPr>
      <w:r w:rsidRPr="00EC7D27">
        <w:rPr>
          <w:b/>
          <w:bCs/>
          <w:lang w:eastAsia="bg-BG"/>
        </w:rPr>
        <w:t>How to apply</w:t>
      </w:r>
    </w:p>
    <w:p w:rsidR="00EC7D27" w:rsidRDefault="00A72D95" w:rsidP="00EC7D27">
      <w:pPr>
        <w:spacing w:before="120" w:after="120" w:line="276" w:lineRule="auto"/>
        <w:jc w:val="both"/>
        <w:rPr>
          <w:b/>
          <w:bCs/>
          <w:lang w:eastAsia="bg-BG"/>
        </w:rPr>
      </w:pPr>
      <w:r w:rsidRPr="00A72D95">
        <w:rPr>
          <w:bCs/>
          <w:lang w:eastAsia="bg-BG"/>
        </w:rPr>
        <w:t>Entrants should fill out </w:t>
      </w:r>
      <w:hyperlink r:id="rId19" w:anchor="start" w:history="1">
        <w:r w:rsidRPr="00A72D95">
          <w:rPr>
            <w:rStyle w:val="Hyperlink"/>
            <w:bCs/>
            <w:lang w:eastAsia="bg-BG"/>
          </w:rPr>
          <w:t>the short form</w:t>
        </w:r>
      </w:hyperlink>
      <w:r w:rsidRPr="00A72D95">
        <w:rPr>
          <w:bCs/>
          <w:lang w:eastAsia="bg-BG"/>
        </w:rPr>
        <w:t xml:space="preserve"> with their personal information and submit a short essay (500-700 words) on the questions: "What motivated you to choose this particular study </w:t>
      </w:r>
      <w:r w:rsidRPr="00A72D95">
        <w:rPr>
          <w:bCs/>
          <w:lang w:eastAsia="bg-BG"/>
        </w:rPr>
        <w:lastRenderedPageBreak/>
        <w:t>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20" w:anchor="start" w:tgtFrame="_blank" w:history="1">
        <w:r w:rsidRPr="00A72D95">
          <w:rPr>
            <w:rStyle w:val="Hyperlink"/>
            <w:bCs/>
            <w:lang w:eastAsia="bg-BG"/>
          </w:rPr>
          <w:t>here</w:t>
        </w:r>
      </w:hyperlink>
      <w:r w:rsidRPr="00A72D95">
        <w:rPr>
          <w:bCs/>
          <w:lang w:eastAsia="bg-BG"/>
        </w:rPr>
        <w:t>.</w:t>
      </w:r>
    </w:p>
    <w:p w:rsidR="00A72D95" w:rsidRPr="006852B1" w:rsidRDefault="00A72D95" w:rsidP="00D53577">
      <w:pPr>
        <w:spacing w:before="120" w:after="600" w:line="276" w:lineRule="auto"/>
        <w:jc w:val="both"/>
        <w:rPr>
          <w:b/>
          <w:bCs/>
          <w:lang w:eastAsia="bg-BG"/>
        </w:rPr>
      </w:pPr>
      <w:r w:rsidRPr="00A72D95">
        <w:rPr>
          <w:bCs/>
          <w:lang w:eastAsia="bg-BG"/>
        </w:rPr>
        <w:t> </w:t>
      </w:r>
      <w:r w:rsidRPr="00A72D95">
        <w:rPr>
          <w:b/>
          <w:bCs/>
          <w:lang w:eastAsia="bg-BG"/>
        </w:rPr>
        <w:t>Deadline: </w:t>
      </w:r>
      <w:r w:rsidRPr="006852B1">
        <w:rPr>
          <w:b/>
          <w:bCs/>
          <w:lang w:eastAsia="bg-BG"/>
        </w:rPr>
        <w:t>22 September 2022, 23:59 (CET).</w:t>
      </w:r>
    </w:p>
    <w:p w:rsidR="00450362" w:rsidRPr="00450362" w:rsidRDefault="00A72D95" w:rsidP="00D53577">
      <w:pPr>
        <w:spacing w:before="120" w:after="120" w:line="276" w:lineRule="auto"/>
        <w:jc w:val="both"/>
        <w:rPr>
          <w:lang w:eastAsia="bg-BG"/>
        </w:rPr>
      </w:pPr>
      <w:r w:rsidRPr="00A72D95">
        <w:rPr>
          <w:bCs/>
          <w:lang w:eastAsia="bg-BG"/>
        </w:rPr>
        <w:t> </w:t>
      </w:r>
      <w:r w:rsidR="00450362" w:rsidRPr="00450362">
        <w:rPr>
          <w:lang w:eastAsia="bg-BG"/>
        </w:rPr>
        <w:t>Call for Applications: Swiss Government EXCELLENCE Scholarships 2022/2023</w:t>
      </w:r>
    </w:p>
    <w:p w:rsidR="00450362" w:rsidRPr="00450362" w:rsidRDefault="00450362" w:rsidP="00237009">
      <w:pPr>
        <w:spacing w:before="120" w:after="120" w:line="276" w:lineRule="auto"/>
        <w:jc w:val="both"/>
        <w:rPr>
          <w:bCs/>
          <w:lang w:eastAsia="bg-BG"/>
        </w:rPr>
      </w:pPr>
      <w:r w:rsidRPr="00450362">
        <w:rPr>
          <w:bCs/>
          <w:lang w:eastAsia="bg-BG"/>
        </w:rPr>
        <w:t>Swiss Government Excellence Scholarships for Bulgarian Scholars and Artists for the Academic Year 2022/2023</w:t>
      </w:r>
    </w:p>
    <w:p w:rsidR="00450362" w:rsidRPr="00450362" w:rsidRDefault="00450362" w:rsidP="00450362">
      <w:pPr>
        <w:spacing w:before="120" w:after="120" w:line="276" w:lineRule="auto"/>
        <w:jc w:val="both"/>
        <w:rPr>
          <w:bCs/>
          <w:lang w:eastAsia="bg-BG"/>
        </w:rPr>
      </w:pPr>
      <w:r w:rsidRPr="00450362">
        <w:rPr>
          <w:bCs/>
          <w:lang w:eastAsia="bg-BG"/>
        </w:rPr>
        <w:t xml:space="preserve">Each year the Swiss Confederation </w:t>
      </w:r>
      <w:proofErr w:type="gramStart"/>
      <w:r w:rsidRPr="00450362">
        <w:rPr>
          <w:bCs/>
          <w:lang w:eastAsia="bg-BG"/>
        </w:rPr>
        <w:t>awards</w:t>
      </w:r>
      <w:proofErr w:type="gramEnd"/>
      <w:r w:rsidRPr="00450362">
        <w:rPr>
          <w:bCs/>
          <w:lang w:eastAsia="bg-BG"/>
        </w:rPr>
        <w:t xml:space="preserve"> Government Excellence Scholarships to promote international exchange and research cooperation between Switzerland and over 180 other countries. Recipients are selected by the awarding body, the Federal Commission for Scholarships for Foreign Students (FCS).</w:t>
      </w:r>
    </w:p>
    <w:p w:rsidR="00450362" w:rsidRPr="00450362" w:rsidRDefault="00450362" w:rsidP="00450362">
      <w:pPr>
        <w:spacing w:before="120" w:after="120" w:line="276" w:lineRule="auto"/>
        <w:jc w:val="both"/>
        <w:rPr>
          <w:bCs/>
          <w:lang w:eastAsia="bg-BG"/>
        </w:rPr>
      </w:pPr>
      <w:r w:rsidRPr="00450362">
        <w:rPr>
          <w:bCs/>
          <w:lang w:eastAsia="bg-BG"/>
        </w:rPr>
        <w:t>The Swiss Government Excellence Scholarships are aimed at young researchers from abroad who have completed a master’s degree or PhD and at foreign artists holding a bachelor’s degree.</w:t>
      </w:r>
    </w:p>
    <w:p w:rsidR="00450362" w:rsidRPr="00450362" w:rsidRDefault="00450362" w:rsidP="00450362">
      <w:pPr>
        <w:spacing w:before="120" w:after="120" w:line="276" w:lineRule="auto"/>
        <w:jc w:val="both"/>
        <w:rPr>
          <w:bCs/>
          <w:lang w:eastAsia="bg-BG"/>
        </w:rPr>
      </w:pPr>
      <w:r w:rsidRPr="00450362">
        <w:rPr>
          <w:bCs/>
          <w:lang w:eastAsia="bg-BG"/>
        </w:rPr>
        <w:t>Full description of the scholarships can be found here on the web-page of the Swiss </w:t>
      </w:r>
      <w:hyperlink r:id="rId21" w:tgtFrame="_blank" w:history="1">
        <w:r w:rsidRPr="00450362">
          <w:rPr>
            <w:rStyle w:val="Hyperlink"/>
            <w:bCs/>
            <w:lang w:eastAsia="bg-BG"/>
          </w:rPr>
          <w:t>State Secretariat for Education, Science and Innovation</w:t>
        </w:r>
      </w:hyperlink>
      <w:r w:rsidRPr="00450362">
        <w:rPr>
          <w:bCs/>
          <w:lang w:eastAsia="bg-BG"/>
        </w:rPr>
        <w:t>.</w:t>
      </w:r>
    </w:p>
    <w:p w:rsidR="00450362" w:rsidRPr="00450362" w:rsidRDefault="00D94B76" w:rsidP="00F32BA0">
      <w:pPr>
        <w:numPr>
          <w:ilvl w:val="0"/>
          <w:numId w:val="17"/>
        </w:numPr>
        <w:spacing w:before="120" w:after="120" w:line="276" w:lineRule="auto"/>
        <w:jc w:val="both"/>
        <w:rPr>
          <w:bCs/>
          <w:lang w:eastAsia="bg-BG"/>
        </w:rPr>
      </w:pPr>
      <w:hyperlink r:id="rId22" w:tgtFrame="_blank" w:history="1">
        <w:r w:rsidR="00450362" w:rsidRPr="00450362">
          <w:rPr>
            <w:rStyle w:val="Hyperlink"/>
            <w:bCs/>
            <w:lang w:eastAsia="bg-BG"/>
          </w:rPr>
          <w:t>One minute introduction to Swiss Government Excellence Scholarships</w:t>
        </w:r>
      </w:hyperlink>
      <w:r w:rsidR="00450362" w:rsidRPr="00450362">
        <w:rPr>
          <w:bCs/>
          <w:lang w:eastAsia="bg-BG"/>
        </w:rPr>
        <w:t> (video)</w:t>
      </w:r>
    </w:p>
    <w:p w:rsidR="00450362" w:rsidRPr="00450362" w:rsidRDefault="00D94B76" w:rsidP="00F32BA0">
      <w:pPr>
        <w:numPr>
          <w:ilvl w:val="0"/>
          <w:numId w:val="17"/>
        </w:numPr>
        <w:spacing w:before="120" w:after="120" w:line="276" w:lineRule="auto"/>
        <w:jc w:val="both"/>
        <w:rPr>
          <w:bCs/>
          <w:lang w:eastAsia="bg-BG"/>
        </w:rPr>
      </w:pPr>
      <w:hyperlink r:id="rId23" w:tgtFrame="_blank" w:history="1">
        <w:r w:rsidR="00450362" w:rsidRPr="00450362">
          <w:rPr>
            <w:rStyle w:val="Hyperlink"/>
            <w:bCs/>
            <w:lang w:eastAsia="bg-BG"/>
          </w:rPr>
          <w:t>Introduction to Swiss Government Excellence Scholarships</w:t>
        </w:r>
      </w:hyperlink>
      <w:r w:rsidR="00450362" w:rsidRPr="00450362">
        <w:rPr>
          <w:bCs/>
          <w:lang w:eastAsia="bg-BG"/>
        </w:rPr>
        <w:t> (5 min. video)</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Types of scholarship</w:t>
      </w:r>
    </w:p>
    <w:p w:rsidR="00450362" w:rsidRPr="00450362" w:rsidRDefault="00450362" w:rsidP="00450362">
      <w:pPr>
        <w:spacing w:before="120" w:after="120" w:line="276" w:lineRule="auto"/>
        <w:jc w:val="both"/>
        <w:rPr>
          <w:bCs/>
          <w:lang w:eastAsia="bg-BG"/>
        </w:rPr>
      </w:pPr>
      <w:r w:rsidRPr="00450362">
        <w:rPr>
          <w:bCs/>
          <w:lang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Selection criteria</w:t>
      </w:r>
    </w:p>
    <w:p w:rsidR="00450362" w:rsidRPr="00450362" w:rsidRDefault="00450362" w:rsidP="00450362">
      <w:pPr>
        <w:spacing w:before="120" w:after="120" w:line="276" w:lineRule="auto"/>
        <w:jc w:val="both"/>
        <w:rPr>
          <w:bCs/>
          <w:lang w:eastAsia="bg-BG"/>
        </w:rPr>
      </w:pPr>
      <w:r w:rsidRPr="00450362">
        <w:rPr>
          <w:bCs/>
          <w:lang w:eastAsia="bg-BG"/>
        </w:rPr>
        <w:t>The FCS assesses scholarship applications according to three criteria:</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Candidate profile</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Quality of the research project or artistic work</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Synergies and potential for future research cooperation</w:t>
      </w:r>
    </w:p>
    <w:p w:rsidR="00450362" w:rsidRPr="00450362" w:rsidRDefault="00450362" w:rsidP="00450362">
      <w:pPr>
        <w:spacing w:before="120" w:after="120" w:line="276" w:lineRule="auto"/>
        <w:jc w:val="both"/>
        <w:rPr>
          <w:bCs/>
          <w:lang w:eastAsia="bg-BG"/>
        </w:rPr>
      </w:pPr>
      <w:r w:rsidRPr="00450362">
        <w:rPr>
          <w:bCs/>
          <w:lang w:eastAsia="bg-BG"/>
        </w:rPr>
        <w:t>For Bulgaria the Swiss Government offers the following opportunities: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lastRenderedPageBreak/>
        <w:t>Arts Scholarships</w:t>
      </w:r>
      <w:r w:rsidRPr="00450362">
        <w:rPr>
          <w:bCs/>
          <w:lang w:eastAsia="bg-BG"/>
        </w:rPr>
        <w:t> – To enable selected applicants to undertake initial Master’s studies at conservatories or art schools affiliated with universities of applied sciences: 12 months (September – August) – prolongable up to 21 months at most</w:t>
      </w:r>
      <w:r w:rsidRPr="00450362">
        <w:rPr>
          <w:bCs/>
          <w:lang w:eastAsia="bg-BG"/>
        </w:rPr>
        <w:br/>
        <w:t>depending on the Master programme chosen and the necessary ECTS credits.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Research Scholarships for foreign students</w:t>
      </w:r>
      <w:r w:rsidRPr="00450362">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PhD Scholarships</w:t>
      </w:r>
      <w:r w:rsidRPr="00450362">
        <w:rPr>
          <w:bCs/>
          <w:lang w:eastAsia="bg-BG"/>
        </w:rPr>
        <w:t> – To enable selected applicants to undertake a PhD at one of the 10 Swiss cantonal universities, the two Swiss federal institutes of technology or the Graduate Institute.</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Postdoctoral Scholarships</w:t>
      </w:r>
      <w:r w:rsidRPr="00450362">
        <w:rPr>
          <w:bCs/>
          <w:lang w:eastAsia="bg-BG"/>
        </w:rPr>
        <w:t> – To enable selected applicants to undertake a postdoctoral research at</w:t>
      </w:r>
      <w:r w:rsidR="00237009">
        <w:rPr>
          <w:bCs/>
          <w:lang w:eastAsia="bg-BG"/>
        </w:rPr>
        <w:t xml:space="preserve"> </w:t>
      </w:r>
      <w:r w:rsidRPr="00450362">
        <w:rPr>
          <w:bCs/>
          <w:lang w:eastAsia="bg-BG"/>
        </w:rPr>
        <w:t>one of the 10 Swiss cantonal universities, the two Swiss federal institutes of technology, the public teaching and research institutes or the universities of applied sciences.</w:t>
      </w:r>
    </w:p>
    <w:p w:rsidR="00450362" w:rsidRPr="00450362" w:rsidRDefault="00450362" w:rsidP="00237009">
      <w:pPr>
        <w:spacing w:before="120" w:after="120" w:line="276" w:lineRule="auto"/>
        <w:jc w:val="both"/>
        <w:rPr>
          <w:bCs/>
          <w:lang w:eastAsia="bg-BG"/>
        </w:rPr>
      </w:pPr>
      <w:r w:rsidRPr="00450362">
        <w:rPr>
          <w:bCs/>
          <w:lang w:eastAsia="bg-BG"/>
        </w:rPr>
        <w:t>Contact person:</w:t>
      </w:r>
    </w:p>
    <w:p w:rsidR="00237009" w:rsidRDefault="00450362" w:rsidP="00237009">
      <w:pPr>
        <w:spacing w:line="276" w:lineRule="auto"/>
        <w:jc w:val="both"/>
        <w:rPr>
          <w:bCs/>
          <w:lang w:eastAsia="bg-BG"/>
        </w:rPr>
      </w:pPr>
      <w:r w:rsidRPr="00450362">
        <w:rPr>
          <w:bCs/>
          <w:lang w:eastAsia="bg-BG"/>
        </w:rPr>
        <w:t>Mr Dimiter Dimov, Project Coordinator</w:t>
      </w:r>
    </w:p>
    <w:p w:rsidR="00237009" w:rsidRDefault="00450362" w:rsidP="00237009">
      <w:pPr>
        <w:spacing w:line="276" w:lineRule="auto"/>
        <w:jc w:val="both"/>
        <w:rPr>
          <w:bCs/>
          <w:lang w:eastAsia="bg-BG"/>
        </w:rPr>
      </w:pPr>
      <w:r w:rsidRPr="00450362">
        <w:rPr>
          <w:bCs/>
          <w:lang w:eastAsia="bg-BG"/>
        </w:rPr>
        <w:t>Center for Advanced Study Sofia</w:t>
      </w:r>
    </w:p>
    <w:p w:rsidR="00237009" w:rsidRDefault="00450362" w:rsidP="00237009">
      <w:pPr>
        <w:spacing w:line="276" w:lineRule="auto"/>
        <w:jc w:val="both"/>
        <w:rPr>
          <w:bCs/>
          <w:lang w:eastAsia="bg-BG"/>
        </w:rPr>
      </w:pPr>
      <w:r w:rsidRPr="00450362">
        <w:rPr>
          <w:bCs/>
          <w:lang w:eastAsia="bg-BG"/>
        </w:rPr>
        <w:t>7, Stefan Karadja Str., vh.3, ap.23</w:t>
      </w:r>
    </w:p>
    <w:p w:rsidR="00237009" w:rsidRDefault="00450362" w:rsidP="00237009">
      <w:pPr>
        <w:spacing w:line="276" w:lineRule="auto"/>
        <w:jc w:val="both"/>
        <w:rPr>
          <w:bCs/>
          <w:lang w:eastAsia="bg-BG"/>
        </w:rPr>
      </w:pPr>
      <w:r w:rsidRPr="00450362">
        <w:rPr>
          <w:bCs/>
          <w:lang w:eastAsia="bg-BG"/>
        </w:rPr>
        <w:t>phone: +359 2 9803704</w:t>
      </w:r>
    </w:p>
    <w:p w:rsidR="00450362" w:rsidRPr="00450362" w:rsidRDefault="00450362" w:rsidP="00237009">
      <w:pPr>
        <w:spacing w:line="276" w:lineRule="auto"/>
        <w:jc w:val="both"/>
        <w:rPr>
          <w:bCs/>
          <w:lang w:eastAsia="bg-BG"/>
        </w:rPr>
      </w:pPr>
      <w:r w:rsidRPr="00450362">
        <w:rPr>
          <w:bCs/>
          <w:lang w:eastAsia="bg-BG"/>
        </w:rPr>
        <w:t>email: dimov@cas.bgweb: https://cas.bg</w:t>
      </w:r>
    </w:p>
    <w:p w:rsidR="00FE1924" w:rsidRDefault="00237009" w:rsidP="00467695">
      <w:pPr>
        <w:spacing w:before="120" w:after="600" w:line="276" w:lineRule="auto"/>
        <w:jc w:val="both"/>
        <w:rPr>
          <w:b/>
          <w:bCs/>
          <w:lang w:eastAsia="bg-BG"/>
        </w:rPr>
      </w:pPr>
      <w:r w:rsidRPr="00237009">
        <w:rPr>
          <w:b/>
          <w:bCs/>
          <w:lang w:eastAsia="bg-BG"/>
        </w:rPr>
        <w:t>Deadline for submission of the application documents: 1st November, 2021.</w:t>
      </w:r>
    </w:p>
    <w:p w:rsidR="00FE1924" w:rsidRPr="00467695" w:rsidRDefault="00467695" w:rsidP="00467695">
      <w:pPr>
        <w:pStyle w:val="Heading2"/>
        <w:ind w:left="426"/>
        <w:rPr>
          <w:lang w:val="bg-BG" w:eastAsia="bg-BG"/>
        </w:rPr>
      </w:pPr>
      <w:bookmarkStart w:id="6" w:name="_Toc84330670"/>
      <w:r w:rsidRPr="00467695">
        <w:rPr>
          <w:lang w:val="bg-BG" w:eastAsia="bg-BG"/>
        </w:rPr>
        <w:t>Стипендии на Solutions Journalism Network</w:t>
      </w:r>
      <w:bookmarkEnd w:id="6"/>
    </w:p>
    <w:p w:rsidR="00467695" w:rsidRDefault="00D94B76" w:rsidP="00467695">
      <w:pPr>
        <w:shd w:val="clear" w:color="auto" w:fill="FFFFFF"/>
        <w:spacing w:before="120" w:after="120" w:line="276" w:lineRule="auto"/>
        <w:jc w:val="both"/>
        <w:textAlignment w:val="baseline"/>
        <w:rPr>
          <w:bCs/>
          <w:color w:val="000000"/>
          <w:bdr w:val="none" w:sz="0" w:space="0" w:color="auto" w:frame="1"/>
          <w:shd w:val="clear" w:color="auto" w:fill="FFFFFF"/>
        </w:rPr>
      </w:pPr>
      <w:hyperlink r:id="rId24" w:tgtFrame="_blank" w:history="1">
        <w:r w:rsidR="0045041E" w:rsidRPr="0045041E">
          <w:rPr>
            <w:b/>
            <w:bCs/>
            <w:color w:val="B8CE36"/>
            <w:u w:val="single"/>
            <w:bdr w:val="none" w:sz="0" w:space="0" w:color="auto" w:frame="1"/>
            <w:shd w:val="clear" w:color="auto" w:fill="FFFFFF"/>
          </w:rPr>
          <w:t>Solutions Journalism Network</w:t>
        </w:r>
      </w:hyperlink>
      <w:r w:rsidR="0045041E" w:rsidRPr="0045041E">
        <w:rPr>
          <w:b/>
          <w:bCs/>
          <w:color w:val="000000"/>
          <w:bdr w:val="none" w:sz="0" w:space="0" w:color="auto" w:frame="1"/>
          <w:shd w:val="clear" w:color="auto" w:fill="FFFFFF"/>
        </w:rPr>
        <w:t> </w:t>
      </w:r>
      <w:r w:rsidR="0045041E" w:rsidRPr="00467695">
        <w:rPr>
          <w:bCs/>
          <w:color w:val="000000"/>
          <w:bdr w:val="none" w:sz="0" w:space="0" w:color="auto" w:frame="1"/>
          <w:shd w:val="clear" w:color="auto" w:fill="FFFFFF"/>
        </w:rPr>
        <w:t>приема кандидатури за стипендиантска програма, която ще се проведе през 2022 г.</w:t>
      </w:r>
    </w:p>
    <w:p w:rsidR="00467695" w:rsidRDefault="0045041E" w:rsidP="00467695">
      <w:pPr>
        <w:shd w:val="clear" w:color="auto" w:fill="FFFFFF"/>
        <w:spacing w:before="120" w:after="120" w:line="276" w:lineRule="auto"/>
        <w:jc w:val="both"/>
        <w:textAlignment w:val="baseline"/>
        <w:rPr>
          <w:color w:val="000000"/>
          <w:shd w:val="clear" w:color="auto" w:fill="FFFFFF"/>
        </w:rPr>
      </w:pPr>
      <w:r w:rsidRPr="00467695">
        <w:rPr>
          <w:color w:val="000000"/>
          <w:shd w:val="clear" w:color="auto" w:fill="FFFFFF"/>
        </w:rPr>
        <w:t>Е</w:t>
      </w:r>
      <w:r w:rsidRPr="0045041E">
        <w:rPr>
          <w:color w:val="000000"/>
          <w:shd w:val="clear" w:color="auto" w:fill="FFFFFF"/>
        </w:rPr>
        <w:t>дногодишната стипендия </w:t>
      </w:r>
      <w:hyperlink r:id="rId25" w:history="1">
        <w:r w:rsidRPr="0045041E">
          <w:rPr>
            <w:color w:val="B8CE36"/>
            <w:u w:val="single"/>
            <w:bdr w:val="none" w:sz="0" w:space="0" w:color="auto" w:frame="1"/>
            <w:shd w:val="clear" w:color="auto" w:fill="FFFFFF"/>
          </w:rPr>
          <w:t>LEDE</w:t>
        </w:r>
      </w:hyperlink>
      <w:r w:rsidRPr="0045041E">
        <w:rPr>
          <w:color w:val="000000"/>
          <w:shd w:val="clear" w:color="auto" w:fill="FFFFFF"/>
        </w:rPr>
        <w:t xml:space="preserve"> позволява на журналисти от цял свят да разработват и изпълняват съвместни проекти заедно със свои колеги и партньорски организации, ангажирани да разширят обхвата на т. нар. журналистика за решения. </w:t>
      </w:r>
    </w:p>
    <w:p w:rsidR="00467695" w:rsidRDefault="0045041E" w:rsidP="00467695">
      <w:pPr>
        <w:shd w:val="clear" w:color="auto" w:fill="FFFFFF"/>
        <w:spacing w:before="120" w:after="120" w:line="276" w:lineRule="auto"/>
        <w:jc w:val="both"/>
        <w:textAlignment w:val="baseline"/>
        <w:rPr>
          <w:color w:val="000000"/>
          <w:shd w:val="clear" w:color="auto" w:fill="FFFFFF"/>
        </w:rPr>
      </w:pPr>
      <w:r w:rsidRPr="0045041E">
        <w:rPr>
          <w:color w:val="000000"/>
          <w:shd w:val="clear" w:color="auto" w:fill="FFFFFF"/>
        </w:rPr>
        <w:t xml:space="preserve">Успешните кандидати ще получат проектно финансиране до 3500 долара и ще имат възможност да вземат участие в различни обучения. Програмата продължава от януари до декември 2022 г. </w:t>
      </w:r>
    </w:p>
    <w:p w:rsidR="0045041E" w:rsidRPr="0045041E" w:rsidRDefault="0045041E" w:rsidP="00467695">
      <w:pPr>
        <w:shd w:val="clear" w:color="auto" w:fill="FFFFFF"/>
        <w:spacing w:before="120" w:after="600" w:line="276" w:lineRule="auto"/>
        <w:jc w:val="both"/>
        <w:textAlignment w:val="baseline"/>
        <w:rPr>
          <w:b/>
          <w:color w:val="000000"/>
          <w:bdr w:val="none" w:sz="0" w:space="0" w:color="auto" w:frame="1"/>
          <w:lang w:val="bg-BG"/>
        </w:rPr>
      </w:pPr>
      <w:r w:rsidRPr="00467695">
        <w:rPr>
          <w:b/>
          <w:color w:val="000000"/>
          <w:shd w:val="clear" w:color="auto" w:fill="FFFFFF"/>
        </w:rPr>
        <w:t>Крайният срок</w:t>
      </w:r>
      <w:r w:rsidRPr="0045041E">
        <w:rPr>
          <w:color w:val="000000"/>
          <w:shd w:val="clear" w:color="auto" w:fill="FFFFFF"/>
        </w:rPr>
        <w:t xml:space="preserve"> за </w:t>
      </w:r>
      <w:hyperlink r:id="rId26" w:tgtFrame="_blank" w:history="1">
        <w:r w:rsidRPr="0045041E">
          <w:rPr>
            <w:color w:val="B8CE36"/>
            <w:u w:val="single"/>
            <w:bdr w:val="none" w:sz="0" w:space="0" w:color="auto" w:frame="1"/>
            <w:shd w:val="clear" w:color="auto" w:fill="FFFFFF"/>
          </w:rPr>
          <w:t>кандидатстване</w:t>
        </w:r>
      </w:hyperlink>
      <w:r w:rsidRPr="0045041E">
        <w:rPr>
          <w:color w:val="000000"/>
          <w:shd w:val="clear" w:color="auto" w:fill="FFFFFF"/>
        </w:rPr>
        <w:t> </w:t>
      </w:r>
      <w:r w:rsidRPr="00467695">
        <w:rPr>
          <w:b/>
          <w:color w:val="000000"/>
          <w:shd w:val="clear" w:color="auto" w:fill="FFFFFF"/>
        </w:rPr>
        <w:t>е 17 октомври 2021 г.</w:t>
      </w:r>
    </w:p>
    <w:p w:rsidR="0045041E" w:rsidRPr="0045041E" w:rsidRDefault="0045041E" w:rsidP="00FE1924">
      <w:pPr>
        <w:shd w:val="clear" w:color="auto" w:fill="FFFFFF"/>
        <w:spacing w:before="120" w:after="600" w:line="276" w:lineRule="auto"/>
        <w:jc w:val="both"/>
        <w:textAlignment w:val="baseline"/>
        <w:rPr>
          <w:b/>
          <w:color w:val="000000"/>
          <w:bdr w:val="none" w:sz="0" w:space="0" w:color="auto" w:frame="1"/>
          <w:lang w:val="bg-BG"/>
        </w:rPr>
      </w:pPr>
    </w:p>
    <w:p w:rsidR="007041E6" w:rsidRPr="00D46F1E" w:rsidRDefault="007041E6" w:rsidP="00D46F1E">
      <w:pPr>
        <w:pStyle w:val="Heading2"/>
        <w:ind w:left="426"/>
        <w:rPr>
          <w:lang w:eastAsia="bg-BG"/>
        </w:rPr>
      </w:pPr>
      <w:bookmarkStart w:id="7" w:name="_Toc84330671"/>
      <w:r w:rsidRPr="00D46F1E">
        <w:rPr>
          <w:lang w:eastAsia="bg-BG"/>
        </w:rPr>
        <w:lastRenderedPageBreak/>
        <w:t>Internships at the World Bank</w:t>
      </w:r>
      <w:bookmarkEnd w:id="7"/>
    </w:p>
    <w:p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27"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rsidR="00D46F1E" w:rsidRPr="00D46F1E" w:rsidRDefault="00D46F1E" w:rsidP="00D46F1E">
      <w:pPr>
        <w:spacing w:before="120" w:after="120" w:line="276" w:lineRule="auto"/>
        <w:jc w:val="both"/>
        <w:rPr>
          <w:bCs/>
          <w:lang w:eastAsia="bg-BG"/>
        </w:rPr>
      </w:pPr>
      <w:r w:rsidRPr="00D46F1E">
        <w:rPr>
          <w:bCs/>
          <w:lang w:eastAsia="bg-BG"/>
        </w:rPr>
        <w:t> Read more about it </w:t>
      </w:r>
      <w:hyperlink r:id="rId28" w:tgtFrame="_blank" w:history="1">
        <w:r w:rsidRPr="00D46F1E">
          <w:rPr>
            <w:rStyle w:val="Hyperlink"/>
            <w:bCs/>
            <w:lang w:eastAsia="bg-BG"/>
          </w:rPr>
          <w:t>here</w:t>
        </w:r>
      </w:hyperlink>
      <w:r w:rsidRPr="00D46F1E">
        <w:rPr>
          <w:bCs/>
          <w:lang w:eastAsia="bg-BG"/>
        </w:rPr>
        <w:t>.</w:t>
      </w:r>
    </w:p>
    <w:p w:rsidR="00D46F1E" w:rsidRPr="00D46F1E" w:rsidRDefault="007041E6" w:rsidP="007041E6">
      <w:pPr>
        <w:spacing w:before="120" w:after="120" w:line="276" w:lineRule="auto"/>
        <w:jc w:val="both"/>
        <w:rPr>
          <w:b/>
          <w:bCs/>
          <w:lang w:eastAsia="bg-BG"/>
        </w:rPr>
      </w:pPr>
      <w:r w:rsidRPr="00D46F1E">
        <w:rPr>
          <w:b/>
          <w:bCs/>
          <w:lang w:eastAsia="bg-BG"/>
        </w:rPr>
        <w:t>Deadlines:</w:t>
      </w:r>
    </w:p>
    <w:p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rsidR="00163B92" w:rsidRPr="00137C85" w:rsidRDefault="00163B92" w:rsidP="00163B92">
      <w:pPr>
        <w:pStyle w:val="Heading2"/>
        <w:spacing w:line="276" w:lineRule="auto"/>
        <w:ind w:left="426"/>
        <w:rPr>
          <w:lang w:val="en-US"/>
        </w:rPr>
      </w:pPr>
      <w:bookmarkStart w:id="8" w:name="_Toc84330672"/>
      <w:r w:rsidRPr="00137C85">
        <w:rPr>
          <w:lang w:val="en-US"/>
        </w:rPr>
        <w:t>Junior Research Internship Program</w:t>
      </w:r>
      <w:bookmarkEnd w:id="8"/>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w:t>
      </w:r>
      <w:r w:rsidRPr="000968C3">
        <w:rPr>
          <w:bCs/>
          <w:lang w:val="en-US"/>
        </w:rPr>
        <w:lastRenderedPageBreak/>
        <w:t xml:space="preserve">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9" w:history="1">
        <w:r w:rsidRPr="000968C3">
          <w:rPr>
            <w:rStyle w:val="Hyperlink"/>
            <w:bCs/>
            <w:lang w:val="en-US"/>
          </w:rPr>
          <w:t>here</w:t>
        </w:r>
      </w:hyperlink>
    </w:p>
    <w:p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5B7901" w:rsidRPr="009053C9" w:rsidRDefault="005B7901" w:rsidP="009053C9">
      <w:pPr>
        <w:pStyle w:val="Heading2"/>
        <w:ind w:left="284"/>
        <w:rPr>
          <w:bdr w:val="none" w:sz="0" w:space="0" w:color="auto" w:frame="1"/>
          <w:shd w:val="clear" w:color="auto" w:fill="FFFFFF"/>
          <w:lang w:val="bg-BG"/>
        </w:rPr>
      </w:pPr>
      <w:bookmarkStart w:id="9" w:name="_Toc84330673"/>
      <w:r w:rsidRPr="009053C9">
        <w:rPr>
          <w:bdr w:val="none" w:sz="0" w:space="0" w:color="auto" w:frame="1"/>
          <w:shd w:val="clear" w:color="auto" w:fill="FFFFFF"/>
          <w:lang w:val="bg-BG"/>
        </w:rPr>
        <w:t>Стажове в Агенцията на ЕС за космическата програма</w:t>
      </w:r>
      <w:bookmarkEnd w:id="9"/>
    </w:p>
    <w:p w:rsidR="009053C9" w:rsidRDefault="009053C9" w:rsidP="009053C9">
      <w:pPr>
        <w:spacing w:before="120" w:after="120" w:line="276" w:lineRule="auto"/>
        <w:jc w:val="both"/>
        <w:rPr>
          <w:color w:val="000000"/>
          <w:bdr w:val="none" w:sz="0" w:space="0" w:color="auto" w:frame="1"/>
          <w:shd w:val="clear" w:color="auto" w:fill="FFFFFF"/>
        </w:rPr>
      </w:pPr>
      <w:r w:rsidRPr="009053C9">
        <w:rPr>
          <w:bCs/>
          <w:color w:val="000000"/>
          <w:bdr w:val="none" w:sz="0" w:space="0" w:color="auto" w:frame="1"/>
          <w:shd w:val="clear" w:color="auto" w:fill="FFFFFF"/>
          <w:lang w:val="bg-BG"/>
        </w:rPr>
        <w:t>Агенцията на ЕС за космическата програма</w:t>
      </w:r>
      <w:r w:rsidRPr="009053C9">
        <w:rPr>
          <w:bCs/>
          <w:color w:val="000000"/>
          <w:bdr w:val="none" w:sz="0" w:space="0" w:color="auto" w:frame="1"/>
          <w:shd w:val="clear" w:color="auto" w:fill="FFFFFF"/>
        </w:rPr>
        <w:t xml:space="preserve"> </w:t>
      </w:r>
      <w:r w:rsidR="005B7901" w:rsidRPr="009053C9">
        <w:rPr>
          <w:bCs/>
          <w:color w:val="000000"/>
          <w:bdr w:val="none" w:sz="0" w:space="0" w:color="auto" w:frame="1"/>
          <w:shd w:val="clear" w:color="auto" w:fill="FFFFFF"/>
        </w:rPr>
        <w:t>открива стажантската си кампания</w:t>
      </w:r>
      <w:r w:rsidR="005B7901" w:rsidRPr="009053C9">
        <w:rPr>
          <w:color w:val="000000"/>
          <w:bdr w:val="none" w:sz="0" w:space="0" w:color="auto" w:frame="1"/>
          <w:shd w:val="clear" w:color="auto" w:fill="FFFFFF"/>
        </w:rPr>
        <w:t xml:space="preserve">. Това е регулаторна агенция на Европейския съюз, чиято мисия е да подпомага изпълнението на европейските цели за ГНСС (Глобална Навигационна Сателитна Система), които са тясно свързани със спътниковите системи Галилео и EGNOS. Разположената в Прага организация прави това чрез управление на услугите предоставени от EGNOS и Галилео, създаване на възможности за развитие на основани на ГНСС услуги, подобряване на инфраструктурата на ГНСС. </w:t>
      </w:r>
    </w:p>
    <w:p w:rsidR="009053C9" w:rsidRDefault="005B7901" w:rsidP="009053C9">
      <w:pPr>
        <w:spacing w:before="120" w:after="120" w:line="276" w:lineRule="auto"/>
        <w:jc w:val="both"/>
        <w:rPr>
          <w:color w:val="000000"/>
          <w:bdr w:val="none" w:sz="0" w:space="0" w:color="auto" w:frame="1"/>
          <w:shd w:val="clear" w:color="auto" w:fill="FFFFFF"/>
          <w:lang w:val="bg-BG"/>
        </w:rPr>
      </w:pPr>
      <w:r w:rsidRPr="009053C9">
        <w:rPr>
          <w:color w:val="000000"/>
          <w:bdr w:val="none" w:sz="0" w:space="0" w:color="auto" w:frame="1"/>
          <w:shd w:val="clear" w:color="auto" w:fill="FFFFFF"/>
        </w:rPr>
        <w:t>Продължителността на стажантските програми са от 6 до 12 месеца, а месечната заплата е в размер на 1000 евро. Нужно е кандидатите да са с гражданство на страна членка на ЕС, ЕАСТ или на страна, която е в етап на преговори за присъединяване към ЕС; придобита минимум бакалавърска степен на висше образование към крайната дата на периода за кандидатстване; много добро ниво на английски език (минимум B2)</w:t>
      </w:r>
      <w:r w:rsidR="009053C9">
        <w:rPr>
          <w:color w:val="000000"/>
          <w:bdr w:val="none" w:sz="0" w:space="0" w:color="auto" w:frame="1"/>
          <w:shd w:val="clear" w:color="auto" w:fill="FFFFFF"/>
          <w:lang w:val="bg-BG"/>
        </w:rPr>
        <w:t>.</w:t>
      </w:r>
    </w:p>
    <w:p w:rsidR="009053C9" w:rsidRDefault="005B7901" w:rsidP="009053C9">
      <w:pPr>
        <w:spacing w:before="120" w:after="120" w:line="276" w:lineRule="auto"/>
        <w:jc w:val="both"/>
        <w:rPr>
          <w:color w:val="000000"/>
          <w:bdr w:val="none" w:sz="0" w:space="0" w:color="auto" w:frame="1"/>
          <w:shd w:val="clear" w:color="auto" w:fill="FFFFFF"/>
        </w:rPr>
      </w:pPr>
      <w:r w:rsidRPr="009053C9">
        <w:rPr>
          <w:color w:val="000000"/>
          <w:bdr w:val="none" w:sz="0" w:space="0" w:color="auto" w:frame="1"/>
          <w:shd w:val="clear" w:color="auto" w:fill="FFFFFF"/>
        </w:rPr>
        <w:t xml:space="preserve">Желаещите кандидатстват чрез изпращане на CV и мотивационно писмо. Отворените позиции може да видите в </w:t>
      </w:r>
      <w:hyperlink r:id="rId30" w:history="1">
        <w:r w:rsidRPr="009053C9">
          <w:rPr>
            <w:color w:val="B8CE36"/>
            <w:u w:val="single"/>
            <w:bdr w:val="none" w:sz="0" w:space="0" w:color="auto" w:frame="1"/>
            <w:shd w:val="clear" w:color="auto" w:fill="FFFFFF"/>
          </w:rPr>
          <w:t>дъното на сайта</w:t>
        </w:r>
      </w:hyperlink>
      <w:r w:rsidRPr="009053C9">
        <w:rPr>
          <w:color w:val="000000"/>
          <w:bdr w:val="none" w:sz="0" w:space="0" w:color="auto" w:frame="1"/>
          <w:shd w:val="clear" w:color="auto" w:fill="FFFFFF"/>
        </w:rPr>
        <w:t xml:space="preserve">. </w:t>
      </w:r>
      <w:r w:rsidR="009053C9" w:rsidRPr="009053C9">
        <w:rPr>
          <w:color w:val="000000"/>
          <w:bdr w:val="none" w:sz="0" w:space="0" w:color="auto" w:frame="1"/>
          <w:shd w:val="clear" w:color="auto" w:fill="FFFFFF"/>
        </w:rPr>
        <w:t xml:space="preserve">Пълна информация вижте </w:t>
      </w:r>
      <w:hyperlink r:id="rId31" w:history="1">
        <w:r w:rsidR="009053C9" w:rsidRPr="009053C9">
          <w:rPr>
            <w:color w:val="B8CE36"/>
            <w:u w:val="single"/>
            <w:bdr w:val="none" w:sz="0" w:space="0" w:color="auto" w:frame="1"/>
            <w:shd w:val="clear" w:color="auto" w:fill="FFFFFF"/>
          </w:rPr>
          <w:t>тук</w:t>
        </w:r>
      </w:hyperlink>
    </w:p>
    <w:p w:rsidR="005B7901" w:rsidRDefault="005B7901" w:rsidP="009053C9">
      <w:pPr>
        <w:spacing w:before="120" w:after="600" w:line="276" w:lineRule="auto"/>
        <w:jc w:val="both"/>
        <w:rPr>
          <w:b/>
          <w:color w:val="000000"/>
          <w:bdr w:val="none" w:sz="0" w:space="0" w:color="auto" w:frame="1"/>
          <w:shd w:val="clear" w:color="auto" w:fill="FFFFFF"/>
        </w:rPr>
      </w:pPr>
      <w:r w:rsidRPr="009053C9">
        <w:rPr>
          <w:b/>
          <w:color w:val="000000"/>
          <w:bdr w:val="none" w:sz="0" w:space="0" w:color="auto" w:frame="1"/>
          <w:shd w:val="clear" w:color="auto" w:fill="FFFFFF"/>
        </w:rPr>
        <w:t xml:space="preserve">Крайният срок за кандидатстване е 15 декември 2021 </w:t>
      </w:r>
      <w:proofErr w:type="gramStart"/>
      <w:r w:rsidRPr="009053C9">
        <w:rPr>
          <w:b/>
          <w:color w:val="000000"/>
          <w:bdr w:val="none" w:sz="0" w:space="0" w:color="auto" w:frame="1"/>
          <w:shd w:val="clear" w:color="auto" w:fill="FFFFFF"/>
        </w:rPr>
        <w:t>г..</w:t>
      </w:r>
      <w:proofErr w:type="gramEnd"/>
    </w:p>
    <w:p w:rsidR="00F20965" w:rsidRPr="00F20965" w:rsidRDefault="00F20965" w:rsidP="00F20965">
      <w:pPr>
        <w:pStyle w:val="Heading2"/>
        <w:ind w:left="426"/>
        <w:rPr>
          <w:rFonts w:ascii="Times New Roman" w:hAnsi="Times New Roman" w:cs="Times New Roman"/>
          <w:szCs w:val="24"/>
          <w:lang w:val="bg-BG"/>
        </w:rPr>
      </w:pPr>
      <w:bookmarkStart w:id="10" w:name="_Toc84330674"/>
      <w:r w:rsidRPr="00F20965">
        <w:rPr>
          <w:bdr w:val="none" w:sz="0" w:space="0" w:color="auto" w:frame="1"/>
          <w:shd w:val="clear" w:color="auto" w:fill="FFFFFF"/>
          <w:lang w:val="bg-BG"/>
        </w:rPr>
        <w:t>Стажантска академия на ОББ</w:t>
      </w:r>
      <w:bookmarkEnd w:id="10"/>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Програмата на ОББ в малките и средни предприятия и </w:t>
      </w:r>
      <w:r w:rsidR="00F20965">
        <w:rPr>
          <w:color w:val="000000"/>
          <w:shd w:val="clear" w:color="auto" w:fill="FFFFFF"/>
          <w:lang w:val="bg-BG"/>
        </w:rPr>
        <w:t xml:space="preserve">в </w:t>
      </w:r>
      <w:r w:rsidRPr="00001DB0">
        <w:rPr>
          <w:color w:val="000000"/>
          <w:shd w:val="clear" w:color="auto" w:fill="FFFFFF"/>
        </w:rPr>
        <w:t>корпоратив</w:t>
      </w:r>
      <w:r w:rsidR="00F20965">
        <w:rPr>
          <w:color w:val="000000"/>
          <w:shd w:val="clear" w:color="auto" w:fill="FFFFFF"/>
          <w:lang w:val="bg-BG"/>
        </w:rPr>
        <w:t>ния</w:t>
      </w:r>
      <w:r w:rsidRPr="00001DB0">
        <w:rPr>
          <w:color w:val="000000"/>
          <w:shd w:val="clear" w:color="auto" w:fill="FFFFFF"/>
        </w:rPr>
        <w:t xml:space="preserve"> сегмент има за цел да открие талантливите бъдещи професионалисти и да подпомогне тяхното кариерно развитие като им осигури възможността да разрешават реални казуси от практиката. Нужно е кандидатите да имат комуникационни умения, добра компютърна грамотност, аналитично мислене, завършен трети курс в специалност с икономическа насоченост, английски на добро ниво, мотивация за постигане на резултати. </w:t>
      </w:r>
    </w:p>
    <w:p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lastRenderedPageBreak/>
        <w:t>Основните задължения ще бъдат подпомагане на цялостната дейност на екипите, съдействие при въвеждане на данни и анализи, изготвяне на справки, спазване на сроковете на задачите, поддържане на връзка с колеги от други дирекции. Може да кандидатствате през тази </w:t>
      </w:r>
      <w:hyperlink r:id="rId32" w:history="1">
        <w:r w:rsidRPr="00001DB0">
          <w:rPr>
            <w:color w:val="B8CE36"/>
            <w:u w:val="single"/>
            <w:bdr w:val="none" w:sz="0" w:space="0" w:color="auto" w:frame="1"/>
            <w:shd w:val="clear" w:color="auto" w:fill="FFFFFF"/>
          </w:rPr>
          <w:t>страница</w:t>
        </w:r>
      </w:hyperlink>
      <w:r w:rsidRPr="00001DB0">
        <w:rPr>
          <w:color w:val="000000"/>
          <w:shd w:val="clear" w:color="auto" w:fill="FFFFFF"/>
        </w:rPr>
        <w:t>. Пълна информация за академията може да намерите </w:t>
      </w:r>
      <w:hyperlink r:id="rId33" w:history="1">
        <w:r w:rsidRPr="00001DB0">
          <w:rPr>
            <w:color w:val="B8CE36"/>
            <w:u w:val="single"/>
            <w:bdr w:val="none" w:sz="0" w:space="0" w:color="auto" w:frame="1"/>
            <w:shd w:val="clear" w:color="auto" w:fill="FFFFFF"/>
          </w:rPr>
          <w:t>тук</w:t>
        </w:r>
      </w:hyperlink>
      <w:r w:rsidRPr="00001DB0">
        <w:rPr>
          <w:color w:val="000000"/>
          <w:shd w:val="clear" w:color="auto" w:fill="FFFFFF"/>
        </w:rPr>
        <w:t>.</w:t>
      </w:r>
    </w:p>
    <w:p w:rsidR="00F20965" w:rsidRPr="00F20965" w:rsidRDefault="00F20965" w:rsidP="00F20965">
      <w:pPr>
        <w:spacing w:before="120" w:after="600" w:line="276" w:lineRule="auto"/>
        <w:jc w:val="both"/>
        <w:rPr>
          <w:b/>
          <w:lang w:val="bg-BG"/>
        </w:rPr>
      </w:pPr>
      <w:r w:rsidRPr="00F20965">
        <w:rPr>
          <w:b/>
          <w:color w:val="000000"/>
          <w:shd w:val="clear" w:color="auto" w:fill="FFFFFF"/>
          <w:lang w:val="bg-BG"/>
        </w:rPr>
        <w:t>Краен срок: не е посочен</w:t>
      </w:r>
    </w:p>
    <w:p w:rsidR="00B72531" w:rsidRPr="00F20965" w:rsidRDefault="00F20965" w:rsidP="00F20965">
      <w:pPr>
        <w:pStyle w:val="Heading2"/>
        <w:ind w:left="426"/>
        <w:rPr>
          <w:lang w:val="bg-BG"/>
        </w:rPr>
      </w:pPr>
      <w:bookmarkStart w:id="11" w:name="_Toc84330675"/>
      <w:r>
        <w:rPr>
          <w:lang w:val="bg-BG"/>
        </w:rPr>
        <w:t>Стажантска програма на Пощенска банка</w:t>
      </w:r>
      <w:bookmarkEnd w:id="11"/>
    </w:p>
    <w:p w:rsidR="00F20965" w:rsidRDefault="00BA36ED" w:rsidP="00925F13">
      <w:pPr>
        <w:spacing w:before="120" w:after="120" w:line="276" w:lineRule="auto"/>
        <w:jc w:val="both"/>
        <w:rPr>
          <w:color w:val="000000"/>
          <w:shd w:val="clear" w:color="auto" w:fill="FFFFFF"/>
        </w:rPr>
      </w:pPr>
      <w:r w:rsidRPr="00F20965">
        <w:rPr>
          <w:bCs/>
          <w:color w:val="000000"/>
          <w:bdr w:val="none" w:sz="0" w:space="0" w:color="auto" w:frame="1"/>
          <w:shd w:val="clear" w:color="auto" w:fill="FFFFFF"/>
        </w:rPr>
        <w:t>Пощенска банка организира стажантска програма, насочена към амбициозни и талантливи млади хора, с мотивация да докажат своите качества и да започнат професионалната си кариера във финансова институция.</w:t>
      </w:r>
      <w:r w:rsidRPr="00001DB0">
        <w:rPr>
          <w:color w:val="000000"/>
          <w:shd w:val="clear" w:color="auto" w:fill="FFFFFF"/>
        </w:rPr>
        <w:t xml:space="preserve"> Стажът дава възможност на участниците да натрупат практически умения в банковата сфера и да се ориентират относно своята бъдеща професионална реализация. </w:t>
      </w:r>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Продължителността на практиката е за срок от един до три месеца в Централно управление или във финансовите центрове на банката в София, Пловдив, Бургас, Варна, Русе, Велико Търново, Свищов, Благоевград, Стара Загора, Шумен и други градове. Стажът е платен и е на пълен работен ден с работното време на банката. Успешно приключилите стажанти получават сертификат за преминат стаж и попадат в базата данни с перспективни бъдещи кандидати за работа. </w:t>
      </w:r>
    </w:p>
    <w:p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Нужно е кандидатите да са да са студенти в икономическа специалност или в процес на завършване; да имат отлични комуникативни умения; да притежават добри аналитични умения и инициативност</w:t>
      </w:r>
      <w:r w:rsidR="00F20965">
        <w:rPr>
          <w:color w:val="000000"/>
          <w:shd w:val="clear" w:color="auto" w:fill="FFFFFF"/>
          <w:lang w:val="bg-BG"/>
        </w:rPr>
        <w:t xml:space="preserve">, както и </w:t>
      </w:r>
      <w:r w:rsidRPr="00001DB0">
        <w:rPr>
          <w:color w:val="000000"/>
          <w:shd w:val="clear" w:color="auto" w:fill="FFFFFF"/>
        </w:rPr>
        <w:t xml:space="preserve">умения за работа в екип; да </w:t>
      </w:r>
      <w:r w:rsidR="00F20965">
        <w:rPr>
          <w:color w:val="000000"/>
          <w:shd w:val="clear" w:color="auto" w:fill="FFFFFF"/>
          <w:lang w:val="bg-BG"/>
        </w:rPr>
        <w:t>могат</w:t>
      </w:r>
      <w:r w:rsidRPr="00001DB0">
        <w:rPr>
          <w:color w:val="000000"/>
          <w:shd w:val="clear" w:color="auto" w:fill="FFFFFF"/>
        </w:rPr>
        <w:t xml:space="preserve"> да работят с Microsoft Office</w:t>
      </w:r>
      <w:r w:rsidR="00F20965">
        <w:rPr>
          <w:color w:val="000000"/>
          <w:shd w:val="clear" w:color="auto" w:fill="FFFFFF"/>
          <w:lang w:val="bg-BG"/>
        </w:rPr>
        <w:t>. В</w:t>
      </w:r>
      <w:r w:rsidRPr="00001DB0">
        <w:rPr>
          <w:color w:val="000000"/>
          <w:shd w:val="clear" w:color="auto" w:fill="FFFFFF"/>
        </w:rPr>
        <w:t xml:space="preserve">ладеенето на английски език е предимство. </w:t>
      </w:r>
    </w:p>
    <w:p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t>Кандидатства се със CV и мотивационно писмо </w:t>
      </w:r>
      <w:hyperlink r:id="rId34" w:history="1">
        <w:r w:rsidRPr="00001DB0">
          <w:rPr>
            <w:color w:val="B8CE36"/>
            <w:u w:val="single"/>
            <w:bdr w:val="none" w:sz="0" w:space="0" w:color="auto" w:frame="1"/>
            <w:shd w:val="clear" w:color="auto" w:fill="FFFFFF"/>
          </w:rPr>
          <w:t>оттук</w:t>
        </w:r>
      </w:hyperlink>
      <w:r w:rsidRPr="00001DB0">
        <w:rPr>
          <w:color w:val="000000"/>
          <w:shd w:val="clear" w:color="auto" w:fill="FFFFFF"/>
        </w:rPr>
        <w:t> през опцията „Стаж в Пощенска банка“.</w:t>
      </w:r>
    </w:p>
    <w:p w:rsidR="00F20965" w:rsidRPr="00F20965" w:rsidRDefault="00F20965" w:rsidP="00925F13">
      <w:pPr>
        <w:spacing w:before="120" w:after="120" w:line="276" w:lineRule="auto"/>
        <w:jc w:val="both"/>
        <w:rPr>
          <w:b/>
          <w:color w:val="000000"/>
          <w:shd w:val="clear" w:color="auto" w:fill="FFFFFF"/>
          <w:lang w:val="bg-BG"/>
        </w:rPr>
      </w:pPr>
      <w:r w:rsidRPr="00F20965">
        <w:rPr>
          <w:b/>
          <w:color w:val="000000"/>
          <w:shd w:val="clear" w:color="auto" w:fill="FFFFFF"/>
          <w:lang w:val="bg-BG"/>
        </w:rPr>
        <w:t>Краен срок: не е посочен</w:t>
      </w:r>
    </w:p>
    <w:p w:rsidR="00BA36ED" w:rsidRPr="00001DB0" w:rsidRDefault="00BA36ED" w:rsidP="00925F13">
      <w:pPr>
        <w:spacing w:before="120" w:after="120" w:line="276" w:lineRule="auto"/>
        <w:jc w:val="both"/>
        <w:rPr>
          <w:color w:val="000000"/>
          <w:shd w:val="clear" w:color="auto" w:fill="FFFFFF"/>
        </w:rPr>
      </w:pPr>
    </w:p>
    <w:p w:rsidR="00BA36ED" w:rsidRPr="00001DB0" w:rsidRDefault="00BA36ED" w:rsidP="00925F13">
      <w:pPr>
        <w:spacing w:before="120" w:after="120" w:line="276" w:lineRule="auto"/>
        <w:jc w:val="both"/>
        <w:rPr>
          <w:color w:val="000000"/>
          <w:shd w:val="clear" w:color="auto" w:fill="FFFFFF"/>
        </w:rPr>
      </w:pPr>
    </w:p>
    <w:p w:rsidR="00BA36ED" w:rsidRPr="00811A93" w:rsidRDefault="00BA36ED" w:rsidP="00925F13">
      <w:pPr>
        <w:spacing w:before="120" w:after="120" w:line="276" w:lineRule="auto"/>
        <w:jc w:val="both"/>
        <w:sectPr w:rsidR="00BA36ED" w:rsidRPr="00811A93" w:rsidSect="00EF7FA2">
          <w:pgSz w:w="11906" w:h="16838"/>
          <w:pgMar w:top="1417" w:right="1133" w:bottom="1417" w:left="1417" w:header="708" w:footer="708" w:gutter="0"/>
          <w:cols w:space="708"/>
          <w:docGrid w:linePitch="360"/>
        </w:sectPr>
      </w:pPr>
      <w:r w:rsidRPr="00001DB0">
        <w:rPr>
          <w:color w:val="000000"/>
          <w:shd w:val="clear" w:color="auto" w:fill="FFFFFF"/>
        </w:rPr>
        <w:t>.</w:t>
      </w:r>
    </w:p>
    <w:p w:rsidR="00D00941" w:rsidRDefault="00912146" w:rsidP="00B278E8">
      <w:pPr>
        <w:pStyle w:val="Programs"/>
      </w:pPr>
      <w:bookmarkStart w:id="12" w:name="_Toc84330676"/>
      <w:r>
        <w:lastRenderedPageBreak/>
        <w:t>ПРОГРАМИ</w:t>
      </w:r>
      <w:bookmarkEnd w:id="12"/>
    </w:p>
    <w:p w:rsidR="0011455A" w:rsidRPr="0011455A" w:rsidRDefault="0011455A" w:rsidP="0011455A">
      <w:pPr>
        <w:pStyle w:val="Heading2"/>
        <w:ind w:left="426"/>
      </w:pPr>
      <w:bookmarkStart w:id="13" w:name="_Toc84330677"/>
      <w:r w:rsidRPr="0011455A">
        <w:t>Конкурс по Национална научна програма ВИХРЕН-2021</w:t>
      </w:r>
      <w:bookmarkEnd w:id="13"/>
    </w:p>
    <w:p w:rsidR="00496A78" w:rsidRPr="0011455A" w:rsidRDefault="00496A78" w:rsidP="0011455A">
      <w:pPr>
        <w:spacing w:before="120" w:after="120" w:line="276" w:lineRule="auto"/>
        <w:jc w:val="both"/>
        <w:rPr>
          <w:bCs/>
        </w:rPr>
      </w:pPr>
      <w:r w:rsidRPr="0011455A">
        <w:rPr>
          <w:bCs/>
        </w:rPr>
        <w:t xml:space="preserve">Фонд „Научни </w:t>
      </w:r>
      <w:proofErr w:type="gramStart"/>
      <w:r w:rsidRPr="0011455A">
        <w:rPr>
          <w:bCs/>
        </w:rPr>
        <w:t>изследвания“ отправя</w:t>
      </w:r>
      <w:proofErr w:type="gramEnd"/>
      <w:r w:rsidRPr="0011455A">
        <w:rPr>
          <w:bCs/>
        </w:rPr>
        <w:t xml:space="preserve"> покана за участие в конкурс по Национална научна програма „Върхови изследвания и хора за развитие на европейската наука“ 2021 (ВИХРЕН-2021)</w:t>
      </w:r>
    </w:p>
    <w:p w:rsidR="00496A78" w:rsidRPr="00496A78" w:rsidRDefault="00496A78" w:rsidP="0011455A">
      <w:pPr>
        <w:spacing w:before="120" w:after="120" w:line="276" w:lineRule="auto"/>
        <w:jc w:val="both"/>
      </w:pPr>
      <w:r w:rsidRPr="00496A78">
        <w:t> Целите на програмата са определени в съответната Национална Научна Програма „</w:t>
      </w:r>
      <w:proofErr w:type="gramStart"/>
      <w:r w:rsidRPr="00496A78">
        <w:t>ВИХРЕН“</w:t>
      </w:r>
      <w:proofErr w:type="gramEnd"/>
      <w:r w:rsidRPr="00496A78">
        <w:t>, приета от МС и в специфичните условия на програмата.</w:t>
      </w:r>
    </w:p>
    <w:p w:rsidR="00496A78" w:rsidRPr="00496A78" w:rsidRDefault="00496A78" w:rsidP="0011455A">
      <w:pPr>
        <w:spacing w:before="120" w:after="120" w:line="276" w:lineRule="auto"/>
        <w:jc w:val="both"/>
      </w:pPr>
      <w:r w:rsidRPr="00496A78">
        <w:t> </w:t>
      </w:r>
      <w:r w:rsidRPr="00496A78">
        <w:rPr>
          <w:b/>
          <w:bCs/>
        </w:rPr>
        <w:t>Обща цел на програмата</w:t>
      </w:r>
    </w:p>
    <w:p w:rsidR="00496A78" w:rsidRPr="00496A78" w:rsidRDefault="00496A78" w:rsidP="0011455A">
      <w:pPr>
        <w:spacing w:before="120" w:after="120" w:line="276" w:lineRule="auto"/>
        <w:jc w:val="both"/>
      </w:pPr>
      <w:r w:rsidRPr="00496A78">
        <w:t> Националната научна програма “Вихрен” определя целите и принципите на финансиране, предназначено да подкрепи учени с високи постижения:</w:t>
      </w:r>
    </w:p>
    <w:p w:rsidR="00496A78" w:rsidRPr="00496A78" w:rsidRDefault="00496A78" w:rsidP="0011455A">
      <w:pPr>
        <w:spacing w:before="120" w:after="120" w:line="276" w:lineRule="auto"/>
        <w:jc w:val="both"/>
      </w:pPr>
      <w:r w:rsidRPr="00496A78">
        <w:t> - Схемата за финансиране на </w:t>
      </w:r>
      <w:r w:rsidRPr="00496A78">
        <w:rPr>
          <w:u w:val="single"/>
        </w:rPr>
        <w:t>водещи изследователи</w:t>
      </w:r>
      <w:r w:rsidRPr="00496A78">
        <w:t> има за цел да подпомогне учени в етапа на тяхната кариера, при който те са установени лидери в научните изследвания със значителни научни постижения.</w:t>
      </w:r>
    </w:p>
    <w:p w:rsidR="00496A78" w:rsidRPr="00496A78" w:rsidRDefault="00496A78" w:rsidP="0011455A">
      <w:pPr>
        <w:spacing w:before="120" w:after="120" w:line="276" w:lineRule="auto"/>
        <w:jc w:val="both"/>
      </w:pPr>
      <w:r w:rsidRPr="00496A78">
        <w:t> - Схемата за финансиране на </w:t>
      </w:r>
      <w:r w:rsidRPr="00496A78">
        <w:rPr>
          <w:u w:val="single"/>
        </w:rPr>
        <w:t>установени изследователи</w:t>
      </w:r>
      <w:r w:rsidRPr="00496A78">
        <w:t> има за цел да подпомогне учени, които са в процес на организиране на собствен независим изследователски екип или изследователска програма.</w:t>
      </w:r>
    </w:p>
    <w:p w:rsidR="00496A78" w:rsidRPr="00496A78" w:rsidRDefault="00496A78" w:rsidP="0011455A">
      <w:pPr>
        <w:spacing w:before="120" w:after="120" w:line="276" w:lineRule="auto"/>
        <w:jc w:val="both"/>
      </w:pPr>
      <w:r w:rsidRPr="00496A78">
        <w:t xml:space="preserve"> Изследователите, кандидати по програмата, трябва да демонстрират новаторски характер, да притежават амбиция и да могат да докажат осъществимостта на своето научно предложение. Проектите по програмата “Вихрен-2021”, предназначени да подкрепят пионерните научни изследвания, са основани на принципа „отдолу </w:t>
      </w:r>
      <w:proofErr w:type="gramStart"/>
      <w:r w:rsidRPr="00496A78">
        <w:t>нагоре“</w:t>
      </w:r>
      <w:r w:rsidR="0011455A">
        <w:rPr>
          <w:lang w:val="bg-BG"/>
        </w:rPr>
        <w:t xml:space="preserve"> </w:t>
      </w:r>
      <w:r w:rsidRPr="00496A78">
        <w:t>без</w:t>
      </w:r>
      <w:proofErr w:type="gramEnd"/>
      <w:r w:rsidRPr="00496A78">
        <w:t xml:space="preserve"> предварително определени приоритети. Заявленията могат да се подават във всяка научна област, като се обърне специално внимание на авангардните области на науката и инженерството. По-специално се насърчават предложения от интердисциплинарен характер, които пресичат границите между различни области на науката, пионерни предложения, насочени към нови и нововъзникващи области на научни изследвания или предложения, които въвеждат неконвенционални, иновативни подходи и научни изобретения.</w:t>
      </w:r>
    </w:p>
    <w:p w:rsidR="00496A78" w:rsidRPr="00496A78" w:rsidRDefault="00496A78" w:rsidP="0011455A">
      <w:pPr>
        <w:spacing w:before="120" w:after="120" w:line="276" w:lineRule="auto"/>
        <w:jc w:val="both"/>
      </w:pPr>
      <w:r w:rsidRPr="00496A78">
        <w:t> </w:t>
      </w:r>
      <w:r w:rsidRPr="00496A78">
        <w:rPr>
          <w:b/>
          <w:bCs/>
        </w:rPr>
        <w:t>Индикативен бюджет на конкурса по покана 2021 г.:</w:t>
      </w:r>
    </w:p>
    <w:p w:rsidR="00496A78" w:rsidRPr="00496A78" w:rsidRDefault="00496A78" w:rsidP="0011455A">
      <w:pPr>
        <w:spacing w:before="120" w:after="120" w:line="276" w:lineRule="auto"/>
        <w:jc w:val="both"/>
      </w:pPr>
      <w:r w:rsidRPr="00496A78">
        <w:t xml:space="preserve">Бюджетът за първата година е 1 500 000 лв. за финансирането на 6 научно изследователски проекта. Проектите ще бъдат финансирани за период от 5 години с общ бюджет по 1 500 000 лв. на година. В тази сума са включени 1 425 000 лв. за финансиране на проекти и 75 000 лв (5 % от общия бюджет на програмата), предвидени за оценителния процес, за мониторинг и оценка на изпълнението на проектите, и за популяризиране на програмата от страна на Фонд „Научни </w:t>
      </w:r>
      <w:proofErr w:type="gramStart"/>
      <w:r w:rsidRPr="00496A78">
        <w:t>изследвания“ като</w:t>
      </w:r>
      <w:proofErr w:type="gramEnd"/>
      <w:r w:rsidRPr="00496A78">
        <w:t xml:space="preserve"> финансираща организация.</w:t>
      </w:r>
    </w:p>
    <w:p w:rsidR="00496A78" w:rsidRPr="00496A78" w:rsidRDefault="00496A78" w:rsidP="0011455A">
      <w:pPr>
        <w:spacing w:before="120" w:after="120" w:line="276" w:lineRule="auto"/>
        <w:jc w:val="both"/>
      </w:pPr>
      <w:r w:rsidRPr="00496A78">
        <w:t xml:space="preserve"> Програмата се изпълнява чрез прилагане на две отделни процедури, съответно за два вида проектни предложения - едното за „установен </w:t>
      </w:r>
      <w:proofErr w:type="gramStart"/>
      <w:r w:rsidRPr="00496A78">
        <w:t>изследовател“</w:t>
      </w:r>
      <w:proofErr w:type="gramEnd"/>
      <w:r w:rsidRPr="00496A78">
        <w:t>, а другото за „водещ изследовател“.</w:t>
      </w:r>
    </w:p>
    <w:p w:rsidR="00496A78" w:rsidRPr="00496A78" w:rsidRDefault="00496A78" w:rsidP="0011455A">
      <w:pPr>
        <w:spacing w:before="120" w:after="120" w:line="276" w:lineRule="auto"/>
        <w:jc w:val="both"/>
      </w:pPr>
      <w:r w:rsidRPr="00496A78">
        <w:lastRenderedPageBreak/>
        <w:t xml:space="preserve"> Бюджетът на предложението зависи от неговата продължителност и се изчислява като максимална сума 265 000 лв. годишно за проект за „Водещ </w:t>
      </w:r>
      <w:proofErr w:type="gramStart"/>
      <w:r w:rsidRPr="00496A78">
        <w:t>изследовател“ и</w:t>
      </w:r>
      <w:proofErr w:type="gramEnd"/>
      <w:r w:rsidRPr="00496A78">
        <w:t xml:space="preserve"> максимален сума 210 000 лв. годишно за за проект за "Установен изследовател" за максимален период от пет години. Бюджетът на проекта ще бъде намален на принципа pro rata temporis при по-кратък срок на проекта.</w:t>
      </w:r>
    </w:p>
    <w:p w:rsidR="00FE3E23" w:rsidRPr="00496A78" w:rsidRDefault="00FE3E23" w:rsidP="0011455A">
      <w:pPr>
        <w:spacing w:before="120" w:after="120" w:line="276" w:lineRule="auto"/>
        <w:jc w:val="both"/>
        <w:rPr>
          <w:lang w:val="bg-BG"/>
        </w:rPr>
      </w:pPr>
      <w:r>
        <w:rPr>
          <w:lang w:val="bg-BG"/>
        </w:rPr>
        <w:t xml:space="preserve">Всички документи за конкурса можете да видите </w:t>
      </w:r>
      <w:hyperlink r:id="rId35" w:history="1">
        <w:r w:rsidRPr="00496A78">
          <w:rPr>
            <w:rStyle w:val="Hyperlink"/>
            <w:lang w:val="bg-BG"/>
          </w:rPr>
          <w:t>ТУК</w:t>
        </w:r>
      </w:hyperlink>
    </w:p>
    <w:p w:rsidR="00496A78" w:rsidRPr="0011455A" w:rsidRDefault="00496A78" w:rsidP="0011455A">
      <w:pPr>
        <w:spacing w:before="120" w:after="120" w:line="276" w:lineRule="auto"/>
        <w:jc w:val="both"/>
      </w:pPr>
      <w:r w:rsidRPr="0011455A">
        <w:rPr>
          <w:bCs/>
        </w:rPr>
        <w:t>Проектни предложения се подават по електронен път на адрес: </w:t>
      </w:r>
      <w:hyperlink r:id="rId36" w:history="1">
        <w:r w:rsidRPr="0011455A">
          <w:rPr>
            <w:rStyle w:val="Hyperlink"/>
            <w:bCs/>
          </w:rPr>
          <w:t>https://vh2021.stko.eu/ </w:t>
        </w:r>
      </w:hyperlink>
    </w:p>
    <w:p w:rsidR="007B70F6" w:rsidRPr="0011455A" w:rsidRDefault="00496A78" w:rsidP="00D5101D">
      <w:pPr>
        <w:spacing w:before="120" w:after="600" w:line="276" w:lineRule="auto"/>
        <w:jc w:val="both"/>
        <w:rPr>
          <w:b/>
          <w:lang w:val="bg-BG"/>
        </w:rPr>
      </w:pPr>
      <w:r w:rsidRPr="0011455A">
        <w:rPr>
          <w:b/>
          <w:lang w:val="bg-BG"/>
        </w:rPr>
        <w:t>Краен срок за подаване на предложенията: 9 ноември 2021</w:t>
      </w:r>
    </w:p>
    <w:p w:rsidR="002133B7" w:rsidRDefault="002133B7" w:rsidP="00D5101D">
      <w:pPr>
        <w:pStyle w:val="Heading2"/>
        <w:ind w:left="426"/>
        <w:rPr>
          <w:lang w:val="en-US"/>
        </w:rPr>
      </w:pPr>
      <w:bookmarkStart w:id="14" w:name="_Toc84330678"/>
      <w:r>
        <w:rPr>
          <w:lang w:val="en-US"/>
        </w:rPr>
        <w:t>COST open call for proposals</w:t>
      </w:r>
      <w:bookmarkEnd w:id="14"/>
    </w:p>
    <w:p w:rsidR="002133B7" w:rsidRPr="002133B7" w:rsidRDefault="002133B7" w:rsidP="0011455A">
      <w:pPr>
        <w:spacing w:before="120" w:after="120" w:line="276" w:lineRule="auto"/>
        <w:jc w:val="both"/>
      </w:pPr>
      <w:r w:rsidRPr="002133B7">
        <w:t>Participants are invited to submit COST Action proposals contributing to the scientific, technological, economic, cultural or societal knowledge advancement and development of Europe. Multi- and interdisciplinary proposals are encouraged.</w:t>
      </w:r>
    </w:p>
    <w:p w:rsidR="002133B7" w:rsidRPr="002133B7" w:rsidRDefault="002133B7" w:rsidP="0011455A">
      <w:pPr>
        <w:spacing w:before="120" w:after="120" w:line="276" w:lineRule="auto"/>
        <w:jc w:val="both"/>
      </w:pPr>
      <w:r w:rsidRPr="002133B7">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2133B7" w:rsidRDefault="002133B7" w:rsidP="0011455A">
      <w:pPr>
        <w:spacing w:before="120" w:after="120" w:line="276" w:lineRule="auto"/>
        <w:jc w:val="both"/>
      </w:pPr>
      <w:r w:rsidRPr="002133B7">
        <w:t>Participants planning to submit a proposal for a COST Action will need to refer to the </w:t>
      </w:r>
      <w:hyperlink r:id="rId37" w:history="1">
        <w:r w:rsidRPr="002133B7">
          <w:rPr>
            <w:rStyle w:val="Hyperlink"/>
          </w:rPr>
          <w:t>SESA guidelines</w:t>
        </w:r>
      </w:hyperlink>
      <w:r w:rsidRPr="002133B7">
        <w:t> and to the </w:t>
      </w:r>
      <w:hyperlink r:id="rId38" w:history="1">
        <w:r w:rsidRPr="002133B7">
          <w:rPr>
            <w:rStyle w:val="Hyperlink"/>
          </w:rPr>
          <w:t>Open Call Announcement</w:t>
        </w:r>
      </w:hyperlink>
      <w:r w:rsidRPr="002133B7">
        <w:t> on the </w:t>
      </w:r>
      <w:hyperlink r:id="rId39" w:history="1">
        <w:r w:rsidRPr="002133B7">
          <w:rPr>
            <w:rStyle w:val="Hyperlink"/>
          </w:rPr>
          <w:t>Documents and Guidelines</w:t>
        </w:r>
      </w:hyperlink>
      <w:r w:rsidRPr="002133B7">
        <w:t> page.</w:t>
      </w:r>
    </w:p>
    <w:p w:rsidR="002133B7" w:rsidRPr="002133B7" w:rsidRDefault="002133B7" w:rsidP="004A721E">
      <w:pPr>
        <w:spacing w:before="120" w:after="600" w:line="276" w:lineRule="auto"/>
        <w:jc w:val="both"/>
      </w:pPr>
      <w:r w:rsidRPr="002133B7">
        <w:t>The next collection date is </w:t>
      </w:r>
      <w:r w:rsidRPr="00D5101D">
        <w:rPr>
          <w:b/>
        </w:rPr>
        <w:t>29 October 2021 at 12:00 noon (CET).</w:t>
      </w:r>
    </w:p>
    <w:p w:rsidR="002133B7" w:rsidRPr="002133B7" w:rsidRDefault="002133B7" w:rsidP="007B70F6">
      <w:pPr>
        <w:rPr>
          <w:lang w:val="en-US"/>
        </w:rPr>
      </w:pPr>
    </w:p>
    <w:p w:rsidR="00537C69" w:rsidRDefault="00537C69" w:rsidP="00061DBD">
      <w:pPr>
        <w:pStyle w:val="Heading2"/>
        <w:ind w:left="426"/>
      </w:pPr>
      <w:bookmarkStart w:id="15" w:name="_Toc84330679"/>
      <w:r w:rsidRPr="00061DBD">
        <w:t xml:space="preserve">Покана за </w:t>
      </w:r>
      <w:r w:rsidR="00061DBD">
        <w:rPr>
          <w:lang w:val="bg-BG"/>
        </w:rPr>
        <w:t>проекти п</w:t>
      </w:r>
      <w:r w:rsidRPr="00061DBD">
        <w:t>о програма Southeast Asia-Europe JFS</w:t>
      </w:r>
      <w:bookmarkEnd w:id="15"/>
    </w:p>
    <w:p w:rsidR="004A721E" w:rsidRPr="004A721E" w:rsidRDefault="004A721E" w:rsidP="004A721E">
      <w:pPr>
        <w:rPr>
          <w:b/>
          <w:i/>
          <w:color w:val="E36C0A" w:themeColor="accent6" w:themeShade="BF"/>
          <w:lang w:val="bg-BG"/>
        </w:rPr>
      </w:pPr>
      <w:r w:rsidRPr="004A721E">
        <w:rPr>
          <w:b/>
          <w:i/>
          <w:color w:val="E36C0A" w:themeColor="accent6" w:themeShade="BF"/>
          <w:lang w:val="bg-BG"/>
        </w:rPr>
        <w:t xml:space="preserve">Внимание! </w:t>
      </w:r>
      <w:r>
        <w:rPr>
          <w:b/>
          <w:i/>
          <w:color w:val="E36C0A" w:themeColor="accent6" w:themeShade="BF"/>
          <w:lang w:val="bg-BG"/>
        </w:rPr>
        <w:t>Срокът и</w:t>
      </w:r>
      <w:r w:rsidRPr="004A721E">
        <w:rPr>
          <w:b/>
          <w:i/>
          <w:color w:val="E36C0A" w:themeColor="accent6" w:themeShade="BF"/>
          <w:lang w:val="bg-BG"/>
        </w:rPr>
        <w:t>зтича!</w:t>
      </w:r>
    </w:p>
    <w:p w:rsidR="00537C69" w:rsidRPr="00061DBD" w:rsidRDefault="00537C69" w:rsidP="00061DBD">
      <w:pPr>
        <w:spacing w:before="120" w:after="120" w:line="276" w:lineRule="auto"/>
        <w:jc w:val="both"/>
        <w:rPr>
          <w:bCs/>
          <w:color w:val="3B3B3B"/>
        </w:rPr>
      </w:pPr>
      <w:r w:rsidRPr="00061DBD">
        <w:rPr>
          <w:bCs/>
          <w:color w:val="3B3B3B"/>
          <w:lang w:val="bg-BG"/>
        </w:rPr>
        <w:t>Фонд „Научни изследвания“ отправя покана към български научни колективи за участие с проекти в Седмия съвместен конкурс за финансиране на научно-изследователски проекти по програма Югоизточна Азия – Европа (Southeast Asia-Europe JFS) в следните тематични направлевния:</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Sustainable Food Production - Устойчиво производство на храни</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Climate Change: Resilience and Adaptation - Изменение на климата: устойчивост и адаптация</w:t>
      </w:r>
    </w:p>
    <w:p w:rsidR="00537C69" w:rsidRPr="00061DBD" w:rsidRDefault="00537C69" w:rsidP="00061DBD">
      <w:pPr>
        <w:spacing w:before="120" w:after="120" w:line="276" w:lineRule="auto"/>
        <w:jc w:val="both"/>
        <w:rPr>
          <w:bCs/>
          <w:color w:val="3B3B3B"/>
        </w:rPr>
      </w:pPr>
      <w:r w:rsidRPr="00061DBD">
        <w:rPr>
          <w:bCs/>
          <w:color w:val="3B3B3B"/>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537C69" w:rsidRPr="00061DBD" w:rsidRDefault="00D94B76" w:rsidP="00061DBD">
      <w:pPr>
        <w:spacing w:before="120" w:after="120" w:line="276" w:lineRule="auto"/>
        <w:jc w:val="both"/>
        <w:rPr>
          <w:bCs/>
          <w:color w:val="3B3B3B"/>
        </w:rPr>
      </w:pPr>
      <w:hyperlink r:id="rId40" w:history="1">
        <w:r w:rsidR="00537C69" w:rsidRPr="00061DBD">
          <w:rPr>
            <w:rStyle w:val="Hyperlink"/>
            <w:bCs/>
          </w:rPr>
          <w:t>https://www.sea-eu-jfs.eu/call/2021-sti-joint-call-proposals-sustainable-food-production-and-climate-change-resilience-0</w:t>
        </w:r>
      </w:hyperlink>
    </w:p>
    <w:p w:rsidR="00537C69" w:rsidRPr="00061DBD" w:rsidRDefault="00537C69" w:rsidP="00061DBD">
      <w:pPr>
        <w:spacing w:before="120" w:after="120" w:line="276" w:lineRule="auto"/>
        <w:jc w:val="both"/>
        <w:rPr>
          <w:bCs/>
          <w:color w:val="3B3B3B"/>
        </w:rPr>
      </w:pPr>
      <w:r w:rsidRPr="00061DBD">
        <w:rPr>
          <w:bCs/>
          <w:color w:val="3B3B3B"/>
          <w:lang w:val="bg-BG"/>
        </w:rPr>
        <w:lastRenderedPageBreak/>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537C69" w:rsidRPr="00061DBD" w:rsidRDefault="00537C69" w:rsidP="00061DBD">
      <w:pPr>
        <w:spacing w:before="120" w:after="120" w:line="276" w:lineRule="auto"/>
        <w:jc w:val="both"/>
        <w:rPr>
          <w:bCs/>
          <w:color w:val="3B3B3B"/>
        </w:rPr>
      </w:pPr>
      <w:r w:rsidRPr="00061DBD">
        <w:rPr>
          <w:bCs/>
          <w:color w:val="3B3B3B"/>
          <w:lang w:val="bg-BG"/>
        </w:rPr>
        <w:t>Страните, участващи в обявения конкурс чрез националните си финансиращи организации са: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Белгия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Бруней Даруссалам</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България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Камбоджа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Чехия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Германия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Индонезия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Малайзия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Мианмар</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Нидерландия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Испания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Швейцария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Тайланд</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Турция</w:t>
      </w:r>
    </w:p>
    <w:p w:rsidR="00537C69" w:rsidRPr="00061DBD" w:rsidRDefault="00537C69" w:rsidP="00061DBD">
      <w:pPr>
        <w:spacing w:before="120" w:after="120" w:line="276" w:lineRule="auto"/>
        <w:jc w:val="both"/>
        <w:rPr>
          <w:bCs/>
          <w:color w:val="3B3B3B"/>
        </w:rPr>
      </w:pPr>
      <w:r w:rsidRPr="00061DBD">
        <w:rPr>
          <w:bCs/>
          <w:color w:val="3B3B3B"/>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44 от 20.01.2021 год.)</w:t>
      </w:r>
    </w:p>
    <w:p w:rsidR="00537C69" w:rsidRPr="00061DBD" w:rsidRDefault="00537C69" w:rsidP="00061DBD">
      <w:pPr>
        <w:spacing w:before="120" w:after="120" w:line="276" w:lineRule="auto"/>
        <w:jc w:val="both"/>
        <w:rPr>
          <w:bCs/>
          <w:color w:val="3B3B3B"/>
        </w:rPr>
      </w:pPr>
      <w:r w:rsidRPr="00061DBD">
        <w:rPr>
          <w:bCs/>
          <w:color w:val="3B3B3B"/>
          <w:lang w:val="bg-BG"/>
        </w:rPr>
        <w:t>Условия на конкурса:</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Допустими по процедурата за подбор на проекти са български кандидати, които са:</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537C69" w:rsidRPr="00061DBD" w:rsidRDefault="00537C69" w:rsidP="00061DBD">
      <w:pPr>
        <w:spacing w:before="120" w:after="120" w:line="276" w:lineRule="auto"/>
        <w:jc w:val="both"/>
        <w:rPr>
          <w:bCs/>
          <w:color w:val="3B3B3B"/>
        </w:rPr>
      </w:pPr>
      <w:r w:rsidRPr="00061DBD">
        <w:rPr>
          <w:bCs/>
          <w:color w:val="3B3B3B"/>
          <w:lang w:val="bg-BG"/>
        </w:rPr>
        <w:t>Във финансовия план на проекта да бъдат заложени „Непреки допустими разходи“, които включват:</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обслужване на базова организация – до 7 % от стойността на проекта;</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одит на финансовия отчет на проекта – до 1 % от стойността на проекта.</w:t>
      </w:r>
    </w:p>
    <w:p w:rsidR="00537C69" w:rsidRPr="00061DBD" w:rsidRDefault="00537C69" w:rsidP="00061DBD">
      <w:pPr>
        <w:spacing w:before="120" w:after="120" w:line="276" w:lineRule="auto"/>
        <w:jc w:val="both"/>
        <w:rPr>
          <w:bCs/>
          <w:color w:val="3B3B3B"/>
        </w:rPr>
      </w:pPr>
      <w:r w:rsidRPr="00061DBD">
        <w:rPr>
          <w:bCs/>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537C69" w:rsidRPr="00061DBD" w:rsidRDefault="00537C69" w:rsidP="00061DBD">
      <w:pPr>
        <w:spacing w:before="120" w:after="120" w:line="276" w:lineRule="auto"/>
        <w:jc w:val="both"/>
        <w:rPr>
          <w:bCs/>
          <w:color w:val="3B3B3B"/>
        </w:rPr>
      </w:pPr>
      <w:r w:rsidRPr="00061DBD">
        <w:rPr>
          <w:bCs/>
          <w:color w:val="3B3B3B"/>
          <w:lang w:val="bg-BG"/>
        </w:rPr>
        <w:t>Информация, насоки и документация за българските участници, относно подаването на документите във Фонд „Научни изследвания“:</w:t>
      </w:r>
    </w:p>
    <w:p w:rsidR="00537C69" w:rsidRPr="00061DBD" w:rsidRDefault="00D94B76" w:rsidP="00061DBD">
      <w:pPr>
        <w:numPr>
          <w:ilvl w:val="0"/>
          <w:numId w:val="28"/>
        </w:numPr>
        <w:spacing w:before="120" w:after="120" w:line="276" w:lineRule="auto"/>
        <w:jc w:val="both"/>
        <w:rPr>
          <w:bCs/>
          <w:color w:val="3B3B3B"/>
        </w:rPr>
      </w:pPr>
      <w:hyperlink r:id="rId41" w:history="1">
        <w:r w:rsidR="00537C69" w:rsidRPr="00061DBD">
          <w:rPr>
            <w:rStyle w:val="Hyperlink"/>
            <w:bCs/>
            <w:lang w:val="bg-BG"/>
          </w:rPr>
          <w:t>Национални изисквания и условия за допустимост</w:t>
        </w:r>
      </w:hyperlink>
    </w:p>
    <w:p w:rsidR="00537C69" w:rsidRPr="00061DBD" w:rsidRDefault="00D94B76" w:rsidP="00061DBD">
      <w:pPr>
        <w:numPr>
          <w:ilvl w:val="0"/>
          <w:numId w:val="28"/>
        </w:numPr>
        <w:spacing w:before="120" w:after="120" w:line="276" w:lineRule="auto"/>
        <w:jc w:val="both"/>
        <w:rPr>
          <w:bCs/>
          <w:color w:val="3B3B3B"/>
        </w:rPr>
      </w:pPr>
      <w:hyperlink r:id="rId42" w:history="1">
        <w:r w:rsidR="00537C69" w:rsidRPr="00061DBD">
          <w:rPr>
            <w:rStyle w:val="Hyperlink"/>
            <w:bCs/>
            <w:lang w:val="bg-BG"/>
          </w:rPr>
          <w:t>Документи към националните изисквания</w:t>
        </w:r>
      </w:hyperlink>
    </w:p>
    <w:p w:rsidR="00537C69" w:rsidRPr="00061DBD" w:rsidRDefault="00537C69" w:rsidP="00061DBD">
      <w:pPr>
        <w:spacing w:before="120" w:after="120" w:line="276" w:lineRule="auto"/>
        <w:jc w:val="both"/>
        <w:rPr>
          <w:bCs/>
          <w:color w:val="3B3B3B"/>
        </w:rPr>
      </w:pPr>
      <w:r w:rsidRPr="00061DBD">
        <w:rPr>
          <w:bCs/>
          <w:color w:val="3B3B3B"/>
          <w:lang w:val="bg-BG"/>
        </w:rPr>
        <w:t>Освен вече посочените документи към Националните изисквания, участниците трябва да представят във ФНИ:</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Проект на бюджет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Работна програма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Писмо от водещия партньор с потвърждение за включване на българската организация в съответния консорциум.</w:t>
      </w:r>
    </w:p>
    <w:p w:rsidR="00537C69" w:rsidRPr="00061DBD" w:rsidRDefault="00537C69" w:rsidP="00061DBD">
      <w:pPr>
        <w:spacing w:before="120" w:after="120" w:line="276" w:lineRule="auto"/>
        <w:jc w:val="both"/>
        <w:rPr>
          <w:bCs/>
          <w:color w:val="3B3B3B"/>
        </w:rPr>
      </w:pPr>
      <w:r w:rsidRPr="00061DBD">
        <w:rPr>
          <w:bCs/>
          <w:color w:val="3B3B3B"/>
        </w:rPr>
        <w:t>За допълнителна информация:</w:t>
      </w:r>
    </w:p>
    <w:p w:rsidR="00537C69" w:rsidRPr="00061DBD" w:rsidRDefault="00537C69" w:rsidP="00061DBD">
      <w:pPr>
        <w:spacing w:line="276" w:lineRule="auto"/>
        <w:jc w:val="both"/>
        <w:rPr>
          <w:bCs/>
          <w:color w:val="3B3B3B"/>
        </w:rPr>
      </w:pPr>
      <w:r w:rsidRPr="00061DBD">
        <w:rPr>
          <w:bCs/>
          <w:color w:val="3B3B3B"/>
        </w:rPr>
        <w:t>д-р Милена Александрова,</w:t>
      </w:r>
    </w:p>
    <w:p w:rsidR="00537C69" w:rsidRPr="00061DBD" w:rsidRDefault="00537C69" w:rsidP="00061DBD">
      <w:pPr>
        <w:spacing w:line="276" w:lineRule="auto"/>
        <w:jc w:val="both"/>
        <w:rPr>
          <w:bCs/>
          <w:color w:val="3B3B3B"/>
        </w:rPr>
      </w:pPr>
      <w:r w:rsidRPr="00061DBD">
        <w:rPr>
          <w:bCs/>
          <w:color w:val="3B3B3B"/>
        </w:rPr>
        <w:t xml:space="preserve">Фонд „Научни </w:t>
      </w:r>
      <w:proofErr w:type="gramStart"/>
      <w:r w:rsidRPr="00061DBD">
        <w:rPr>
          <w:bCs/>
          <w:color w:val="3B3B3B"/>
        </w:rPr>
        <w:t>изследвания“</w:t>
      </w:r>
      <w:proofErr w:type="gramEnd"/>
      <w:r w:rsidRPr="00061DBD">
        <w:rPr>
          <w:bCs/>
          <w:color w:val="3B3B3B"/>
        </w:rPr>
        <w:t>,</w:t>
      </w:r>
    </w:p>
    <w:p w:rsidR="00537C69" w:rsidRPr="00061DBD" w:rsidRDefault="00537C69" w:rsidP="00061DBD">
      <w:pPr>
        <w:spacing w:line="276" w:lineRule="auto"/>
        <w:jc w:val="both"/>
        <w:rPr>
          <w:bCs/>
          <w:color w:val="3B3B3B"/>
        </w:rPr>
      </w:pPr>
      <w:r w:rsidRPr="00061DBD">
        <w:rPr>
          <w:bCs/>
          <w:color w:val="3B3B3B"/>
        </w:rPr>
        <w:t>тел: +359 884 171 363</w:t>
      </w:r>
    </w:p>
    <w:p w:rsidR="00537C69" w:rsidRPr="00061DBD" w:rsidRDefault="00537C69" w:rsidP="00061DBD">
      <w:pPr>
        <w:spacing w:line="276" w:lineRule="auto"/>
        <w:jc w:val="both"/>
        <w:rPr>
          <w:bCs/>
          <w:color w:val="3B3B3B"/>
        </w:rPr>
      </w:pPr>
      <w:r w:rsidRPr="00061DBD">
        <w:rPr>
          <w:bCs/>
          <w:color w:val="3B3B3B"/>
        </w:rPr>
        <w:t>Email: </w:t>
      </w:r>
      <w:hyperlink r:id="rId43" w:history="1">
        <w:r w:rsidRPr="00061DBD">
          <w:rPr>
            <w:rStyle w:val="Hyperlink"/>
            <w:bCs/>
          </w:rPr>
          <w:t>aleksandrova@mon.bg</w:t>
        </w:r>
      </w:hyperlink>
    </w:p>
    <w:p w:rsidR="00537C69" w:rsidRPr="00061DBD" w:rsidRDefault="00537C69" w:rsidP="00061DBD">
      <w:pPr>
        <w:spacing w:before="120" w:after="600" w:line="276" w:lineRule="auto"/>
        <w:jc w:val="both"/>
        <w:rPr>
          <w:b/>
          <w:bCs/>
          <w:color w:val="3B3B3B"/>
        </w:rPr>
      </w:pPr>
      <w:r w:rsidRPr="00061DBD">
        <w:rPr>
          <w:b/>
          <w:bCs/>
          <w:color w:val="3B3B3B"/>
          <w:lang w:val="bg-BG"/>
        </w:rPr>
        <w:t>Крайният срок за подаване на проектни предложения за участие в конкурса е 15 октомври 2021 г.</w:t>
      </w:r>
    </w:p>
    <w:p w:rsidR="00476F9B" w:rsidRPr="0006717A" w:rsidRDefault="00476F9B" w:rsidP="00476F9B">
      <w:pPr>
        <w:pStyle w:val="Heading2"/>
        <w:ind w:left="426"/>
        <w:rPr>
          <w:rFonts w:eastAsia="Times New Roman"/>
          <w:lang w:eastAsia="bg-BG"/>
        </w:rPr>
      </w:pPr>
      <w:bookmarkStart w:id="16" w:name="_Toc503363226"/>
      <w:bookmarkStart w:id="17" w:name="_Toc84330680"/>
      <w:r w:rsidRPr="0006717A">
        <w:rPr>
          <w:rFonts w:eastAsia="Times New Roman"/>
          <w:lang w:eastAsia="bg-BG"/>
        </w:rPr>
        <w:t>Подкрепа на международни научни форуми, провеждани в Република България</w:t>
      </w:r>
      <w:bookmarkEnd w:id="16"/>
      <w:bookmarkEnd w:id="17"/>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4"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5"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8" w:name="_Toc503363227"/>
      <w:bookmarkStart w:id="19" w:name="_Toc84330681"/>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18"/>
      <w:bookmarkEnd w:id="19"/>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D94B76" w:rsidP="00CA622D">
      <w:pPr>
        <w:spacing w:after="120" w:line="276" w:lineRule="auto"/>
        <w:jc w:val="both"/>
        <w:rPr>
          <w:color w:val="000000"/>
        </w:rPr>
      </w:pPr>
      <w:hyperlink r:id="rId46"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7"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8"/>
          <w:pgSz w:w="11906" w:h="16838"/>
          <w:pgMar w:top="1417" w:right="1133" w:bottom="1417" w:left="1417" w:header="708" w:footer="708" w:gutter="0"/>
          <w:cols w:space="708"/>
          <w:docGrid w:linePitch="360"/>
        </w:sectPr>
      </w:pPr>
    </w:p>
    <w:p w:rsidR="00AC582E" w:rsidRPr="00544F92" w:rsidRDefault="00912146" w:rsidP="00510D99">
      <w:pPr>
        <w:pStyle w:val="Events"/>
      </w:pPr>
      <w:bookmarkStart w:id="20" w:name="_Toc84330682"/>
      <w:r>
        <w:lastRenderedPageBreak/>
        <w:t>СЪБИТИЯ</w:t>
      </w:r>
      <w:bookmarkEnd w:id="20"/>
    </w:p>
    <w:p w:rsidR="00BC100A" w:rsidRPr="00AE29BE" w:rsidRDefault="00BC100A" w:rsidP="00AE29BE">
      <w:pPr>
        <w:spacing w:after="240" w:line="276" w:lineRule="auto"/>
        <w:jc w:val="both"/>
        <w:rPr>
          <w:b/>
          <w:color w:val="E36C0A" w:themeColor="accent6" w:themeShade="BF"/>
          <w:u w:val="single"/>
        </w:rPr>
      </w:pPr>
      <w:r w:rsidRPr="00BC100A">
        <w:rPr>
          <w:b/>
          <w:bCs/>
          <w:color w:val="E36C0A" w:themeColor="accent6" w:themeShade="BF"/>
          <w:u w:val="single"/>
        </w:rPr>
        <w:t>Empowering R&amp;I collaboration to respond to the socio-economic challenges of the coronavirus pandemic - online seminar</w:t>
      </w:r>
      <w:r>
        <w:rPr>
          <w:b/>
          <w:bCs/>
          <w:color w:val="E36C0A" w:themeColor="accent6" w:themeShade="BF"/>
          <w:u w:val="single"/>
        </w:rPr>
        <w:t>, 14 October 2021, online</w:t>
      </w:r>
    </w:p>
    <w:p w:rsidR="00BC100A" w:rsidRPr="00BC100A" w:rsidRDefault="00BC100A" w:rsidP="00672AB2">
      <w:pPr>
        <w:spacing w:after="120" w:line="276" w:lineRule="auto"/>
        <w:jc w:val="both"/>
      </w:pPr>
      <w:r w:rsidRPr="00BC100A">
        <w:t>The European Commission is hosting the online seminar “Empowering R&amp;I collaboration to respond to the socio-economic challenges of the coronavirus pandemic”, encouraging global scientific communities to attend the free event.</w:t>
      </w:r>
      <w:r>
        <w:t xml:space="preserve"> </w:t>
      </w:r>
      <w:r w:rsidRPr="00BC100A">
        <w:t>Participants, including R&amp;I projects, organizations and individual researchers, engaged in COVID-19 related research, will be invited to network and engage in a discussion around collaboration channels as well as barriers to collaboration.</w:t>
      </w:r>
    </w:p>
    <w:p w:rsidR="00BC100A" w:rsidRPr="00BC100A" w:rsidRDefault="00BC100A" w:rsidP="00BC100A">
      <w:pPr>
        <w:spacing w:after="100" w:afterAutospacing="1" w:line="276" w:lineRule="auto"/>
        <w:jc w:val="both"/>
      </w:pPr>
      <w:r w:rsidRPr="00BC100A">
        <w:t>Event participants will be presented with the newly launched Coronavirus Global R&amp;I Collaboration Portal in support of scientific collaboration to address the socio-economic aspects of the global pandemic. Attending speakers will share valuable insights on the EU’s R&amp;I response to the Coronavirus pandemic, calls and funded projects, as well as new initiatives.</w:t>
      </w:r>
    </w:p>
    <w:p w:rsidR="00F07D8B" w:rsidRPr="00012EB1" w:rsidRDefault="00D94B76" w:rsidP="00F07D8B">
      <w:pPr>
        <w:spacing w:after="100" w:afterAutospacing="1" w:line="276" w:lineRule="auto"/>
        <w:jc w:val="both"/>
        <w:rPr>
          <w:b/>
          <w:color w:val="E36C0A" w:themeColor="accent6" w:themeShade="BF"/>
          <w:u w:val="single"/>
        </w:rPr>
      </w:pPr>
      <w:hyperlink r:id="rId49" w:history="1">
        <w:r w:rsidR="00F07D8B" w:rsidRPr="00012EB1">
          <w:rPr>
            <w:rStyle w:val="Hyperlink"/>
            <w:b/>
            <w:color w:val="E36C0A" w:themeColor="accent6" w:themeShade="BF"/>
          </w:rPr>
          <w:t>Data Innovation Summit 2021</w:t>
        </w:r>
      </w:hyperlink>
      <w:r w:rsidR="00012EB1" w:rsidRPr="00012EB1">
        <w:rPr>
          <w:b/>
          <w:color w:val="E36C0A" w:themeColor="accent6" w:themeShade="BF"/>
          <w:u w:val="single"/>
        </w:rPr>
        <w:t xml:space="preserve">, </w:t>
      </w:r>
      <w:r w:rsidR="00F07D8B" w:rsidRPr="00012EB1">
        <w:rPr>
          <w:b/>
          <w:color w:val="E36C0A" w:themeColor="accent6" w:themeShade="BF"/>
          <w:u w:val="single"/>
        </w:rPr>
        <w:t xml:space="preserve">14-15 October 2021,  </w:t>
      </w:r>
      <w:r w:rsidR="00012EB1" w:rsidRPr="00012EB1">
        <w:rPr>
          <w:b/>
          <w:color w:val="E36C0A" w:themeColor="accent6" w:themeShade="BF"/>
          <w:u w:val="single"/>
        </w:rPr>
        <w:t>Stockholm, Sweden and online</w:t>
      </w:r>
    </w:p>
    <w:p w:rsidR="00FB18AE" w:rsidRPr="00A5017E" w:rsidRDefault="00D94B76" w:rsidP="00EF751E">
      <w:pPr>
        <w:spacing w:after="100" w:afterAutospacing="1" w:line="276" w:lineRule="auto"/>
        <w:jc w:val="both"/>
        <w:rPr>
          <w:b/>
          <w:bCs/>
          <w:color w:val="E36C0A" w:themeColor="accent6" w:themeShade="BF"/>
          <w:u w:val="single"/>
        </w:rPr>
      </w:pPr>
      <w:hyperlink r:id="rId50" w:history="1">
        <w:r w:rsidR="00FB18AE" w:rsidRPr="00A5017E">
          <w:rPr>
            <w:rStyle w:val="Hyperlink"/>
            <w:b/>
            <w:bCs/>
            <w:color w:val="E36C0A" w:themeColor="accent6" w:themeShade="BF"/>
          </w:rPr>
          <w:t>5th International Conference on Database and Expert Systems Applications</w:t>
        </w:r>
      </w:hyperlink>
      <w:r w:rsidR="003872F8" w:rsidRPr="00A5017E">
        <w:rPr>
          <w:b/>
          <w:bCs/>
          <w:color w:val="E36C0A" w:themeColor="accent6" w:themeShade="BF"/>
          <w:u w:val="single"/>
        </w:rPr>
        <w:t xml:space="preserve">, </w:t>
      </w:r>
      <w:r w:rsidR="00FB18AE" w:rsidRPr="00A5017E">
        <w:rPr>
          <w:b/>
          <w:bCs/>
          <w:color w:val="E36C0A" w:themeColor="accent6" w:themeShade="BF"/>
          <w:u w:val="single"/>
        </w:rPr>
        <w:t>18-19 October 2021, Rome, Italy</w:t>
      </w:r>
    </w:p>
    <w:p w:rsidR="00833616" w:rsidRDefault="00FB18AE" w:rsidP="00EF751E">
      <w:pPr>
        <w:spacing w:after="240"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2F217D" w:rsidRPr="00237AC2" w:rsidRDefault="00D94B76" w:rsidP="002F217D">
      <w:pPr>
        <w:spacing w:after="240" w:line="276" w:lineRule="auto"/>
        <w:jc w:val="both"/>
        <w:rPr>
          <w:b/>
          <w:bCs/>
          <w:color w:val="E36C0A" w:themeColor="accent6" w:themeShade="BF"/>
          <w:u w:val="single"/>
        </w:rPr>
      </w:pPr>
      <w:hyperlink r:id="rId51" w:history="1">
        <w:r w:rsidR="002F217D" w:rsidRPr="00237AC2">
          <w:rPr>
            <w:rStyle w:val="Hyperlink"/>
            <w:b/>
            <w:bCs/>
            <w:color w:val="E36C0A" w:themeColor="accent6" w:themeShade="BF"/>
          </w:rPr>
          <w:t>European Online Week of Active and Healthy Ageing</w:t>
        </w:r>
      </w:hyperlink>
      <w:r w:rsidR="002F217D" w:rsidRPr="00237AC2">
        <w:rPr>
          <w:b/>
          <w:bCs/>
          <w:color w:val="E36C0A" w:themeColor="accent6" w:themeShade="BF"/>
          <w:u w:val="single"/>
        </w:rPr>
        <w:t>, 18 - 21 October 2021, online</w:t>
      </w:r>
    </w:p>
    <w:p w:rsidR="00CC0011" w:rsidRPr="00CC0011" w:rsidRDefault="00CC0011" w:rsidP="00672AB2">
      <w:pPr>
        <w:spacing w:after="120" w:line="276" w:lineRule="auto"/>
        <w:jc w:val="both"/>
        <w:rPr>
          <w:bCs/>
        </w:rPr>
      </w:pPr>
      <w:r w:rsidRPr="00CC0011">
        <w:rPr>
          <w:bCs/>
        </w:rPr>
        <w:t>The event offers interactive workshops, discussions, plenary sessions, exhibitions and match-making activities, to share knowledge and showcase innovation at all levels in the active and healthy ageing sector.</w:t>
      </w:r>
    </w:p>
    <w:p w:rsidR="00672AB2" w:rsidRDefault="00CC0011" w:rsidP="00A06D43">
      <w:pPr>
        <w:spacing w:after="240" w:line="276" w:lineRule="auto"/>
        <w:jc w:val="both"/>
        <w:rPr>
          <w:bCs/>
        </w:rPr>
      </w:pPr>
      <w:r w:rsidRPr="00CC0011">
        <w:rPr>
          <w:bCs/>
        </w:rPr>
        <w:t>The European Online Week of Active and Healthy Ageing aims to become the European networking &amp; exchange platform for providing innovation support and inter-disciplinary cooperation for active &amp; healthy ageing. It brings together collaboration partners from around Europe (from industry and academia to care providers and the older people themselves), who have a stake in promoting &amp; supporting healthy ageing to innovate new service models, such as in health &amp; care, lifelong learning and employment.</w:t>
      </w:r>
    </w:p>
    <w:p w:rsidR="00A06D43" w:rsidRPr="00672AB2" w:rsidRDefault="00D94B76" w:rsidP="00A06D43">
      <w:pPr>
        <w:spacing w:after="240" w:line="276" w:lineRule="auto"/>
        <w:jc w:val="both"/>
        <w:rPr>
          <w:b/>
          <w:bCs/>
          <w:color w:val="E36C0A" w:themeColor="accent6" w:themeShade="BF"/>
          <w:u w:val="single"/>
        </w:rPr>
      </w:pPr>
      <w:hyperlink r:id="rId52" w:tooltip="BSBF Webinar on Fusion: Strategies, roadmaps and development programmes - 11 November 2021" w:history="1">
        <w:r w:rsidR="00A06D43" w:rsidRPr="00672AB2">
          <w:rPr>
            <w:rStyle w:val="Hyperlink"/>
            <w:b/>
            <w:bCs/>
            <w:color w:val="E36C0A" w:themeColor="accent6" w:themeShade="BF"/>
          </w:rPr>
          <w:br/>
          <w:t>BSBF Webinar on Fusion: Strategies, roadmaps and development programmes - 11 November 2021</w:t>
        </w:r>
      </w:hyperlink>
      <w:r w:rsidR="00A06D43" w:rsidRPr="00672AB2">
        <w:rPr>
          <w:b/>
          <w:bCs/>
          <w:color w:val="E36C0A" w:themeColor="accent6" w:themeShade="BF"/>
          <w:u w:val="single"/>
        </w:rPr>
        <w:t xml:space="preserve">, online </w:t>
      </w:r>
    </w:p>
    <w:p w:rsidR="008F1161" w:rsidRPr="00EF751E" w:rsidRDefault="008F1161" w:rsidP="00EF751E">
      <w:pPr>
        <w:spacing w:before="240" w:after="100" w:afterAutospacing="1" w:line="276" w:lineRule="auto"/>
        <w:jc w:val="both"/>
        <w:rPr>
          <w:b/>
          <w:bCs/>
          <w:color w:val="E36C0A" w:themeColor="accent6" w:themeShade="BF"/>
          <w:u w:val="single"/>
        </w:rPr>
      </w:pPr>
      <w:r w:rsidRPr="00EF751E">
        <w:rPr>
          <w:b/>
          <w:bCs/>
          <w:color w:val="E36C0A" w:themeColor="accent6" w:themeShade="BF"/>
          <w:u w:val="single"/>
        </w:rPr>
        <w:lastRenderedPageBreak/>
        <w:t>Annual Research Conference 2021, 15 November 2021, online.</w:t>
      </w:r>
    </w:p>
    <w:p w:rsidR="008F1161" w:rsidRPr="00EF751E" w:rsidRDefault="008F1161" w:rsidP="008F1161">
      <w:pPr>
        <w:spacing w:line="276" w:lineRule="auto"/>
        <w:jc w:val="both"/>
        <w:rPr>
          <w:bCs/>
        </w:rPr>
      </w:pPr>
      <w:r w:rsidRPr="00EF751E">
        <w:rPr>
          <w:bCs/>
        </w:rPr>
        <w:t>The theme of this year’s edition is ‘Charting the European economy post Covid-19: unusual times require unconventional policies’.</w:t>
      </w:r>
    </w:p>
    <w:p w:rsidR="008F1161" w:rsidRPr="00EF751E" w:rsidRDefault="008F1161" w:rsidP="00EF751E">
      <w:pPr>
        <w:spacing w:line="276" w:lineRule="auto"/>
        <w:jc w:val="both"/>
        <w:rPr>
          <w:bCs/>
        </w:rPr>
      </w:pPr>
      <w:r w:rsidRPr="00EF751E">
        <w:rPr>
          <w:bCs/>
        </w:rPr>
        <w:t>The European Commission, Directorate General Economic and Financial Affairs, is running a call for posters for young researchers in the fields of economics or finance on the theme of the conference. The call for posters is open to PhD students and those who finished their PhDs no more than six years ago.</w:t>
      </w:r>
    </w:p>
    <w:p w:rsidR="008F1161" w:rsidRPr="00EF751E" w:rsidRDefault="008F1161" w:rsidP="00EF751E">
      <w:pPr>
        <w:spacing w:after="240" w:line="276" w:lineRule="auto"/>
        <w:jc w:val="both"/>
        <w:rPr>
          <w:bCs/>
        </w:rPr>
      </w:pPr>
      <w:r w:rsidRPr="00EF751E">
        <w:rPr>
          <w:bCs/>
        </w:rPr>
        <w:t>Up to 10 researchers will be selected to present their poster in a dedicated session at the Conference. Furthermore, up to three could be given the opportunity to present their work to the Commission on a three-day working visit.</w:t>
      </w:r>
    </w:p>
    <w:p w:rsidR="00961485" w:rsidRPr="00EF751E" w:rsidRDefault="00D94B76" w:rsidP="00EF751E">
      <w:pPr>
        <w:spacing w:after="100" w:afterAutospacing="1" w:line="276" w:lineRule="auto"/>
        <w:jc w:val="both"/>
        <w:rPr>
          <w:b/>
          <w:bCs/>
          <w:color w:val="E36C0A" w:themeColor="accent6" w:themeShade="BF"/>
          <w:u w:val="single"/>
        </w:rPr>
      </w:pPr>
      <w:hyperlink r:id="rId53" w:history="1">
        <w:r w:rsidR="00961485" w:rsidRPr="00EF751E">
          <w:rPr>
            <w:rStyle w:val="Hyperlink"/>
            <w:b/>
            <w:bCs/>
            <w:color w:val="E36C0A" w:themeColor="accent6" w:themeShade="BF"/>
          </w:rPr>
          <w:t>2021 European Quality Assurance Forum</w:t>
        </w:r>
      </w:hyperlink>
      <w:r w:rsidR="00961485" w:rsidRPr="00EF751E">
        <w:rPr>
          <w:b/>
          <w:bCs/>
          <w:color w:val="E36C0A" w:themeColor="accent6" w:themeShade="BF"/>
          <w:u w:val="single"/>
        </w:rPr>
        <w:t>, Building trust and enhancement: from information to evidence, 18 - 19 November 2021, online</w:t>
      </w:r>
    </w:p>
    <w:p w:rsidR="00961485" w:rsidRPr="00961485" w:rsidRDefault="00961485" w:rsidP="00961485">
      <w:pPr>
        <w:spacing w:line="276" w:lineRule="auto"/>
        <w:jc w:val="both"/>
        <w:rPr>
          <w:bCs/>
        </w:rPr>
      </w:pPr>
      <w:r w:rsidRPr="00961485">
        <w:rPr>
          <w:bCs/>
        </w:rPr>
        <w:t xml:space="preserve">The </w:t>
      </w:r>
      <w:r>
        <w:rPr>
          <w:bCs/>
        </w:rPr>
        <w:t>f</w:t>
      </w:r>
      <w:r w:rsidRPr="00961485">
        <w:rPr>
          <w:bCs/>
        </w:rPr>
        <w:t>orum will combine online sessions about European policies and trends, research, and practical case examples related to the Forum theme and more generally about current developments in quality assurance.</w:t>
      </w:r>
    </w:p>
    <w:p w:rsidR="00961485" w:rsidRPr="00961485" w:rsidRDefault="00961485" w:rsidP="00961485">
      <w:pPr>
        <w:spacing w:line="276" w:lineRule="auto"/>
        <w:jc w:val="both"/>
        <w:rPr>
          <w:bCs/>
        </w:rPr>
      </w:pPr>
      <w:r w:rsidRPr="00961485">
        <w:rPr>
          <w:bCs/>
        </w:rPr>
        <w:t>The event will address questions such as how to ensure an appropriate balance between qualitative and quantitative data and diversity of sources of information. It will also focus on how to analyse and interpret the data, as well as how to ensure that it is used to enhance quality and promote trust. Notably, the 2021 EQAF will offer an occasion to analyse how to make the best out of the opportunities offered by digitalisation while avoiding pitfalls.</w:t>
      </w:r>
    </w:p>
    <w:p w:rsidR="00961485" w:rsidRPr="00961485" w:rsidRDefault="00961485" w:rsidP="00961485">
      <w:pPr>
        <w:spacing w:line="276" w:lineRule="auto"/>
        <w:jc w:val="both"/>
        <w:rPr>
          <w:bCs/>
        </w:rPr>
      </w:pPr>
      <w:r w:rsidRPr="00961485">
        <w:rPr>
          <w:bCs/>
        </w:rPr>
        <w:t>The Forum will explore the evidence used in external and internal quality assurance and how to improve its use and impact.</w:t>
      </w:r>
    </w:p>
    <w:p w:rsidR="00961485" w:rsidRPr="00961485" w:rsidRDefault="00961485" w:rsidP="00237AC2">
      <w:pPr>
        <w:spacing w:after="240" w:line="276" w:lineRule="auto"/>
        <w:jc w:val="both"/>
        <w:rPr>
          <w:bCs/>
        </w:rPr>
      </w:pPr>
      <w:r w:rsidRPr="00961485">
        <w:rPr>
          <w:bCs/>
        </w:rPr>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rsidR="00D824C6" w:rsidRPr="00237AC2" w:rsidRDefault="00D94B76" w:rsidP="00D824C6">
      <w:pPr>
        <w:spacing w:line="276" w:lineRule="auto"/>
        <w:jc w:val="both"/>
        <w:rPr>
          <w:b/>
          <w:bCs/>
          <w:color w:val="E36C0A" w:themeColor="accent6" w:themeShade="BF"/>
          <w:u w:val="single"/>
        </w:rPr>
      </w:pPr>
      <w:hyperlink r:id="rId54" w:history="1">
        <w:r w:rsidR="00D824C6" w:rsidRPr="00237AC2">
          <w:rPr>
            <w:rStyle w:val="Hyperlink"/>
            <w:b/>
            <w:bCs/>
            <w:color w:val="E36C0A" w:themeColor="accent6" w:themeShade="BF"/>
          </w:rPr>
          <w:t>EU Open Data Days - Shaping our future with open data</w:t>
        </w:r>
      </w:hyperlink>
      <w:r w:rsidR="00D824C6" w:rsidRPr="00237AC2">
        <w:rPr>
          <w:b/>
          <w:bCs/>
          <w:color w:val="E36C0A" w:themeColor="accent6" w:themeShade="BF"/>
          <w:u w:val="single"/>
        </w:rPr>
        <w:t>, 23 - 25 November 2021, online</w:t>
      </w:r>
    </w:p>
    <w:p w:rsidR="00D824C6" w:rsidRDefault="00D824C6" w:rsidP="00672AB2">
      <w:pPr>
        <w:spacing w:before="160" w:after="240" w:line="276" w:lineRule="auto"/>
        <w:jc w:val="both"/>
        <w:rPr>
          <w:bCs/>
        </w:rPr>
      </w:pPr>
      <w:r w:rsidRPr="00D824C6">
        <w:rPr>
          <w:bCs/>
        </w:rPr>
        <w:t>This fully online event will start with EU DataViz 2021, a conference on open data and data visualisation, on 23 and 24 November. It will close with the finale of EU Datathon, the annual open data competition, on 25 November.</w:t>
      </w:r>
    </w:p>
    <w:p w:rsidR="004E3EBF" w:rsidRPr="00672AB2" w:rsidRDefault="00D94B76" w:rsidP="004E3EBF">
      <w:pPr>
        <w:spacing w:before="160" w:after="240" w:line="276" w:lineRule="auto"/>
        <w:jc w:val="both"/>
        <w:rPr>
          <w:b/>
          <w:bCs/>
          <w:color w:val="E36C0A" w:themeColor="accent6" w:themeShade="BF"/>
          <w:u w:val="single"/>
        </w:rPr>
      </w:pPr>
      <w:hyperlink r:id="rId55" w:tooltip="BSBF Webinar on High-Energy Accelerators and Synchrotrons - 30 November 2021" w:history="1">
        <w:r w:rsidR="004E3EBF" w:rsidRPr="00672AB2">
          <w:rPr>
            <w:rStyle w:val="Hyperlink"/>
            <w:b/>
            <w:bCs/>
            <w:color w:val="E36C0A" w:themeColor="accent6" w:themeShade="BF"/>
          </w:rPr>
          <w:br/>
          <w:t>BSBF Webinar on High-Energy Accelerators and Synchrotrons - 30 November 2021</w:t>
        </w:r>
      </w:hyperlink>
      <w:r w:rsidR="004E3EBF" w:rsidRPr="00672AB2">
        <w:rPr>
          <w:b/>
          <w:bCs/>
          <w:color w:val="E36C0A" w:themeColor="accent6" w:themeShade="BF"/>
          <w:u w:val="single"/>
        </w:rPr>
        <w:t>, online</w:t>
      </w:r>
    </w:p>
    <w:p w:rsidR="00962444" w:rsidRPr="00237AC2" w:rsidRDefault="00D94B76" w:rsidP="00962444">
      <w:pPr>
        <w:spacing w:line="276" w:lineRule="auto"/>
        <w:jc w:val="both"/>
        <w:rPr>
          <w:b/>
          <w:bCs/>
          <w:color w:val="E36C0A" w:themeColor="accent6" w:themeShade="BF"/>
          <w:u w:val="single"/>
        </w:rPr>
      </w:pPr>
      <w:hyperlink r:id="rId56" w:history="1">
        <w:r w:rsidR="00962444" w:rsidRPr="00237AC2">
          <w:rPr>
            <w:rStyle w:val="Hyperlink"/>
            <w:b/>
            <w:bCs/>
            <w:color w:val="E36C0A" w:themeColor="accent6" w:themeShade="BF"/>
          </w:rPr>
          <w:t>2021 IEEE International Conference on Big Data (IEEE BigData 2021)</w:t>
        </w:r>
      </w:hyperlink>
      <w:r w:rsidR="00237AC2" w:rsidRPr="00237AC2">
        <w:rPr>
          <w:b/>
          <w:bCs/>
          <w:color w:val="E36C0A" w:themeColor="accent6" w:themeShade="BF"/>
          <w:u w:val="single"/>
        </w:rPr>
        <w:t xml:space="preserve">, </w:t>
      </w:r>
      <w:r w:rsidR="00962444" w:rsidRPr="00237AC2">
        <w:rPr>
          <w:b/>
          <w:bCs/>
          <w:color w:val="E36C0A" w:themeColor="accent6" w:themeShade="BF"/>
          <w:u w:val="single"/>
        </w:rPr>
        <w:t>15-18 December 2021, Orlando, FL, USA, virtual</w:t>
      </w: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A349F0" w:rsidRPr="002A1300" w:rsidRDefault="00A349F0" w:rsidP="00460469">
      <w:pPr>
        <w:rPr>
          <w:lang w:val="en-US"/>
        </w:rPr>
        <w:sectPr w:rsidR="00A349F0" w:rsidRPr="002A1300" w:rsidSect="002852EF">
          <w:footerReference w:type="default" r:id="rId57"/>
          <w:pgSz w:w="11906" w:h="16838"/>
          <w:pgMar w:top="1417" w:right="1417" w:bottom="1417" w:left="1417" w:header="708" w:footer="708" w:gutter="0"/>
          <w:cols w:space="708"/>
          <w:docGrid w:linePitch="360"/>
        </w:sectPr>
      </w:pPr>
    </w:p>
    <w:p w:rsidR="00912146" w:rsidRDefault="00912146" w:rsidP="00B278E8">
      <w:pPr>
        <w:pStyle w:val="Publications"/>
      </w:pPr>
      <w:bookmarkStart w:id="21" w:name="_Toc84330683"/>
      <w:r>
        <w:lastRenderedPageBreak/>
        <w:t>ПУБЛИКАЦИИ</w:t>
      </w:r>
      <w:bookmarkEnd w:id="21"/>
    </w:p>
    <w:p w:rsidR="00FC339F" w:rsidRDefault="00FC339F" w:rsidP="00FC339F">
      <w:pPr>
        <w:pStyle w:val="Heading2"/>
        <w:ind w:left="426"/>
        <w:rPr>
          <w:lang w:val="en-US"/>
        </w:rPr>
      </w:pPr>
      <w:bookmarkStart w:id="22" w:name="_Toc84330684"/>
      <w:r>
        <w:rPr>
          <w:lang w:val="en-US"/>
        </w:rPr>
        <w:t>CERN Courier</w:t>
      </w:r>
      <w:bookmarkEnd w:id="22"/>
    </w:p>
    <w:p w:rsidR="008610E8" w:rsidRDefault="008610E8" w:rsidP="008610E8">
      <w:r w:rsidRPr="008610E8">
        <w:rPr>
          <w:rStyle w:val="Hyperlink"/>
          <w:noProof/>
        </w:rPr>
        <w:drawing>
          <wp:anchor distT="0" distB="0" distL="114300" distR="114300" simplePos="0" relativeHeight="251709440" behindDoc="0" locked="0" layoutInCell="1" allowOverlap="1" wp14:anchorId="4C460DC2" wp14:editId="368AABC3">
            <wp:simplePos x="0" y="0"/>
            <wp:positionH relativeFrom="margin">
              <wp:align>left</wp:align>
            </wp:positionH>
            <wp:positionV relativeFrom="paragraph">
              <wp:posOffset>110490</wp:posOffset>
            </wp:positionV>
            <wp:extent cx="1497600" cy="1983600"/>
            <wp:effectExtent l="0" t="0" r="7620" b="0"/>
            <wp:wrapThrough wrapText="bothSides">
              <wp:wrapPolygon edited="0">
                <wp:start x="0" y="0"/>
                <wp:lineTo x="0" y="21372"/>
                <wp:lineTo x="21435" y="21372"/>
                <wp:lineTo x="21435" y="0"/>
                <wp:lineTo x="0" y="0"/>
              </wp:wrapPolygon>
            </wp:wrapThrough>
            <wp:docPr id="3" name="Picture 3" descr="https://cerncourier.com/wp-content/uploads/2021/08/CCSepOct21_OFCL.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1/08/CCSepOct21_OFCL.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97600" cy="198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Pr="008610E8" w:rsidRDefault="00D94B76" w:rsidP="008610E8">
      <w:hyperlink r:id="rId60" w:history="1">
        <w:r w:rsidR="008610E8" w:rsidRPr="008610E8">
          <w:rPr>
            <w:rStyle w:val="Hyperlink"/>
          </w:rPr>
          <w:t>Sep/Oct 2021</w:t>
        </w:r>
      </w:hyperlink>
    </w:p>
    <w:p w:rsidR="000F4190" w:rsidRDefault="008610E8" w:rsidP="000F4190">
      <w:pPr>
        <w:spacing w:before="120" w:after="120" w:line="276" w:lineRule="auto"/>
        <w:jc w:val="both"/>
      </w:pPr>
      <w:r w:rsidRPr="008610E8">
        <w:t xml:space="preserve">As data volumes surge, deep learning is becoming increasingly important in particle physics. This special edition on artificial intelligence (AI) captures two new trends: using “unsupervised” deep learning to spot anomalous events, and designing AI that can “think not link”. Community-organised data challenges are leading the way and deep learning could even be used in the level-one triggers of LHC experiments. </w:t>
      </w:r>
    </w:p>
    <w:p w:rsidR="000F4190" w:rsidRDefault="008610E8" w:rsidP="000F4190">
      <w:pPr>
        <w:spacing w:before="120" w:after="120" w:line="276" w:lineRule="auto"/>
        <w:jc w:val="both"/>
      </w:pPr>
      <w:r w:rsidRPr="008610E8">
        <w:t xml:space="preserve">To keep up with the cutting edge of AI research, physicists are reaching out to computer science and industry: the latest developments could help explore theory space and build trust in AI to do more of the heavy lifting throughout the analysis chain. We also explore recent thinking that an ordered simplicity may emerge from the complexity of deep learning in a similar way to statistical mechanics and quantum field theory. </w:t>
      </w:r>
    </w:p>
    <w:p w:rsidR="008610E8" w:rsidRPr="008610E8" w:rsidRDefault="008610E8" w:rsidP="00BF77CF">
      <w:pPr>
        <w:spacing w:before="120" w:after="600" w:line="276" w:lineRule="auto"/>
        <w:jc w:val="both"/>
      </w:pPr>
      <w:r w:rsidRPr="008610E8">
        <w:t>Elsewhere in the issue: a tribute to Steven Weinberg; a SciFi upgrade for LHCb; reports from the summer conferences; the most stable tetraquark yet; quantum gravity in the Vatican; anisotropies point to cosmic-ray origins; and much more.</w:t>
      </w:r>
    </w:p>
    <w:p w:rsidR="00BF77CF" w:rsidRPr="00BF77CF" w:rsidRDefault="00BF77CF" w:rsidP="00BF77CF">
      <w:pPr>
        <w:pStyle w:val="Heading2"/>
        <w:ind w:left="426"/>
      </w:pPr>
      <w:bookmarkStart w:id="23" w:name="_Toc84330685"/>
      <w:r w:rsidRPr="00BF77CF">
        <w:t>EUA publication: Pathways to the future</w:t>
      </w:r>
      <w:bookmarkEnd w:id="23"/>
    </w:p>
    <w:p w:rsidR="00BF77CF" w:rsidRPr="001C4CC8" w:rsidRDefault="00BF77CF" w:rsidP="00BF77CF">
      <w:pPr>
        <w:spacing w:line="276" w:lineRule="auto"/>
        <w:jc w:val="both"/>
        <w:rPr>
          <w:color w:val="000000"/>
        </w:rPr>
      </w:pPr>
      <w:r w:rsidRPr="001C4CC8">
        <w:rPr>
          <w:color w:val="000000"/>
        </w:rPr>
        <w:t>This publication focuses on geopolitical changes, digitalisation and artificial intelligence, as well as the course of democracy, and how they may impact Europe’s universities. It outlines possible scenarios for future developments, as well as pathways for universities to pursue common goals.</w:t>
      </w:r>
    </w:p>
    <w:p w:rsidR="00BF77CF" w:rsidRPr="001C4CC8" w:rsidRDefault="00BF77CF" w:rsidP="00BF77CF">
      <w:pPr>
        <w:spacing w:line="276" w:lineRule="auto"/>
        <w:jc w:val="both"/>
        <w:rPr>
          <w:color w:val="000000"/>
        </w:rPr>
      </w:pPr>
      <w:r w:rsidRPr="001C4CC8">
        <w:rPr>
          <w:color w:val="000000"/>
        </w:rPr>
        <w:t>It is meant to serve as inspiration for university leaders and communities in developing strategies and priorities for action, taking account of their specific circumstances.</w:t>
      </w:r>
    </w:p>
    <w:p w:rsidR="00BF77CF" w:rsidRPr="001C4CC8" w:rsidRDefault="00BF77CF" w:rsidP="00BF77CF">
      <w:pPr>
        <w:spacing w:line="276" w:lineRule="auto"/>
        <w:jc w:val="both"/>
        <w:rPr>
          <w:color w:val="000000"/>
        </w:rPr>
      </w:pPr>
      <w:r w:rsidRPr="001C4CC8">
        <w:rPr>
          <w:color w:val="000000"/>
        </w:rPr>
        <w:t>This is a follow-up to EUA’s “</w:t>
      </w:r>
      <w:hyperlink r:id="rId61" w:history="1">
        <w:r w:rsidRPr="001C4CC8">
          <w:rPr>
            <w:rStyle w:val="Hyperlink"/>
          </w:rPr>
          <w:t>Universities without walls – A vision for 2030</w:t>
        </w:r>
      </w:hyperlink>
      <w:r w:rsidRPr="001C4CC8">
        <w:rPr>
          <w:color w:val="000000"/>
        </w:rPr>
        <w:t>” - a vision by and for the sector developed with visionaries and experts from EUA member and partner organisations.</w:t>
      </w:r>
    </w:p>
    <w:p w:rsidR="00BF77CF" w:rsidRPr="001C4CC8" w:rsidRDefault="00D94B76" w:rsidP="00BF77CF">
      <w:pPr>
        <w:spacing w:after="600" w:line="276" w:lineRule="auto"/>
        <w:jc w:val="both"/>
        <w:rPr>
          <w:color w:val="000000"/>
        </w:rPr>
      </w:pPr>
      <w:hyperlink r:id="rId62" w:tgtFrame="_blank" w:history="1">
        <w:r w:rsidR="00BF77CF" w:rsidRPr="001C4CC8">
          <w:rPr>
            <w:rStyle w:val="Hyperlink"/>
            <w:b/>
            <w:bCs/>
          </w:rPr>
          <w:t>Download</w:t>
        </w:r>
      </w:hyperlink>
    </w:p>
    <w:p w:rsidR="004C0058" w:rsidRPr="00403AFD" w:rsidRDefault="004C0058" w:rsidP="004C0058">
      <w:pPr>
        <w:pStyle w:val="Heading2"/>
        <w:ind w:left="426"/>
      </w:pPr>
      <w:bookmarkStart w:id="24" w:name="_Toc84330686"/>
      <w:r w:rsidRPr="00403AFD">
        <w:lastRenderedPageBreak/>
        <w:t>IAU Global Survey on the Impact of COVID-19 on Higher Education around the World</w:t>
      </w:r>
      <w:bookmarkEnd w:id="24"/>
      <w:r w:rsidRPr="00403AFD">
        <w:t xml:space="preserve"> </w:t>
      </w:r>
    </w:p>
    <w:p w:rsidR="004C0058" w:rsidRDefault="004C0058" w:rsidP="004C0058">
      <w:r w:rsidRPr="00524FD2">
        <w:rPr>
          <w:noProof/>
        </w:rPr>
        <w:drawing>
          <wp:anchor distT="0" distB="0" distL="114300" distR="114300" simplePos="0" relativeHeight="251707392" behindDoc="0" locked="0" layoutInCell="1" allowOverlap="1" wp14:anchorId="00EC1AFB" wp14:editId="7CD3B911">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63"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63" tooltip="&quot;IAU Global Survey on the Impact of COVID-19 on Higher Education around the World&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D94B76" w:rsidP="004C0058">
      <w:hyperlink r:id="rId65" w:tgtFrame="_blank" w:history="1">
        <w:r w:rsidR="004C0058" w:rsidRPr="00524FD2">
          <w:rPr>
            <w:rStyle w:val="Hyperlink"/>
          </w:rPr>
          <w:t>Discover the survey report</w:t>
        </w:r>
      </w:hyperlink>
    </w:p>
    <w:p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4C0058" w:rsidRPr="00524FD2" w:rsidRDefault="004C0058" w:rsidP="004C0058">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4C0058" w:rsidRDefault="004C0058" w:rsidP="004C0058">
      <w:pPr>
        <w:spacing w:before="120" w:after="840" w:line="276" w:lineRule="auto"/>
        <w:jc w:val="both"/>
      </w:pPr>
      <w:r w:rsidRPr="00524FD2">
        <w:t>Results of the survey were analysed both at the global level and at the regional level in four regions of the world (the Americas, Asia Pacific and Europe).</w:t>
      </w:r>
    </w:p>
    <w:p w:rsidR="004C0058" w:rsidRPr="003C58B4" w:rsidRDefault="004C0058" w:rsidP="004C0058">
      <w:pPr>
        <w:pStyle w:val="Heading2"/>
        <w:ind w:left="426"/>
      </w:pPr>
      <w:bookmarkStart w:id="25" w:name="_Toc84330687"/>
      <w:r w:rsidRPr="003C58B4">
        <w:t>Learning to deal</w:t>
      </w:r>
      <w:r>
        <w:t xml:space="preserve"> with problematic usage of the </w:t>
      </w:r>
      <w:r>
        <w:rPr>
          <w:lang w:val="en-US"/>
        </w:rPr>
        <w:t>I</w:t>
      </w:r>
      <w:r w:rsidRPr="003C58B4">
        <w:t>nternet</w:t>
      </w:r>
      <w:bookmarkEnd w:id="25"/>
    </w:p>
    <w:p w:rsidR="004C0058" w:rsidRDefault="004C0058" w:rsidP="004C0058">
      <w:pPr>
        <w:spacing w:after="120" w:line="276" w:lineRule="auto"/>
        <w:jc w:val="both"/>
      </w:pPr>
      <w:r w:rsidRPr="001860F9">
        <w:rPr>
          <w:noProof/>
        </w:rPr>
        <w:drawing>
          <wp:inline distT="0" distB="0" distL="0" distR="0" wp14:anchorId="616FAF9F" wp14:editId="14B1421A">
            <wp:extent cx="1285200" cy="1292400"/>
            <wp:effectExtent l="0" t="0" r="0" b="3175"/>
            <wp:docPr id="23" name="Picture 23" descr="https://www.cost.eu/uploads/2021/03/PU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3/PUI-book.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85200" cy="1292400"/>
                    </a:xfrm>
                    <a:prstGeom prst="rect">
                      <a:avLst/>
                    </a:prstGeom>
                    <a:noFill/>
                    <a:ln>
                      <a:noFill/>
                    </a:ln>
                  </pic:spPr>
                </pic:pic>
              </a:graphicData>
            </a:graphic>
          </wp:inline>
        </w:drawing>
      </w:r>
      <w:r w:rsidRPr="001860F9">
        <w:rPr>
          <w:color w:val="000000"/>
        </w:rPr>
        <w:t>Edited by the COST Action CA16207</w:t>
      </w:r>
    </w:p>
    <w:p w:rsidR="004C0058" w:rsidRPr="001860F9" w:rsidRDefault="004C0058" w:rsidP="004C0058">
      <w:pPr>
        <w:spacing w:after="120" w:line="276" w:lineRule="auto"/>
        <w:jc w:val="both"/>
        <w:rPr>
          <w:color w:val="000000"/>
        </w:rPr>
      </w:pPr>
      <w:r w:rsidRPr="001860F9">
        <w:rPr>
          <w:color w:val="000000"/>
        </w:rPr>
        <w:t xml:space="preserve">Ever since its development in the early 1990’s, the Internet has become highly pervasive across most of the civilised world. While the majority of Internet users take advantage of its many positive uses (including professional and recreational ones), some individuals can develop Problematic Use of the Internet (which we will refer to as PUI). This term encompasses a wide range of repetitive disabling behaviors characterized by compulsivity and addiction. These include, but are not limited to, Internet gaming, compulsive online sexual behaviors/ </w:t>
      </w:r>
      <w:r w:rsidRPr="001860F9">
        <w:rPr>
          <w:color w:val="000000"/>
        </w:rPr>
        <w:lastRenderedPageBreak/>
        <w:t>cyberpornography, Internet-related buying or shopping disorder, Internet-related gambling disorder, cyberbullying, cyberchondria, and social media/network forum use, among others.</w:t>
      </w:r>
    </w:p>
    <w:p w:rsidR="004C0058" w:rsidRDefault="004C0058" w:rsidP="004C0058">
      <w:pPr>
        <w:spacing w:after="600" w:line="276" w:lineRule="auto"/>
        <w:jc w:val="both"/>
        <w:rPr>
          <w:rStyle w:val="Hyperlink"/>
          <w:b/>
        </w:rPr>
      </w:pPr>
      <w:r w:rsidRPr="001860F9">
        <w:rPr>
          <w:color w:val="000000"/>
        </w:rPr>
        <w:t>Although PUI affects a minority of individuals who routinely use the Internet, several reports have documented a series of unhealthy lifestyles and medical disturbances which are thought to represent the consequences of severe forms of PUI, especially when it comes to youth. People affected by PUI and their family members often do not know about the signs and symptoms of this condition. For example, they do not know how to recognize PUI, or whom to go to for help, and often they do not know whether this is a treatable condition and/or how to manage it. Because of this, National Health Authorities around the World are concerned about the health and societal costs that PUI may have. Some researchers are starting to consider particular forms of PUI as a serious and disabling form of behavioral addiction.</w:t>
      </w:r>
      <w:r>
        <w:rPr>
          <w:color w:val="000000"/>
          <w:lang w:val="bg-BG"/>
        </w:rPr>
        <w:t xml:space="preserve"> </w:t>
      </w:r>
      <w:hyperlink r:id="rId67" w:tgtFrame="_blank" w:history="1">
        <w:r w:rsidRPr="003C58B4">
          <w:rPr>
            <w:rStyle w:val="Hyperlink"/>
            <w:b/>
          </w:rPr>
          <w:t>Download</w:t>
        </w:r>
      </w:hyperlink>
    </w:p>
    <w:p w:rsidR="00C8625A" w:rsidRPr="00C34338" w:rsidRDefault="00C8625A" w:rsidP="00C8625A">
      <w:pPr>
        <w:pStyle w:val="Heading2"/>
        <w:ind w:left="426"/>
      </w:pPr>
      <w:bookmarkStart w:id="26" w:name="_Toc84330688"/>
      <w:r w:rsidRPr="00C34338">
        <w:t>Communicating science in times of COVID-19</w:t>
      </w:r>
      <w:bookmarkEnd w:id="26"/>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6F41A307" wp14:editId="44183D9A">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Default="00D94B76" w:rsidP="004C0058">
      <w:pPr>
        <w:spacing w:after="840" w:line="276" w:lineRule="auto"/>
        <w:jc w:val="both"/>
        <w:rPr>
          <w:rStyle w:val="Hyperlink"/>
          <w:b/>
        </w:rPr>
      </w:pPr>
      <w:hyperlink r:id="rId69" w:tgtFrame="_blank" w:history="1">
        <w:r w:rsidR="00C8625A" w:rsidRPr="00D008B9">
          <w:rPr>
            <w:rStyle w:val="Hyperlink"/>
            <w:b/>
          </w:rPr>
          <w:t>D</w:t>
        </w:r>
        <w:r w:rsidR="00D008B9" w:rsidRPr="00D008B9">
          <w:rPr>
            <w:rStyle w:val="Hyperlink"/>
            <w:b/>
          </w:rPr>
          <w:t>ownload</w:t>
        </w:r>
      </w:hyperlink>
    </w:p>
    <w:p w:rsidR="00E17DCF" w:rsidRPr="003C58B4" w:rsidRDefault="00E17DCF" w:rsidP="00E17DCF">
      <w:pPr>
        <w:pStyle w:val="Heading2"/>
        <w:ind w:left="426"/>
      </w:pPr>
      <w:bookmarkStart w:id="27" w:name="_Toc84330689"/>
      <w:r w:rsidRPr="003C58B4">
        <w:t>EUA publication: Towards an EU strategy in support of universities</w:t>
      </w:r>
      <w:bookmarkEnd w:id="27"/>
    </w:p>
    <w:p w:rsidR="00E17DCF" w:rsidRDefault="00E17DCF" w:rsidP="00E17DCF">
      <w:pPr>
        <w:spacing w:after="120" w:line="276" w:lineRule="auto"/>
        <w:jc w:val="both"/>
        <w:rPr>
          <w:color w:val="000000"/>
        </w:rPr>
      </w:pPr>
      <w:r w:rsidRPr="00875BDD">
        <w:rPr>
          <w:color w:val="000000"/>
        </w:rPr>
        <w:t>This EUA policy input aims to inform the development of the European Commission’s upcoming “European Strategy for Universities”.</w:t>
      </w:r>
    </w:p>
    <w:p w:rsidR="00E17DCF" w:rsidRPr="00875BDD" w:rsidRDefault="00E17DCF" w:rsidP="00E17DCF">
      <w:pPr>
        <w:spacing w:after="120" w:line="276" w:lineRule="auto"/>
        <w:jc w:val="both"/>
        <w:rPr>
          <w:color w:val="000000"/>
        </w:rPr>
      </w:pPr>
      <w:r w:rsidRPr="00875BDD">
        <w:rPr>
          <w:color w:val="000000"/>
        </w:rPr>
        <w:lastRenderedPageBreak/>
        <w:t>Expected for the end of 2021 or early 2022, the aim of the strategy, as declared by the European Commission, is to support university transformation by fostering synergies between university missions through related EU policies, programmes and national reforms. The specific objectives are to develop with member states and stakeholders a vision of Europe’s universities of the future; identify the needs for support and priority areas for change; as well as define a roadmap for actions at the European level in synergy with national reforms.</w:t>
      </w:r>
    </w:p>
    <w:p w:rsidR="00E17DCF" w:rsidRPr="00875BDD" w:rsidRDefault="00E17DCF" w:rsidP="00E17DCF">
      <w:pPr>
        <w:spacing w:after="120" w:line="276" w:lineRule="auto"/>
        <w:jc w:val="both"/>
        <w:rPr>
          <w:color w:val="000000"/>
        </w:rPr>
      </w:pPr>
      <w:r w:rsidRPr="00875BDD">
        <w:rPr>
          <w:color w:val="000000"/>
        </w:rPr>
        <w:t>This EUA policy input was developed based on EUA’s “Universities without walls – A vision for 2030” and established EUA policy positions on the European Education, Research and Higher Education Areas. It outlines where EUA sees an added value in such a new EU strategy, as well as what the strategy should refrain from.</w:t>
      </w:r>
    </w:p>
    <w:p w:rsidR="00E17DCF" w:rsidRPr="00875BDD" w:rsidRDefault="00BF362B" w:rsidP="00E17DCF">
      <w:pPr>
        <w:spacing w:after="840" w:line="276" w:lineRule="auto"/>
        <w:jc w:val="both"/>
        <w:rPr>
          <w:b/>
          <w:color w:val="365F91" w:themeColor="accent1" w:themeShade="BF"/>
        </w:rPr>
      </w:pPr>
      <w:r>
        <w:t xml:space="preserve">  </w:t>
      </w:r>
      <w:hyperlink r:id="rId70" w:tgtFrame="_blank" w:history="1">
        <w:r w:rsidR="00E17DCF" w:rsidRPr="00875BDD">
          <w:rPr>
            <w:rStyle w:val="Hyperlink"/>
            <w:b/>
            <w:bCs/>
            <w:color w:val="365F91" w:themeColor="accent1" w:themeShade="BF"/>
          </w:rPr>
          <w:t>Downloa</w:t>
        </w:r>
      </w:hyperlink>
      <w:r w:rsidR="00E17DCF" w:rsidRPr="00875BDD">
        <w:rPr>
          <w:b/>
          <w:color w:val="365F91" w:themeColor="accent1" w:themeShade="BF"/>
        </w:rPr>
        <w:t>d</w:t>
      </w:r>
    </w:p>
    <w:p w:rsidR="00E17DCF" w:rsidRPr="00E17DCF" w:rsidRDefault="00E17DCF" w:rsidP="007A2F10">
      <w:pPr>
        <w:pStyle w:val="Heading2"/>
        <w:ind w:left="284"/>
        <w:rPr>
          <w:rStyle w:val="Hyperlink"/>
          <w:color w:val="auto"/>
          <w:u w:val="none"/>
        </w:rPr>
      </w:pPr>
      <w:bookmarkStart w:id="28" w:name="_Toc84330690"/>
      <w:r w:rsidRPr="00E17DCF">
        <w:rPr>
          <w:rStyle w:val="Hyperlink"/>
          <w:color w:val="auto"/>
          <w:u w:val="none"/>
        </w:rPr>
        <w:t>R</w:t>
      </w:r>
      <w:r>
        <w:rPr>
          <w:rStyle w:val="Hyperlink"/>
          <w:color w:val="auto"/>
          <w:u w:val="none"/>
        </w:rPr>
        <w:t>ethi</w:t>
      </w:r>
      <w:r w:rsidR="007A2F10">
        <w:rPr>
          <w:rStyle w:val="Hyperlink"/>
          <w:color w:val="auto"/>
          <w:u w:val="none"/>
        </w:rPr>
        <w:t>nking Sustainability Towards a R</w:t>
      </w:r>
      <w:r>
        <w:rPr>
          <w:rStyle w:val="Hyperlink"/>
          <w:color w:val="auto"/>
          <w:u w:val="none"/>
        </w:rPr>
        <w:t>egenerative Economy</w:t>
      </w:r>
      <w:bookmarkEnd w:id="28"/>
    </w:p>
    <w:p w:rsidR="00D13B96" w:rsidRDefault="00D13B96">
      <w:pPr>
        <w:spacing w:after="200" w:line="276" w:lineRule="auto"/>
        <w:rPr>
          <w:b/>
          <w:color w:val="0000FF" w:themeColor="hyperlink"/>
          <w:u w:val="single"/>
        </w:rPr>
      </w:pPr>
      <w:r w:rsidRPr="00D13B96">
        <w:rPr>
          <w:b/>
          <w:noProof/>
          <w:color w:val="0000FF" w:themeColor="hyperlink"/>
          <w:u w:val="single"/>
        </w:rPr>
        <w:drawing>
          <wp:inline distT="0" distB="0" distL="0" distR="0">
            <wp:extent cx="1432800" cy="2221200"/>
            <wp:effectExtent l="0" t="0" r="0" b="8255"/>
            <wp:docPr id="6" name="Picture 6" descr="https://www.cost.eu/uploads/2021/07/COST-RESTORE_Andreucci-et-al_2021_Springer-1-661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7/COST-RESTORE_Andreucci-et-al_2021_Springer-1-661x1024.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32800" cy="2221200"/>
                    </a:xfrm>
                    <a:prstGeom prst="rect">
                      <a:avLst/>
                    </a:prstGeom>
                    <a:noFill/>
                    <a:ln>
                      <a:noFill/>
                    </a:ln>
                  </pic:spPr>
                </pic:pic>
              </a:graphicData>
            </a:graphic>
          </wp:inline>
        </w:drawing>
      </w:r>
      <w:r w:rsidRPr="00D13B96">
        <w:rPr>
          <w:b/>
          <w:color w:val="0000FF" w:themeColor="hyperlink"/>
          <w:u w:val="single"/>
        </w:rPr>
        <w:t xml:space="preserve"> </w:t>
      </w:r>
      <w:bookmarkStart w:id="29" w:name="_GoBack"/>
      <w:bookmarkEnd w:id="29"/>
    </w:p>
    <w:p w:rsidR="00E17DCF" w:rsidRDefault="00D13B96" w:rsidP="00E17DCF">
      <w:pPr>
        <w:spacing w:after="200" w:line="276" w:lineRule="auto"/>
        <w:jc w:val="both"/>
        <w:rPr>
          <w:rStyle w:val="Hyperlink"/>
          <w:b/>
          <w:u w:val="none"/>
          <w:lang w:val="en-US"/>
        </w:rPr>
      </w:pPr>
      <w:r w:rsidRPr="00E17DCF">
        <w:rPr>
          <w:color w:val="000000"/>
          <w:shd w:val="clear" w:color="auto" w:fill="FFFFFF"/>
        </w:rPr>
        <w:t>This open access book is based on work from the COST Action “RESTORE – REthinking Sustainability TOwards a Regenerative Economy”, and highlights how sustainability in buildings, facilities and urban governance is crucial for a future that is socially just, ecologically restorative, and economically viable, for Europe and the whole planet. In light of the search for fair solutions to the climate crisis, the authors outline the urgency for the built environment sector to implement adaptation and mitigation strategies, as well as a just transition. As shown in the chapters, this can be done by applying a broader framework that enriches places, people, ecology, culture, and climate, at the core of the design task – with a particular emphasis on the benefits towards health and resilient business practices.</w:t>
      </w:r>
      <w:r w:rsidR="00E17DCF">
        <w:rPr>
          <w:color w:val="000000"/>
          <w:shd w:val="clear" w:color="auto" w:fill="FFFFFF"/>
        </w:rPr>
        <w:t xml:space="preserve"> </w:t>
      </w:r>
      <w:hyperlink r:id="rId72" w:history="1">
        <w:r w:rsidRPr="00D13B96">
          <w:rPr>
            <w:rStyle w:val="Hyperlink"/>
            <w:b/>
            <w:lang w:val="en-US"/>
          </w:rPr>
          <w:t>Download</w:t>
        </w:r>
      </w:hyperlink>
    </w:p>
    <w:p w:rsidR="001860F9" w:rsidRPr="001860F9" w:rsidRDefault="001860F9" w:rsidP="001860F9">
      <w:pPr>
        <w:spacing w:after="840" w:line="276" w:lineRule="auto"/>
        <w:jc w:val="both"/>
        <w:rPr>
          <w:color w:val="000000"/>
        </w:rPr>
      </w:pPr>
    </w:p>
    <w:p w:rsidR="001860F9" w:rsidRPr="001860F9" w:rsidRDefault="001860F9" w:rsidP="001860F9">
      <w:pPr>
        <w:spacing w:after="840" w:line="276" w:lineRule="auto"/>
        <w:jc w:val="both"/>
        <w:rPr>
          <w:color w:val="000000"/>
        </w:rPr>
      </w:pPr>
    </w:p>
    <w:sectPr w:rsidR="001860F9" w:rsidRPr="001860F9" w:rsidSect="002852EF">
      <w:footerReference w:type="default" r:id="rI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76" w:rsidRDefault="00D94B76" w:rsidP="003B2D94">
      <w:r>
        <w:separator/>
      </w:r>
    </w:p>
  </w:endnote>
  <w:endnote w:type="continuationSeparator" w:id="0">
    <w:p w:rsidR="00D94B76" w:rsidRDefault="00D94B76"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16AB8" w:rsidTr="002D3BEB">
      <w:tc>
        <w:tcPr>
          <w:tcW w:w="4500" w:type="pct"/>
          <w:tcBorders>
            <w:top w:val="single" w:sz="4" w:space="0" w:color="000000" w:themeColor="text1"/>
          </w:tcBorders>
        </w:tcPr>
        <w:p w:rsidR="00516AB8" w:rsidRPr="00D22505" w:rsidRDefault="00516AB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516AB8" w:rsidRPr="00CE4930" w:rsidRDefault="00516AB8">
          <w:pPr>
            <w:pStyle w:val="Header"/>
            <w:rPr>
              <w:color w:val="0070C0"/>
            </w:rPr>
          </w:pPr>
          <w:r>
            <w:fldChar w:fldCharType="begin"/>
          </w:r>
          <w:r>
            <w:instrText xml:space="preserve"> PAGE   \* MERGEFORMAT </w:instrText>
          </w:r>
          <w:r>
            <w:fldChar w:fldCharType="separate"/>
          </w:r>
          <w:r w:rsidR="007A2F10" w:rsidRPr="007A2F10">
            <w:rPr>
              <w:noProof/>
              <w:color w:val="FFFFFF" w:themeColor="background1"/>
            </w:rPr>
            <w:t>10</w:t>
          </w:r>
          <w:r>
            <w:rPr>
              <w:noProof/>
              <w:color w:val="FFFFFF" w:themeColor="background1"/>
            </w:rPr>
            <w:fldChar w:fldCharType="end"/>
          </w:r>
        </w:p>
      </w:tc>
    </w:tr>
  </w:tbl>
  <w:p w:rsidR="00516AB8" w:rsidRDefault="00516A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516AB8" w:rsidTr="002D3BEB">
      <w:tc>
        <w:tcPr>
          <w:tcW w:w="4500" w:type="pct"/>
          <w:tcBorders>
            <w:top w:val="single" w:sz="4" w:space="0" w:color="000000" w:themeColor="text1"/>
          </w:tcBorders>
        </w:tcPr>
        <w:p w:rsidR="00516AB8" w:rsidRPr="00D22505" w:rsidRDefault="00516AB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516AB8" w:rsidRPr="00CE4930" w:rsidRDefault="00516AB8">
          <w:pPr>
            <w:pStyle w:val="Header"/>
            <w:rPr>
              <w:color w:val="0070C0"/>
            </w:rPr>
          </w:pPr>
          <w:r>
            <w:fldChar w:fldCharType="begin"/>
          </w:r>
          <w:r>
            <w:instrText xml:space="preserve"> PAGE   \* MERGEFORMAT </w:instrText>
          </w:r>
          <w:r>
            <w:fldChar w:fldCharType="separate"/>
          </w:r>
          <w:r w:rsidR="007A2F10" w:rsidRPr="007A2F10">
            <w:rPr>
              <w:noProof/>
              <w:color w:val="FFFFFF" w:themeColor="background1"/>
            </w:rPr>
            <w:t>16</w:t>
          </w:r>
          <w:r>
            <w:rPr>
              <w:noProof/>
              <w:color w:val="FFFFFF" w:themeColor="background1"/>
            </w:rPr>
            <w:fldChar w:fldCharType="end"/>
          </w:r>
        </w:p>
      </w:tc>
    </w:tr>
  </w:tbl>
  <w:p w:rsidR="00516AB8" w:rsidRDefault="00516A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16AB8" w:rsidTr="00D22505">
      <w:tc>
        <w:tcPr>
          <w:tcW w:w="4500" w:type="pct"/>
          <w:tcBorders>
            <w:top w:val="single" w:sz="4" w:space="0" w:color="000000" w:themeColor="text1"/>
          </w:tcBorders>
        </w:tcPr>
        <w:p w:rsidR="00516AB8" w:rsidRPr="00D22505" w:rsidRDefault="00516AB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516AB8" w:rsidRDefault="00516AB8">
          <w:pPr>
            <w:pStyle w:val="Header"/>
            <w:rPr>
              <w:color w:val="FFFFFF" w:themeColor="background1"/>
            </w:rPr>
          </w:pPr>
          <w:r>
            <w:fldChar w:fldCharType="begin"/>
          </w:r>
          <w:r>
            <w:instrText xml:space="preserve"> PAGE   \* MERGEFORMAT </w:instrText>
          </w:r>
          <w:r>
            <w:fldChar w:fldCharType="separate"/>
          </w:r>
          <w:r w:rsidR="007A2F10" w:rsidRPr="007A2F10">
            <w:rPr>
              <w:noProof/>
              <w:color w:val="FFFFFF" w:themeColor="background1"/>
            </w:rPr>
            <w:t>18</w:t>
          </w:r>
          <w:r>
            <w:rPr>
              <w:noProof/>
              <w:color w:val="FFFFFF" w:themeColor="background1"/>
            </w:rPr>
            <w:fldChar w:fldCharType="end"/>
          </w:r>
        </w:p>
      </w:tc>
    </w:tr>
  </w:tbl>
  <w:p w:rsidR="00516AB8" w:rsidRDefault="00516AB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16AB8" w:rsidTr="00413D6F">
      <w:tc>
        <w:tcPr>
          <w:tcW w:w="4500" w:type="pct"/>
          <w:tcBorders>
            <w:top w:val="single" w:sz="4" w:space="0" w:color="000000" w:themeColor="text1"/>
          </w:tcBorders>
        </w:tcPr>
        <w:p w:rsidR="00516AB8" w:rsidRPr="00D22505" w:rsidRDefault="00516AB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516AB8" w:rsidRDefault="00516AB8">
          <w:pPr>
            <w:pStyle w:val="Header"/>
            <w:rPr>
              <w:color w:val="FFFFFF" w:themeColor="background1"/>
            </w:rPr>
          </w:pPr>
          <w:r>
            <w:fldChar w:fldCharType="begin"/>
          </w:r>
          <w:r>
            <w:instrText xml:space="preserve"> PAGE   \* MERGEFORMAT </w:instrText>
          </w:r>
          <w:r>
            <w:fldChar w:fldCharType="separate"/>
          </w:r>
          <w:r w:rsidR="007A2F10" w:rsidRPr="007A2F10">
            <w:rPr>
              <w:noProof/>
              <w:color w:val="FFFFFF" w:themeColor="background1"/>
            </w:rPr>
            <w:t>22</w:t>
          </w:r>
          <w:r>
            <w:rPr>
              <w:noProof/>
              <w:color w:val="FFFFFF" w:themeColor="background1"/>
            </w:rPr>
            <w:fldChar w:fldCharType="end"/>
          </w:r>
        </w:p>
      </w:tc>
    </w:tr>
  </w:tbl>
  <w:p w:rsidR="00516AB8" w:rsidRDefault="00516A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76" w:rsidRDefault="00D94B76" w:rsidP="003B2D94">
      <w:r>
        <w:separator/>
      </w:r>
    </w:p>
  </w:footnote>
  <w:footnote w:type="continuationSeparator" w:id="0">
    <w:p w:rsidR="00D94B76" w:rsidRDefault="00D94B76"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31019F"/>
    <w:multiLevelType w:val="multilevel"/>
    <w:tmpl w:val="DBD2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5A73"/>
    <w:multiLevelType w:val="multilevel"/>
    <w:tmpl w:val="613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B677D"/>
    <w:multiLevelType w:val="multilevel"/>
    <w:tmpl w:val="F7B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B05D1"/>
    <w:multiLevelType w:val="multilevel"/>
    <w:tmpl w:val="CA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57F3"/>
    <w:multiLevelType w:val="multilevel"/>
    <w:tmpl w:val="8B1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954BD"/>
    <w:multiLevelType w:val="multilevel"/>
    <w:tmpl w:val="1E9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4697D"/>
    <w:multiLevelType w:val="multilevel"/>
    <w:tmpl w:val="6C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F1CD9"/>
    <w:multiLevelType w:val="multilevel"/>
    <w:tmpl w:val="C7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02201"/>
    <w:multiLevelType w:val="multilevel"/>
    <w:tmpl w:val="7A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C7290"/>
    <w:multiLevelType w:val="multilevel"/>
    <w:tmpl w:val="98D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058D6"/>
    <w:multiLevelType w:val="multilevel"/>
    <w:tmpl w:val="8AE2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7515A"/>
    <w:multiLevelType w:val="multilevel"/>
    <w:tmpl w:val="57D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00AB3"/>
    <w:multiLevelType w:val="multilevel"/>
    <w:tmpl w:val="661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A4EF5"/>
    <w:multiLevelType w:val="multilevel"/>
    <w:tmpl w:val="B21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C44DC"/>
    <w:multiLevelType w:val="multilevel"/>
    <w:tmpl w:val="D28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62FFD"/>
    <w:multiLevelType w:val="multilevel"/>
    <w:tmpl w:val="55D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44F97"/>
    <w:multiLevelType w:val="multilevel"/>
    <w:tmpl w:val="2B2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A5C4B"/>
    <w:multiLevelType w:val="multilevel"/>
    <w:tmpl w:val="CE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A5A4A"/>
    <w:multiLevelType w:val="multilevel"/>
    <w:tmpl w:val="477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8D62B8"/>
    <w:multiLevelType w:val="multilevel"/>
    <w:tmpl w:val="F69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2F109A"/>
    <w:multiLevelType w:val="multilevel"/>
    <w:tmpl w:val="39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216096"/>
    <w:multiLevelType w:val="multilevel"/>
    <w:tmpl w:val="401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4"/>
  </w:num>
  <w:num w:numId="5">
    <w:abstractNumId w:val="16"/>
  </w:num>
  <w:num w:numId="6">
    <w:abstractNumId w:val="33"/>
  </w:num>
  <w:num w:numId="7">
    <w:abstractNumId w:val="7"/>
  </w:num>
  <w:num w:numId="8">
    <w:abstractNumId w:val="31"/>
  </w:num>
  <w:num w:numId="9">
    <w:abstractNumId w:val="21"/>
  </w:num>
  <w:num w:numId="10">
    <w:abstractNumId w:val="29"/>
  </w:num>
  <w:num w:numId="11">
    <w:abstractNumId w:val="0"/>
  </w:num>
  <w:num w:numId="12">
    <w:abstractNumId w:val="22"/>
  </w:num>
  <w:num w:numId="13">
    <w:abstractNumId w:val="13"/>
  </w:num>
  <w:num w:numId="14">
    <w:abstractNumId w:val="5"/>
  </w:num>
  <w:num w:numId="15">
    <w:abstractNumId w:val="34"/>
  </w:num>
  <w:num w:numId="16">
    <w:abstractNumId w:val="23"/>
  </w:num>
  <w:num w:numId="17">
    <w:abstractNumId w:val="17"/>
  </w:num>
  <w:num w:numId="18">
    <w:abstractNumId w:val="19"/>
  </w:num>
  <w:num w:numId="19">
    <w:abstractNumId w:val="27"/>
  </w:num>
  <w:num w:numId="20">
    <w:abstractNumId w:val="14"/>
  </w:num>
  <w:num w:numId="21">
    <w:abstractNumId w:val="8"/>
  </w:num>
  <w:num w:numId="22">
    <w:abstractNumId w:val="32"/>
  </w:num>
  <w:num w:numId="23">
    <w:abstractNumId w:val="26"/>
  </w:num>
  <w:num w:numId="24">
    <w:abstractNumId w:val="12"/>
  </w:num>
  <w:num w:numId="25">
    <w:abstractNumId w:val="11"/>
  </w:num>
  <w:num w:numId="26">
    <w:abstractNumId w:val="15"/>
  </w:num>
  <w:num w:numId="27">
    <w:abstractNumId w:val="24"/>
  </w:num>
  <w:num w:numId="28">
    <w:abstractNumId w:val="2"/>
  </w:num>
  <w:num w:numId="29">
    <w:abstractNumId w:val="30"/>
  </w:num>
  <w:num w:numId="30">
    <w:abstractNumId w:val="20"/>
  </w:num>
  <w:num w:numId="31">
    <w:abstractNumId w:val="25"/>
  </w:num>
  <w:num w:numId="32">
    <w:abstractNumId w:val="1"/>
  </w:num>
  <w:num w:numId="33">
    <w:abstractNumId w:val="18"/>
  </w:num>
  <w:num w:numId="34">
    <w:abstractNumId w:val="9"/>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563"/>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0B5"/>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3695"/>
    <w:rsid w:val="001840F4"/>
    <w:rsid w:val="001841BF"/>
    <w:rsid w:val="001847BC"/>
    <w:rsid w:val="00184860"/>
    <w:rsid w:val="00184B65"/>
    <w:rsid w:val="00185027"/>
    <w:rsid w:val="00185211"/>
    <w:rsid w:val="001854D5"/>
    <w:rsid w:val="00185AB9"/>
    <w:rsid w:val="00185DB0"/>
    <w:rsid w:val="001860F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A78"/>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57D"/>
    <w:rsid w:val="0068364B"/>
    <w:rsid w:val="00683C6A"/>
    <w:rsid w:val="00684F82"/>
    <w:rsid w:val="006852B1"/>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802"/>
    <w:rsid w:val="006A2C83"/>
    <w:rsid w:val="006A2FE1"/>
    <w:rsid w:val="006A3642"/>
    <w:rsid w:val="006A4C77"/>
    <w:rsid w:val="006A4D0F"/>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10"/>
    <w:rsid w:val="007A2FC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0F6"/>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278"/>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0E8"/>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24E"/>
    <w:rsid w:val="00A4452C"/>
    <w:rsid w:val="00A4455B"/>
    <w:rsid w:val="00A44D8B"/>
    <w:rsid w:val="00A44FA5"/>
    <w:rsid w:val="00A45192"/>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9BE"/>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5936"/>
    <w:rsid w:val="00F067F3"/>
    <w:rsid w:val="00F069B5"/>
    <w:rsid w:val="00F06ABA"/>
    <w:rsid w:val="00F06BDE"/>
    <w:rsid w:val="00F07628"/>
    <w:rsid w:val="00F07D8B"/>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AD738"/>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wholestory.solutionsjournalism.org/apply-for-a-2022-lede-fellowship-710900f63495" TargetMode="External"/><Relationship Id="rId21" Type="http://schemas.openxmlformats.org/officeDocument/2006/relationships/hyperlink" Target="https://www.sbfi.admin.ch/sbfi/en/home/education/scholarships-and-grants/swiss-government-excellence-scholarships.html" TargetMode="External"/><Relationship Id="rId42" Type="http://schemas.openxmlformats.org/officeDocument/2006/relationships/hyperlink" Target="https://www.fni.bg/sites/default/files/competition/12_2016/ERA/ERA-NET.zip" TargetMode="External"/><Relationship Id="rId47" Type="http://schemas.openxmlformats.org/officeDocument/2006/relationships/hyperlink" Target="mailto:fni-konkursi@mon.bg" TargetMode="External"/><Relationship Id="rId63" Type="http://schemas.openxmlformats.org/officeDocument/2006/relationships/hyperlink" Target="https://www.iau-aiu.net/IAU-Global-Survey-on-the-Impact-of-COVID-19-on-Higher-Education-around-the" TargetMode="External"/><Relationship Id="rId68"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deepmind.com/" TargetMode="External"/><Relationship Id="rId29" Type="http://schemas.openxmlformats.org/officeDocument/2006/relationships/hyperlink" Target="http://www.medici.org/internships/" TargetMode="External"/><Relationship Id="rId11" Type="http://schemas.openxmlformats.org/officeDocument/2006/relationships/hyperlink" Target="https://www.fulbright.bg/bg/stipendii-za-bulgarski-grajdani/ucheni-i-izsledovateli/" TargetMode="External"/><Relationship Id="rId24" Type="http://schemas.openxmlformats.org/officeDocument/2006/relationships/hyperlink" Target="http://solutionsjournalism.org/" TargetMode="External"/><Relationship Id="rId32" Type="http://schemas.openxmlformats.org/officeDocument/2006/relationships/hyperlink" Target="https://www.ubb.bg/careers/apply/stajantska-akademiya-v-segmenta-na-malki-i-sredni-predpriyatiya-i-korporativen" TargetMode="External"/><Relationship Id="rId37" Type="http://schemas.openxmlformats.org/officeDocument/2006/relationships/hyperlink" Target="https://www.cost.eu/uploads/2020/12/COST-004-18-REV-COST_Open_Call_SESA_guidelines-oc-2021-1-rev.pdf" TargetMode="External"/><Relationship Id="rId40" Type="http://schemas.openxmlformats.org/officeDocument/2006/relationships/hyperlink" Target="https://www.sea-eu-jfs.eu/call/2021-sti-joint-call-proposals-sustainable-food-production-and-climate-change-resilience-0" TargetMode="External"/><Relationship Id="rId45" Type="http://schemas.openxmlformats.org/officeDocument/2006/relationships/hyperlink" Target="https://www.fni.bg/?q=node/527" TargetMode="External"/><Relationship Id="rId53" Type="http://schemas.openxmlformats.org/officeDocument/2006/relationships/hyperlink" Target="https://www.eua.eu/events/138-2021-european-quality-assurance-forum.html" TargetMode="External"/><Relationship Id="rId58" Type="http://schemas.openxmlformats.org/officeDocument/2006/relationships/hyperlink" Target="https://cerncourier.com/wp-content/uploads/2021/08/CERNCourier2021SepOct-digitaledition.pdf" TargetMode="External"/><Relationship Id="rId66" Type="http://schemas.openxmlformats.org/officeDocument/2006/relationships/image" Target="media/image3.jpeg"/><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eua.eu/resources/publications/957:universities-without-walls-%E2%80%93-eua%E2%80%99s-vision-for-europe%E2%80%99s-universities-in-2030.html" TargetMode="External"/><Relationship Id="rId19" Type="http://schemas.openxmlformats.org/officeDocument/2006/relationships/hyperlink" Target="https://www.finduddannelse.dk/scholarship/finduddannelsedk-sustainability-scholarship-17947" TargetMode="External"/><Relationship Id="rId14"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2" Type="http://schemas.openxmlformats.org/officeDocument/2006/relationships/hyperlink" Target="https://www.youtube.com/watch?v=RRZjsHok5N4" TargetMode="External"/><Relationship Id="rId27" Type="http://schemas.openxmlformats.org/officeDocument/2006/relationships/hyperlink" Target="http://web.worldbank.org/wbsite/external/countries/0,,pagepk:180619~thesitepk:136917,00.html" TargetMode="External"/><Relationship Id="rId30" Type="http://schemas.openxmlformats.org/officeDocument/2006/relationships/hyperlink" Target="https://www.euspa.europa.eu/about/careers-euspa/traineeship-listing" TargetMode="External"/><Relationship Id="rId35" Type="http://schemas.openxmlformats.org/officeDocument/2006/relationships/hyperlink" Target="https://www.fni.bg/?q=node/1352" TargetMode="External"/><Relationship Id="rId43" Type="http://schemas.openxmlformats.org/officeDocument/2006/relationships/hyperlink" Target="mailto:aleksandrova@mon.bg" TargetMode="External"/><Relationship Id="rId48" Type="http://schemas.openxmlformats.org/officeDocument/2006/relationships/footer" Target="footer2.xml"/><Relationship Id="rId56" Type="http://schemas.openxmlformats.org/officeDocument/2006/relationships/hyperlink" Target="https://bigdataieee.org/BigData2021/index.html" TargetMode="External"/><Relationship Id="rId64" Type="http://schemas.openxmlformats.org/officeDocument/2006/relationships/image" Target="media/image2.png"/><Relationship Id="rId69" Type="http://schemas.openxmlformats.org/officeDocument/2006/relationships/hyperlink" Target="https://www.cost.eu/wp-content/uploads/2021/02/210217_CCA_COVID_Publication-2.pdf" TargetMode="External"/><Relationship Id="rId8" Type="http://schemas.openxmlformats.org/officeDocument/2006/relationships/endnotes" Target="endnotes.xml"/><Relationship Id="rId51" Type="http://schemas.openxmlformats.org/officeDocument/2006/relationships/hyperlink" Target="https://digital-strategy.ec.europa.eu/en/events/european-online-week-active-and-healthy-ageing-0" TargetMode="External"/><Relationship Id="rId72" Type="http://schemas.openxmlformats.org/officeDocument/2006/relationships/hyperlink" Target="https://link.springer.com/content/pdf/10.1007%2F978-3-030-71819-0.pdf"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gate-ai.eu/bg/%d0%bd%d0%be%d0%b2%d0%b8%d0%bd%d0%b8/gate-%d0%be%d0%b1%d1%8f%d0%b2%d1%8f%d0%b2%d0%b0-%d0%b4%d0%b2%d0%b5-%d1%81%d1%82%d0%b8%d0%bf%d0%b5%d0%bd%d0%b4%d0%b8%d0%b8-%d0%bd%d0%b0-deepmind/" TargetMode="External"/><Relationship Id="rId25" Type="http://schemas.openxmlformats.org/officeDocument/2006/relationships/hyperlink" Target="https://thewholestory.solutionsjournalism.org/introducing-the-solutions-journalism-networks-2021-lede-fellows-d6ff167da345" TargetMode="External"/><Relationship Id="rId33" Type="http://schemas.openxmlformats.org/officeDocument/2006/relationships/hyperlink" Target="https://www.ubb.bg/careers/stajantska-akademiya-v-segmenta-na-malki-i-sredni-predpriyatiya-i-korporativen" TargetMode="External"/><Relationship Id="rId38" Type="http://schemas.openxmlformats.org/officeDocument/2006/relationships/hyperlink" Target="https://www.cost.eu/uploads/2020/12/COST_OC-2021-1_Announcement-1.pdf" TargetMode="External"/><Relationship Id="rId46" Type="http://schemas.openxmlformats.org/officeDocument/2006/relationships/hyperlink" Target="https://www.fni.bg/sites/default/files/competition/10_2016/Procedura_COST_nac_finansirane%E2%80%9329012016.pdf" TargetMode="External"/><Relationship Id="rId59" Type="http://schemas.openxmlformats.org/officeDocument/2006/relationships/image" Target="media/image1.jpeg"/><Relationship Id="rId67" Type="http://schemas.openxmlformats.org/officeDocument/2006/relationships/hyperlink" Target="https://www.internetandme.eu/download-learning-to-deal-with-problematic-usage-of-the-internet/" TargetMode="External"/><Relationship Id="rId20" Type="http://schemas.openxmlformats.org/officeDocument/2006/relationships/hyperlink" Target="https://www.finduddannelse.dk/scholarship/finduddannelsedk-sustainability-scholarship-17947" TargetMode="External"/><Relationship Id="rId41" Type="http://schemas.openxmlformats.org/officeDocument/2006/relationships/hyperlink" Target="https://www.fni.bg/sites/default/files/competition/12_2016/ERA/ERA_NET_2016_2.pdf" TargetMode="External"/><Relationship Id="rId54" Type="http://schemas.openxmlformats.org/officeDocument/2006/relationships/hyperlink" Target="https://digital-strategy.ec.europa.eu/en/events/eu-open-data-days-shaping-our-future-open-data" TargetMode="External"/><Relationship Id="rId62" Type="http://schemas.openxmlformats.org/officeDocument/2006/relationships/hyperlink" Target="https://www.eua.eu/component/attachments/attachments.html?id=3329" TargetMode="External"/><Relationship Id="rId70" Type="http://schemas.openxmlformats.org/officeDocument/2006/relationships/hyperlink" Target="https://www.eua.eu/component/attachments/attachments.html?id=326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aad.de/deutschland/stipendium/en/" TargetMode="External"/><Relationship Id="rId23" Type="http://schemas.openxmlformats.org/officeDocument/2006/relationships/hyperlink" Target="https://www.youtube.com/watch?v=DpHDBWURJNA" TargetMode="External"/><Relationship Id="rId28" Type="http://schemas.openxmlformats.org/officeDocument/2006/relationships/hyperlink" Target="https://www.worldbank.org/en/about/careers/programs-and-internships/internship" TargetMode="External"/><Relationship Id="rId36" Type="http://schemas.openxmlformats.org/officeDocument/2006/relationships/hyperlink" Target="https://vh2021.stko.eu/" TargetMode="External"/><Relationship Id="rId49" Type="http://schemas.openxmlformats.org/officeDocument/2006/relationships/hyperlink" Target="https://datainnovationsummit.com/?utm_source=KDnuggets&amp;utm_medium=web&amp;utm_campaign=2021edition" TargetMode="Externa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https://www.euspa.europa.eu/about/careers-euspa/traineeship-listing" TargetMode="External"/><Relationship Id="rId44" Type="http://schemas.openxmlformats.org/officeDocument/2006/relationships/hyperlink" Target="https://www.neaa.government.bg/" TargetMode="External"/><Relationship Id="rId52" Type="http://schemas.openxmlformats.org/officeDocument/2006/relationships/hyperlink" Target="https://ec.europa.eu/info/events/thematic-webinars-big-science-business-forum/bsbf-webinar-fusion-strategies-roadmaps-and-development-programmes-11-november-2021-2021-nov-11_en" TargetMode="External"/><Relationship Id="rId60" Type="http://schemas.openxmlformats.org/officeDocument/2006/relationships/hyperlink" Target="https://cerncourier.com/wp-content/uploads/2021/08/CERNCourier2021SepOct-digitaledition.pdf" TargetMode="External"/><Relationship Id="rId65" Type="http://schemas.openxmlformats.org/officeDocument/2006/relationships/hyperlink" Target="https://www.iau-aiu.net/IMG/pdf/iau_covid19_and_he_survey_report_final_may_2020.pdf" TargetMode="External"/><Relationship Id="rId73"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daad.de/deutschland/en/" TargetMode="External"/><Relationship Id="rId18" Type="http://schemas.openxmlformats.org/officeDocument/2006/relationships/hyperlink" Target="https://bit.ly/3j1svvE" TargetMode="External"/><Relationship Id="rId39" Type="http://schemas.openxmlformats.org/officeDocument/2006/relationships/hyperlink" Target="https://www.cost.eu/funding/how-to-get-funding/documents-guidelines/" TargetMode="External"/><Relationship Id="rId34" Type="http://schemas.openxmlformats.org/officeDocument/2006/relationships/hyperlink" Target="https://www.postbank.bg/Za-nas/Careers" TargetMode="External"/><Relationship Id="rId50" Type="http://schemas.openxmlformats.org/officeDocument/2006/relationships/hyperlink" Target="https://waset.org/database-and-expert-systems-applications-conference-in-october-2021-in-rome" TargetMode="External"/><Relationship Id="rId55" Type="http://schemas.openxmlformats.org/officeDocument/2006/relationships/hyperlink" Target="https://ec.europa.eu/info/events/thematic-webinars-big-science-business-forum/bsbf-webinar-high-energy-accelerators-and-synchrotrons-30-november-2021-2021-nov-30_en" TargetMode="External"/><Relationship Id="rId7" Type="http://schemas.openxmlformats.org/officeDocument/2006/relationships/footnotes" Target="footnotes.xml"/><Relationship Id="rId7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22EC93-E99F-421E-B3DE-27365FB1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22</Pages>
  <Words>7687</Words>
  <Characters>43818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48</cp:revision>
  <cp:lastPrinted>2014-05-12T09:53:00Z</cp:lastPrinted>
  <dcterms:created xsi:type="dcterms:W3CDTF">2021-10-05T06:45:00Z</dcterms:created>
  <dcterms:modified xsi:type="dcterms:W3CDTF">2021-10-05T14:49:00Z</dcterms:modified>
</cp:coreProperties>
</file>